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
        <w:jc w:val="center"/>
      </w:pPr>
      <w:r>
        <w:rPr>
          <w:rFonts w:ascii="Calibri" w:cs="Calibri" w:eastAsia="Calibri" w:hAnsi="Calibri"/>
          <w:b/>
          <w:bCs/>
          <w:color w:val="6D28D9"/>
          <w:sz w:val="76"/>
          <w:szCs w:val="76"/>
        </w:rPr>
        <w:t xml:space="preserve">IntelliQE</w:t>
      </w:r>
    </w:p>
    <w:p>
      <w:pPr>
        <w:spacing w:after="60"/>
        <w:jc w:val="center"/>
      </w:pPr>
      <w:r>
        <w:rPr>
          <w:rFonts w:ascii="Calibri" w:cs="Calibri" w:eastAsia="Calibri" w:hAnsi="Calibri"/>
          <w:b/>
          <w:bCs/>
          <w:color w:val="1E1B4B"/>
          <w:spacing w:val="40"/>
          <w:sz w:val="40"/>
          <w:szCs w:val="40"/>
        </w:rPr>
        <w:t xml:space="preserve">API AUTOMATION</w:t>
      </w:r>
    </w:p>
    <w:p>
      <w:pPr>
        <w:spacing w:after="300"/>
        <w:jc w:val="center"/>
      </w:pPr>
      <w:r>
        <w:rPr>
          <w:rFonts w:ascii="Calibri" w:cs="Calibri" w:eastAsia="Calibri" w:hAnsi="Calibri"/>
          <w:i/>
          <w:iCs/>
          <w:color w:val="6B7280"/>
          <w:sz w:val="26"/>
          <w:szCs w:val="26"/>
        </w:rPr>
        <w:t xml:space="preserve">End-to-End User Guide &amp; Functional Documentation</w:t>
      </w:r>
    </w:p>
    <w:p>
      <w:pPr>
        <w:pBdr>
          <w:bottom w:val="single" w:color="6D28D9" w:sz="18"/>
        </w:pBdr>
        <w:spacing w:after="240"/>
        <w:jc w:val="center"/>
      </w:pPr>
      <w:r>
        <w:rPr>
          <w:rFonts w:ascii="Calibri" w:cs="Calibri" w:eastAsia="Calibri" w:hAnsi="Calibri"/>
          <w:color w:val="4B5563"/>
          <w:sz w:val="21"/>
          <w:szCs w:val="21"/>
        </w:rPr>
        <w:t xml:space="preserve"/>
      </w:r>
    </w:p>
    <w:tbl>
      <w:tblPr>
        <w:tblW w:type="dxa" w:w="10080"/>
        <w:jc w:val="center"/>
        <w:tblBorders>
          <w:top w:val="single" w:color="C7C3DE" w:sz="6"/>
          <w:left w:val="single" w:color="C7C3DE" w:sz="6"/>
          <w:bottom w:val="single" w:color="C7C3DE" w:sz="6"/>
          <w:right w:val="single" w:color="C7C3DE" w:sz="6"/>
          <w:insideH w:val="single" w:color="C7C3DE" w:sz="6"/>
          <w:insideV w:val="single" w:color="C7C3DE" w:sz="6"/>
        </w:tblBorders>
      </w:tblPr>
      <w:tblGrid>
        <w:gridCol w:w="10080"/>
      </w:tblGrid>
      <w:tr>
        <w:tc>
          <w:tcPr>
            <w:tcW w:type="dxa" w:w="10080"/>
            <w:tcMar>
              <w:top w:type="dxa" w:w="60"/>
              <w:left w:type="dxa" w:w="60"/>
              <w:bottom w:type="dxa" w:w="60"/>
              <w:right w:type="dxa" w:w="60"/>
            </w:tcMar>
          </w:tcPr>
          <w:p>
            <w:pPr>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895725"/>
                          </a:xfrm>
                          <a:prstGeom prst="rect">
                            <a:avLst/>
                          </a:prstGeom>
                        </pic:spPr>
                      </pic:pic>
                    </a:graphicData>
                  </a:graphic>
                </wp:inline>
              </w:drawing>
            </w:r>
          </w:p>
        </w:tc>
      </w:tr>
    </w:tbl>
    <w:p>
      <w:pPr>
        <w:spacing w:after="240" w:before="70"/>
        <w:jc w:val="center"/>
      </w:pPr>
      <w:r>
        <w:rPr>
          <w:rFonts w:ascii="Calibri" w:cs="Calibri" w:eastAsia="Calibri" w:hAnsi="Calibri"/>
          <w:i/>
          <w:iCs/>
          <w:color w:val="6B7280"/>
          <w:sz w:val="18"/>
          <w:szCs w:val="18"/>
        </w:rPr>
        <w:t xml:space="preserve">Figure 1. The API Automation dashboard — a live view of every API test run.</w:t>
      </w:r>
    </w:p>
    <w:p>
      <w:pPr>
        <w:spacing w:after="40" w:before="200"/>
        <w:jc w:val="center"/>
      </w:pPr>
      <w:r>
        <w:rPr>
          <w:rFonts w:ascii="Calibri" w:cs="Calibri" w:eastAsia="Calibri" w:hAnsi="Calibri"/>
          <w:color w:val="4B5563"/>
          <w:sz w:val="22"/>
          <w:szCs w:val="22"/>
        </w:rPr>
        <w:t xml:space="preserve">AI-powered API test generation, execution, self-healing and reporting</w:t>
      </w:r>
    </w:p>
    <w:p>
      <w:pPr>
        <w:spacing w:after="40"/>
        <w:jc w:val="center"/>
      </w:pPr>
      <w:r>
        <w:rPr>
          <w:rFonts w:ascii="Calibri" w:cs="Calibri" w:eastAsia="Calibri" w:hAnsi="Calibri"/>
          <w:color w:val="6B7280"/>
          <w:sz w:val="20"/>
          <w:szCs w:val="20"/>
        </w:rPr>
        <w:t xml:space="preserve">Version 1.0  ·  September 2026</w:t>
      </w:r>
    </w:p>
    <w:p>
      <w:r>
        <w:br w:type="page"/>
      </w:r>
    </w:p>
    <w:p>
      <w:pPr>
        <w:pStyle w:val="Heading1"/>
        <w:spacing w:after="140" w:before="320"/>
      </w:pPr>
      <w:r>
        <w:rPr>
          <w:rFonts w:ascii="Calibri" w:cs="Calibri" w:eastAsia="Calibri" w:hAnsi="Calibri"/>
          <w:b/>
          <w:bCs/>
          <w:color w:val="6D28D9"/>
          <w:sz w:val="32"/>
          <w:szCs w:val="32"/>
        </w:rP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spacing w:before="80"/>
      </w:pPr>
      <w:r>
        <w:rPr>
          <w:rFonts w:ascii="Calibri" w:cs="Calibri" w:eastAsia="Calibri" w:hAnsi="Calibri"/>
          <w:i/>
          <w:iCs/>
          <w:color w:val="6B7280"/>
          <w:sz w:val="18"/>
          <w:szCs w:val="18"/>
        </w:rPr>
        <w:t xml:space="preserve">Tip: if the contents look empty, click anywhere in the list and press F9 (or right-click → Update Field) to refresh page numbers.</w:t>
      </w:r>
    </w:p>
    <w:p>
      <w:r>
        <w:br w:type="page"/>
      </w:r>
    </w:p>
    <w:p>
      <w:pPr>
        <w:pStyle w:val="Heading1"/>
        <w:spacing w:after="140" w:before="320"/>
      </w:pPr>
      <w:r>
        <w:rPr>
          <w:rFonts w:ascii="Calibri" w:cs="Calibri" w:eastAsia="Calibri" w:hAnsi="Calibri"/>
          <w:b/>
          <w:bCs/>
          <w:color w:val="6D28D9"/>
          <w:sz w:val="32"/>
          <w:szCs w:val="32"/>
        </w:rPr>
        <w:t xml:space="preserve">1. Introduction</w:t>
      </w:r>
    </w:p>
    <w:p>
      <w:pPr>
        <w:spacing w:after="180" w:line="288"/>
      </w:pPr>
      <w:r>
        <w:rPr>
          <w:rFonts w:ascii="Calibri" w:cs="Calibri" w:eastAsia="Calibri" w:hAnsi="Calibri"/>
          <w:color w:val="4B5563"/>
          <w:sz w:val="22"/>
          <w:szCs w:val="22"/>
        </w:rPr>
        <w:t xml:space="preserve">IntelliQE API Automation is an AI-powered workspace that turns any API into a complete, executed and self-healing test suite — without writing test code by hand. You bring in an API; the platform understands it, designs the test scenarios a professional QA team would write, runs them against your live endpoints, automatically repairs tests that broke for the wrong reasons, and publishes a clear pass/fail report with trends over time.</w:t>
      </w:r>
    </w:p>
    <w:p>
      <w:pPr>
        <w:pStyle w:val="Heading2"/>
        <w:spacing w:after="100" w:before="260"/>
      </w:pPr>
      <w:r>
        <w:rPr>
          <w:rFonts w:ascii="Calibri" w:cs="Calibri" w:eastAsia="Calibri" w:hAnsi="Calibri"/>
          <w:b/>
          <w:bCs/>
          <w:color w:val="1E1B4B"/>
          <w:sz w:val="26"/>
          <w:szCs w:val="26"/>
        </w:rPr>
        <w:t xml:space="preserve">1.1 What problem it solves</w:t>
      </w:r>
    </w:p>
    <w:p>
      <w:pPr>
        <w:spacing w:after="140" w:before="0" w:line="276"/>
      </w:pPr>
      <w:r>
        <w:rPr>
          <w:rFonts w:ascii="Calibri" w:cs="Calibri" w:eastAsia="Calibri" w:hAnsi="Calibri"/>
          <w:color w:val="4B5563"/>
          <w:sz w:val="21"/>
          <w:szCs w:val="21"/>
        </w:rPr>
        <w:t xml:space="preserve">Traditional API testing is slow and brittle: engineers hand-write requests and assertions, maintain them as the API changes, and spend hours diagnosing failures. IntelliQE compresses that cycle. It reads your API the way a senior tester would, proposes the right coverage, and keeps the suite healthy as the API evolves.</w:t>
      </w:r>
    </w:p>
    <w:p>
      <w:pPr>
        <w:pStyle w:val="Heading2"/>
        <w:spacing w:after="100" w:before="260"/>
      </w:pPr>
      <w:r>
        <w:rPr>
          <w:rFonts w:ascii="Calibri" w:cs="Calibri" w:eastAsia="Calibri" w:hAnsi="Calibri"/>
          <w:b/>
          <w:bCs/>
          <w:color w:val="1E1B4B"/>
          <w:sz w:val="26"/>
          <w:szCs w:val="26"/>
        </w:rPr>
        <w:t xml:space="preserve">1.2 Who it is for</w:t>
      </w:r>
    </w:p>
    <w:p>
      <w:pPr>
        <w:pStyle w:val="ListParagraph"/>
        <w:numPr>
          <w:ilvl w:val="0"/>
          <w:numId w:val="2"/>
        </w:numPr>
        <w:spacing w:after="70" w:line="272"/>
      </w:pPr>
      <w:r>
        <w:rPr>
          <w:rFonts w:ascii="Calibri" w:cs="Calibri" w:eastAsia="Calibri" w:hAnsi="Calibri"/>
          <w:b/>
          <w:bCs/>
          <w:color w:val="1E1B4B"/>
          <w:sz w:val="21"/>
          <w:szCs w:val="21"/>
        </w:rPr>
        <w:t xml:space="preserve">QA engineers &amp; SDETs — </w:t>
      </w:r>
      <w:r>
        <w:rPr>
          <w:rFonts w:ascii="Calibri" w:cs="Calibri" w:eastAsia="Calibri" w:hAnsi="Calibri"/>
          <w:color w:val="4B5563"/>
          <w:sz w:val="21"/>
          <w:szCs w:val="21"/>
        </w:rPr>
        <w:t xml:space="preserve">generate broad, high-quality coverage in minutes and review it before anything runs.</w:t>
      </w:r>
    </w:p>
    <w:p>
      <w:pPr>
        <w:pStyle w:val="ListParagraph"/>
        <w:numPr>
          <w:ilvl w:val="0"/>
          <w:numId w:val="2"/>
        </w:numPr>
        <w:spacing w:after="70" w:line="272"/>
      </w:pPr>
      <w:r>
        <w:rPr>
          <w:rFonts w:ascii="Calibri" w:cs="Calibri" w:eastAsia="Calibri" w:hAnsi="Calibri"/>
          <w:b/>
          <w:bCs/>
          <w:color w:val="1E1B4B"/>
          <w:sz w:val="21"/>
          <w:szCs w:val="21"/>
        </w:rPr>
        <w:t xml:space="preserve">Developers — </w:t>
      </w:r>
      <w:r>
        <w:rPr>
          <w:rFonts w:ascii="Calibri" w:cs="Calibri" w:eastAsia="Calibri" w:hAnsi="Calibri"/>
          <w:color w:val="4B5563"/>
          <w:sz w:val="21"/>
          <w:szCs w:val="21"/>
        </w:rPr>
        <w:t xml:space="preserve">validate contracts, catch regressions and security issues early, and pull tests straight into your Git repository and CI pipeline.</w:t>
      </w:r>
    </w:p>
    <w:p>
      <w:pPr>
        <w:pStyle w:val="ListParagraph"/>
        <w:numPr>
          <w:ilvl w:val="0"/>
          <w:numId w:val="2"/>
        </w:numPr>
        <w:spacing w:after="70" w:line="272"/>
      </w:pPr>
      <w:r>
        <w:rPr>
          <w:rFonts w:ascii="Calibri" w:cs="Calibri" w:eastAsia="Calibri" w:hAnsi="Calibri"/>
          <w:b/>
          <w:bCs/>
          <w:color w:val="1E1B4B"/>
          <w:sz w:val="21"/>
          <w:szCs w:val="21"/>
        </w:rPr>
        <w:t xml:space="preserve">QA leads &amp; managers — </w:t>
      </w:r>
      <w:r>
        <w:rPr>
          <w:rFonts w:ascii="Calibri" w:cs="Calibri" w:eastAsia="Calibri" w:hAnsi="Calibri"/>
          <w:color w:val="4B5563"/>
          <w:sz w:val="21"/>
          <w:szCs w:val="21"/>
        </w:rPr>
        <w:t xml:space="preserve">track pass-rate trends, anomalies and sign-offs across every run from one dashboard.</w:t>
      </w:r>
    </w:p>
    <w:p>
      <w:pPr>
        <w:pStyle w:val="Heading2"/>
        <w:spacing w:after="100" w:before="260"/>
      </w:pPr>
      <w:r>
        <w:rPr>
          <w:rFonts w:ascii="Calibri" w:cs="Calibri" w:eastAsia="Calibri" w:hAnsi="Calibri"/>
          <w:b/>
          <w:bCs/>
          <w:color w:val="1E1B4B"/>
          <w:sz w:val="26"/>
          <w:szCs w:val="26"/>
        </w:rPr>
        <w:t xml:space="preserve">1.3 Key capabilities at a glance</w:t>
      </w:r>
    </w:p>
    <w:p>
      <w:pPr>
        <w:pStyle w:val="ListParagraph"/>
        <w:numPr>
          <w:ilvl w:val="0"/>
          <w:numId w:val="2"/>
        </w:numPr>
        <w:spacing w:after="70" w:line="272"/>
      </w:pPr>
      <w:r>
        <w:rPr>
          <w:rFonts w:ascii="Calibri" w:cs="Calibri" w:eastAsia="Calibri" w:hAnsi="Calibri"/>
          <w:b/>
          <w:bCs/>
          <w:color w:val="1E1B4B"/>
          <w:sz w:val="21"/>
          <w:szCs w:val="21"/>
        </w:rPr>
        <w:t xml:space="preserve">Import any API — </w:t>
      </w:r>
      <w:r>
        <w:rPr>
          <w:rFonts w:ascii="Calibri" w:cs="Calibri" w:eastAsia="Calibri" w:hAnsi="Calibri"/>
          <w:color w:val="4B5563"/>
          <w:sz w:val="21"/>
          <w:szCs w:val="21"/>
        </w:rPr>
        <w:t xml:space="preserve">twelve intake methods, from an OpenAPI file to a live URL, a cURL command, a GraphQL schema or plain-English documentation.</w:t>
      </w:r>
    </w:p>
    <w:p>
      <w:pPr>
        <w:pStyle w:val="ListParagraph"/>
        <w:numPr>
          <w:ilvl w:val="0"/>
          <w:numId w:val="2"/>
        </w:numPr>
        <w:spacing w:after="70" w:line="272"/>
      </w:pPr>
      <w:r>
        <w:rPr>
          <w:rFonts w:ascii="Calibri" w:cs="Calibri" w:eastAsia="Calibri" w:hAnsi="Calibri"/>
          <w:b/>
          <w:bCs/>
          <w:color w:val="1E1B4B"/>
          <w:sz w:val="21"/>
          <w:szCs w:val="21"/>
        </w:rPr>
        <w:t xml:space="preserve">Automatic understanding — </w:t>
      </w:r>
      <w:r>
        <w:rPr>
          <w:rFonts w:ascii="Calibri" w:cs="Calibri" w:eastAsia="Calibri" w:hAnsi="Calibri"/>
          <w:color w:val="4B5563"/>
          <w:sz w:val="21"/>
          <w:szCs w:val="21"/>
        </w:rPr>
        <w:t xml:space="preserve">the platform profiles the API (resources, authentication, data relationships, risks) and recommends a test strategy.</w:t>
      </w:r>
    </w:p>
    <w:p>
      <w:pPr>
        <w:pStyle w:val="ListParagraph"/>
        <w:numPr>
          <w:ilvl w:val="0"/>
          <w:numId w:val="2"/>
        </w:numPr>
        <w:spacing w:after="70" w:line="272"/>
      </w:pPr>
      <w:r>
        <w:rPr>
          <w:rFonts w:ascii="Calibri" w:cs="Calibri" w:eastAsia="Calibri" w:hAnsi="Calibri"/>
          <w:b/>
          <w:bCs/>
          <w:color w:val="1E1B4B"/>
          <w:sz w:val="21"/>
          <w:szCs w:val="21"/>
        </w:rPr>
        <w:t xml:space="preserve">AI scenario design — </w:t>
      </w:r>
      <w:r>
        <w:rPr>
          <w:rFonts w:ascii="Calibri" w:cs="Calibri" w:eastAsia="Calibri" w:hAnsi="Calibri"/>
          <w:color w:val="4B5563"/>
          <w:sz w:val="21"/>
          <w:szCs w:val="21"/>
        </w:rPr>
        <w:t xml:space="preserve">positive, negative, security, schema, boundary and end-to-end flow tests — each one presented for your review before it runs.</w:t>
      </w:r>
    </w:p>
    <w:p>
      <w:pPr>
        <w:pStyle w:val="ListParagraph"/>
        <w:numPr>
          <w:ilvl w:val="0"/>
          <w:numId w:val="2"/>
        </w:numPr>
        <w:spacing w:after="70" w:line="272"/>
      </w:pPr>
      <w:r>
        <w:rPr>
          <w:rFonts w:ascii="Calibri" w:cs="Calibri" w:eastAsia="Calibri" w:hAnsi="Calibri"/>
          <w:b/>
          <w:bCs/>
          <w:color w:val="1E1B4B"/>
          <w:sz w:val="21"/>
          <w:szCs w:val="21"/>
        </w:rPr>
        <w:t xml:space="preserve">Execution &amp; self-healing — </w:t>
      </w:r>
      <w:r>
        <w:rPr>
          <w:rFonts w:ascii="Calibri" w:cs="Calibri" w:eastAsia="Calibri" w:hAnsi="Calibri"/>
          <w:color w:val="4B5563"/>
          <w:sz w:val="21"/>
          <w:szCs w:val="21"/>
        </w:rPr>
        <w:t xml:space="preserve">runs against your live endpoints and automatically repairs tests that failed because the test was wrong, not the API.</w:t>
      </w:r>
    </w:p>
    <w:p>
      <w:pPr>
        <w:pStyle w:val="ListParagraph"/>
        <w:numPr>
          <w:ilvl w:val="0"/>
          <w:numId w:val="2"/>
        </w:numPr>
        <w:spacing w:after="70" w:line="272"/>
      </w:pPr>
      <w:r>
        <w:rPr>
          <w:rFonts w:ascii="Calibri" w:cs="Calibri" w:eastAsia="Calibri" w:hAnsi="Calibri"/>
          <w:b/>
          <w:bCs/>
          <w:color w:val="1E1B4B"/>
          <w:sz w:val="21"/>
          <w:szCs w:val="21"/>
        </w:rPr>
        <w:t xml:space="preserve">Clear reporting — </w:t>
      </w:r>
      <w:r>
        <w:rPr>
          <w:rFonts w:ascii="Calibri" w:cs="Calibri" w:eastAsia="Calibri" w:hAnsi="Calibri"/>
          <w:color w:val="4B5563"/>
          <w:sz w:val="21"/>
          <w:szCs w:val="21"/>
        </w:rPr>
        <w:t xml:space="preserve">pass rate, failures, what healing changed, plus a full HTML/Allure report and export to your repo and CI.</w:t>
      </w:r>
    </w:p>
    <w:p>
      <w:pPr>
        <w:pStyle w:val="ListParagraph"/>
        <w:numPr>
          <w:ilvl w:val="0"/>
          <w:numId w:val="2"/>
        </w:numPr>
        <w:spacing w:after="70" w:line="272"/>
      </w:pPr>
      <w:r>
        <w:rPr>
          <w:rFonts w:ascii="Calibri" w:cs="Calibri" w:eastAsia="Calibri" w:hAnsi="Calibri"/>
          <w:b/>
          <w:bCs/>
          <w:color w:val="1E1B4B"/>
          <w:sz w:val="21"/>
          <w:szCs w:val="21"/>
        </w:rPr>
        <w:t xml:space="preserve">A full quality toolkit — </w:t>
      </w:r>
      <w:r>
        <w:rPr>
          <w:rFonts w:ascii="Calibri" w:cs="Calibri" w:eastAsia="Calibri" w:hAnsi="Calibri"/>
          <w:color w:val="4B5563"/>
          <w:sz w:val="21"/>
          <w:szCs w:val="21"/>
        </w:rPr>
        <w:t xml:space="preserve">contract checks, security scans, load tests, governance linting, coverage, regression baselines, data-driven testing, scheduling, alerts and sign-off.</w:t>
      </w:r>
    </w:p>
    <w:p>
      <w:r>
        <w:br w:type="page"/>
      </w:r>
    </w:p>
    <w:p>
      <w:pPr>
        <w:pStyle w:val="Heading1"/>
        <w:spacing w:after="140" w:before="320"/>
      </w:pPr>
      <w:r>
        <w:rPr>
          <w:rFonts w:ascii="Calibri" w:cs="Calibri" w:eastAsia="Calibri" w:hAnsi="Calibri"/>
          <w:b/>
          <w:bCs/>
          <w:color w:val="6D28D9"/>
          <w:sz w:val="32"/>
          <w:szCs w:val="32"/>
        </w:rPr>
        <w:t xml:space="preserve">2. How the platform works</w:t>
      </w:r>
    </w:p>
    <w:p>
      <w:pPr>
        <w:spacing w:after="180" w:line="288"/>
      </w:pPr>
      <w:r>
        <w:rPr>
          <w:rFonts w:ascii="Calibri" w:cs="Calibri" w:eastAsia="Calibri" w:hAnsi="Calibri"/>
          <w:color w:val="4B5563"/>
          <w:sz w:val="22"/>
          <w:szCs w:val="22"/>
        </w:rPr>
        <w:t xml:space="preserve">Every piece of the product serves one straight-line workflow. Understanding these seven stages makes the rest of this guide easy to follow.</w:t>
      </w:r>
    </w:p>
    <w:tbl>
      <w:tblPr>
        <w:tblW w:type="dxa" w:w="10080"/>
        <w:tblBorders>
          <w:top w:val="single" w:color="D8D5E8" w:sz="6"/>
          <w:left w:val="single" w:color="D8D5E8" w:sz="6"/>
          <w:bottom w:val="single" w:color="D8D5E8" w:sz="6"/>
          <w:right w:val="single" w:color="D8D5E8" w:sz="6"/>
          <w:insideH w:val="single" w:color="D8D5E8" w:sz="6"/>
          <w:insideV w:val="single" w:color="D8D5E8" w:sz="6"/>
        </w:tblBorders>
      </w:tblPr>
      <w:tblGrid>
        <w:gridCol w:w="1613"/>
        <w:gridCol w:w="8467"/>
      </w:tblGrid>
      <w:tr>
        <w:trPr>
          <w:tblHeader/>
        </w:trPr>
        <w:tc>
          <w:tcPr>
            <w:tcW w:type="dxa" w:w="1613"/>
            <w:shd w:fill="6D28D9"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Stage</w:t>
            </w:r>
          </w:p>
        </w:tc>
        <w:tc>
          <w:tcPr>
            <w:tcW w:type="dxa" w:w="8467"/>
            <w:shd w:fill="6D28D9"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What happens</w:t>
            </w:r>
          </w:p>
        </w:tc>
      </w:tr>
      <w:tr>
        <w:tc>
          <w:tcPr>
            <w:tcW w:type="dxa" w:w="1613"/>
            <w:shd w:fill="FAF9FE" w:val="clear"/>
            <w:tcMar>
              <w:top w:type="dxa" w:w="60"/>
              <w:left w:type="dxa" w:w="110"/>
              <w:bottom w:type="dxa" w:w="60"/>
              <w:right w:type="dxa" w:w="110"/>
            </w:tcMar>
            <w:vAlign w:val="center"/>
          </w:tcPr>
          <w:p>
            <w:r>
              <w:rPr>
                <w:rFonts w:ascii="Calibri" w:cs="Calibri" w:eastAsia="Calibri" w:hAnsi="Calibri"/>
                <w:b/>
                <w:bCs/>
                <w:color w:val="1E1B4B"/>
                <w:sz w:val="21"/>
                <w:szCs w:val="21"/>
              </w:rPr>
              <w:t xml:space="preserve">1. Import</w:t>
            </w:r>
          </w:p>
        </w:tc>
        <w:tc>
          <w:tcPr>
            <w:tcW w:type="dxa" w:w="8467"/>
            <w:shd w:fill="FAF9FE" w:val="clear"/>
            <w:tcMar>
              <w:top w:type="dxa" w:w="60"/>
              <w:left w:type="dxa" w:w="110"/>
              <w:bottom w:type="dxa" w:w="60"/>
              <w:right w:type="dxa" w:w="110"/>
            </w:tcMar>
            <w:vAlign w:val="center"/>
          </w:tcPr>
          <w:p>
            <w:r>
              <w:rPr>
                <w:rFonts w:ascii="Calibri" w:cs="Calibri" w:eastAsia="Calibri" w:hAnsi="Calibri"/>
                <w:color w:val="4B5563"/>
                <w:sz w:val="19"/>
                <w:szCs w:val="19"/>
              </w:rPr>
              <w:t xml:space="preserve">You bring an API in by any of twelve methods. Everything lands in one place — the catalogue.</w:t>
            </w:r>
          </w:p>
        </w:tc>
      </w:tr>
      <w:tr>
        <w:tc>
          <w:tcPr>
            <w:tcW w:type="dxa" w:w="1613"/>
            <w:shd w:fill="FFFFFF" w:val="clear"/>
            <w:tcMar>
              <w:top w:type="dxa" w:w="60"/>
              <w:left w:type="dxa" w:w="110"/>
              <w:bottom w:type="dxa" w:w="60"/>
              <w:right w:type="dxa" w:w="110"/>
            </w:tcMar>
            <w:vAlign w:val="center"/>
          </w:tcPr>
          <w:p>
            <w:r>
              <w:rPr>
                <w:rFonts w:ascii="Calibri" w:cs="Calibri" w:eastAsia="Calibri" w:hAnsi="Calibri"/>
                <w:b/>
                <w:bCs/>
                <w:color w:val="1E1B4B"/>
                <w:sz w:val="21"/>
                <w:szCs w:val="21"/>
              </w:rPr>
              <w:t xml:space="preserve">2. Understand</w:t>
            </w:r>
          </w:p>
        </w:tc>
        <w:tc>
          <w:tcPr>
            <w:tcW w:type="dxa" w:w="8467"/>
            <w:shd w:fill="FFFFFF" w:val="clear"/>
            <w:tcMar>
              <w:top w:type="dxa" w:w="60"/>
              <w:left w:type="dxa" w:w="110"/>
              <w:bottom w:type="dxa" w:w="60"/>
              <w:right w:type="dxa" w:w="110"/>
            </w:tcMar>
            <w:vAlign w:val="center"/>
          </w:tcPr>
          <w:p>
            <w:r>
              <w:rPr>
                <w:rFonts w:ascii="Calibri" w:cs="Calibri" w:eastAsia="Calibri" w:hAnsi="Calibri"/>
                <w:color w:val="4B5563"/>
                <w:sz w:val="19"/>
                <w:szCs w:val="19"/>
              </w:rPr>
              <w:t xml:space="preserve">The platform automatically profiles the API: its resources, operations, authentication, data dependencies and risks.</w:t>
            </w:r>
          </w:p>
        </w:tc>
      </w:tr>
      <w:tr>
        <w:tc>
          <w:tcPr>
            <w:tcW w:type="dxa" w:w="1613"/>
            <w:shd w:fill="FAF9FE" w:val="clear"/>
            <w:tcMar>
              <w:top w:type="dxa" w:w="60"/>
              <w:left w:type="dxa" w:w="110"/>
              <w:bottom w:type="dxa" w:w="60"/>
              <w:right w:type="dxa" w:w="110"/>
            </w:tcMar>
            <w:vAlign w:val="center"/>
          </w:tcPr>
          <w:p>
            <w:r>
              <w:rPr>
                <w:rFonts w:ascii="Calibri" w:cs="Calibri" w:eastAsia="Calibri" w:hAnsi="Calibri"/>
                <w:b/>
                <w:bCs/>
                <w:color w:val="1E1B4B"/>
                <w:sz w:val="21"/>
                <w:szCs w:val="21"/>
              </w:rPr>
              <w:t xml:space="preserve">3. Scenarios</w:t>
            </w:r>
          </w:p>
        </w:tc>
        <w:tc>
          <w:tcPr>
            <w:tcW w:type="dxa" w:w="8467"/>
            <w:shd w:fill="FAF9FE" w:val="clear"/>
            <w:tcMar>
              <w:top w:type="dxa" w:w="60"/>
              <w:left w:type="dxa" w:w="110"/>
              <w:bottom w:type="dxa" w:w="60"/>
              <w:right w:type="dxa" w:w="110"/>
            </w:tcMar>
            <w:vAlign w:val="center"/>
          </w:tcPr>
          <w:p>
            <w:r>
              <w:rPr>
                <w:rFonts w:ascii="Calibri" w:cs="Calibri" w:eastAsia="Calibri" w:hAnsi="Calibri"/>
                <w:color w:val="4B5563"/>
                <w:sz w:val="19"/>
                <w:szCs w:val="19"/>
              </w:rPr>
              <w:t xml:space="preserve">AI designs the test scenarios your chosen strategy calls for. This is the one deliberate stop — the review gate.</w:t>
            </w:r>
          </w:p>
        </w:tc>
      </w:tr>
      <w:tr>
        <w:tc>
          <w:tcPr>
            <w:tcW w:type="dxa" w:w="1613"/>
            <w:shd w:fill="FFFFFF" w:val="clear"/>
            <w:tcMar>
              <w:top w:type="dxa" w:w="60"/>
              <w:left w:type="dxa" w:w="110"/>
              <w:bottom w:type="dxa" w:w="60"/>
              <w:right w:type="dxa" w:w="110"/>
            </w:tcMar>
            <w:vAlign w:val="center"/>
          </w:tcPr>
          <w:p>
            <w:r>
              <w:rPr>
                <w:rFonts w:ascii="Calibri" w:cs="Calibri" w:eastAsia="Calibri" w:hAnsi="Calibri"/>
                <w:b/>
                <w:bCs/>
                <w:color w:val="1E1B4B"/>
                <w:sz w:val="21"/>
                <w:szCs w:val="21"/>
              </w:rPr>
              <w:t xml:space="preserve">4. Automate</w:t>
            </w:r>
          </w:p>
        </w:tc>
        <w:tc>
          <w:tcPr>
            <w:tcW w:type="dxa" w:w="8467"/>
            <w:shd w:fill="FFFFFF" w:val="clear"/>
            <w:tcMar>
              <w:top w:type="dxa" w:w="60"/>
              <w:left w:type="dxa" w:w="110"/>
              <w:bottom w:type="dxa" w:w="60"/>
              <w:right w:type="dxa" w:w="110"/>
            </w:tcMar>
            <w:vAlign w:val="center"/>
          </w:tcPr>
          <w:p>
            <w:r>
              <w:rPr>
                <w:rFonts w:ascii="Calibri" w:cs="Calibri" w:eastAsia="Calibri" w:hAnsi="Calibri"/>
                <w:color w:val="4B5563"/>
                <w:sz w:val="19"/>
                <w:szCs w:val="19"/>
              </w:rPr>
              <w:t xml:space="preserve">Each approved scenario is turned into a runnable, executable test.</w:t>
            </w:r>
          </w:p>
        </w:tc>
      </w:tr>
      <w:tr>
        <w:tc>
          <w:tcPr>
            <w:tcW w:type="dxa" w:w="1613"/>
            <w:shd w:fill="FAF9FE" w:val="clear"/>
            <w:tcMar>
              <w:top w:type="dxa" w:w="60"/>
              <w:left w:type="dxa" w:w="110"/>
              <w:bottom w:type="dxa" w:w="60"/>
              <w:right w:type="dxa" w:w="110"/>
            </w:tcMar>
            <w:vAlign w:val="center"/>
          </w:tcPr>
          <w:p>
            <w:r>
              <w:rPr>
                <w:rFonts w:ascii="Calibri" w:cs="Calibri" w:eastAsia="Calibri" w:hAnsi="Calibri"/>
                <w:b/>
                <w:bCs/>
                <w:color w:val="1E1B4B"/>
                <w:sz w:val="21"/>
                <w:szCs w:val="21"/>
              </w:rPr>
              <w:t xml:space="preserve">5. Execute</w:t>
            </w:r>
          </w:p>
        </w:tc>
        <w:tc>
          <w:tcPr>
            <w:tcW w:type="dxa" w:w="8467"/>
            <w:shd w:fill="FAF9FE" w:val="clear"/>
            <w:tcMar>
              <w:top w:type="dxa" w:w="60"/>
              <w:left w:type="dxa" w:w="110"/>
              <w:bottom w:type="dxa" w:w="60"/>
              <w:right w:type="dxa" w:w="110"/>
            </w:tcMar>
            <w:vAlign w:val="center"/>
          </w:tcPr>
          <w:p>
            <w:r>
              <w:rPr>
                <w:rFonts w:ascii="Calibri" w:cs="Calibri" w:eastAsia="Calibri" w:hAnsi="Calibri"/>
                <w:color w:val="4B5563"/>
                <w:sz w:val="19"/>
                <w:szCs w:val="19"/>
              </w:rPr>
              <w:t xml:space="preserve">The suite runs against your live endpoints and records pass/fail with timings.</w:t>
            </w:r>
          </w:p>
        </w:tc>
      </w:tr>
      <w:tr>
        <w:tc>
          <w:tcPr>
            <w:tcW w:type="dxa" w:w="1613"/>
            <w:shd w:fill="FFFFFF" w:val="clear"/>
            <w:tcMar>
              <w:top w:type="dxa" w:w="60"/>
              <w:left w:type="dxa" w:w="110"/>
              <w:bottom w:type="dxa" w:w="60"/>
              <w:right w:type="dxa" w:w="110"/>
            </w:tcMar>
            <w:vAlign w:val="center"/>
          </w:tcPr>
          <w:p>
            <w:r>
              <w:rPr>
                <w:rFonts w:ascii="Calibri" w:cs="Calibri" w:eastAsia="Calibri" w:hAnsi="Calibri"/>
                <w:b/>
                <w:bCs/>
                <w:color w:val="1E1B4B"/>
                <w:sz w:val="21"/>
                <w:szCs w:val="21"/>
              </w:rPr>
              <w:t xml:space="preserve">6. Heal</w:t>
            </w:r>
          </w:p>
        </w:tc>
        <w:tc>
          <w:tcPr>
            <w:tcW w:type="dxa" w:w="8467"/>
            <w:shd w:fill="FFFFFF" w:val="clear"/>
            <w:tcMar>
              <w:top w:type="dxa" w:w="60"/>
              <w:left w:type="dxa" w:w="110"/>
              <w:bottom w:type="dxa" w:w="60"/>
              <w:right w:type="dxa" w:w="110"/>
            </w:tcMar>
            <w:vAlign w:val="center"/>
          </w:tcPr>
          <w:p>
            <w:r>
              <w:rPr>
                <w:rFonts w:ascii="Calibri" w:cs="Calibri" w:eastAsia="Calibri" w:hAnsi="Calibri"/>
                <w:color w:val="4B5563"/>
                <w:sz w:val="19"/>
                <w:szCs w:val="19"/>
              </w:rPr>
              <w:t xml:space="preserve">Failures are diagnosed; tests that broke for the wrong reason are repaired and re-run automatically.</w:t>
            </w:r>
          </w:p>
        </w:tc>
      </w:tr>
      <w:tr>
        <w:tc>
          <w:tcPr>
            <w:tcW w:type="dxa" w:w="1613"/>
            <w:shd w:fill="FAF9FE" w:val="clear"/>
            <w:tcMar>
              <w:top w:type="dxa" w:w="60"/>
              <w:left w:type="dxa" w:w="110"/>
              <w:bottom w:type="dxa" w:w="60"/>
              <w:right w:type="dxa" w:w="110"/>
            </w:tcMar>
            <w:vAlign w:val="center"/>
          </w:tcPr>
          <w:p>
            <w:r>
              <w:rPr>
                <w:rFonts w:ascii="Calibri" w:cs="Calibri" w:eastAsia="Calibri" w:hAnsi="Calibri"/>
                <w:b/>
                <w:bCs/>
                <w:color w:val="1E1B4B"/>
                <w:sz w:val="21"/>
                <w:szCs w:val="21"/>
              </w:rPr>
              <w:t xml:space="preserve">7. Report</w:t>
            </w:r>
          </w:p>
        </w:tc>
        <w:tc>
          <w:tcPr>
            <w:tcW w:type="dxa" w:w="8467"/>
            <w:shd w:fill="FAF9FE" w:val="clear"/>
            <w:tcMar>
              <w:top w:type="dxa" w:w="60"/>
              <w:left w:type="dxa" w:w="110"/>
              <w:bottom w:type="dxa" w:w="60"/>
              <w:right w:type="dxa" w:w="110"/>
            </w:tcMar>
            <w:vAlign w:val="center"/>
          </w:tcPr>
          <w:p>
            <w:r>
              <w:rPr>
                <w:rFonts w:ascii="Calibri" w:cs="Calibri" w:eastAsia="Calibri" w:hAnsi="Calibri"/>
                <w:color w:val="4B5563"/>
                <w:sz w:val="19"/>
                <w:szCs w:val="19"/>
              </w:rPr>
              <w:t xml:space="preserve">A clear result is published — pass rate, failures, healing notes and a full report — with export options.</w:t>
            </w:r>
          </w:p>
        </w:tc>
      </w:tr>
    </w:tbl>
    <w:p>
      <w:pPr>
        <w:spacing w:after="120"/>
      </w:pPr>
      <w:r>
        <w:rPr>
          <w:rFonts w:ascii="Calibri" w:cs="Calibri" w:eastAsia="Calibri" w:hAnsi="Calibri"/>
          <w:color w:val="4B5563"/>
          <w:sz w:val="21"/>
          <w:szCs w:val="21"/>
        </w:rPr>
        <w:t xml:space="preserve"/>
      </w:r>
    </w:p>
    <w:tbl>
      <w:tblPr>
        <w:tblW w:type="dxa" w:w="10080"/>
        <w:tblBorders>
          <w:top w:val="single" w:color="DDD6FE" w:sz="6"/>
          <w:left w:val="single" w:color="DDD6FE" w:sz="6"/>
          <w:bottom w:val="single" w:color="DDD6FE" w:sz="6"/>
          <w:right w:val="single" w:color="DDD6FE" w:sz="6"/>
          <w:insideH w:val="single" w:color="DDD6FE" w:sz="6"/>
          <w:insideV w:val="single" w:color="DDD6FE" w:sz="6"/>
        </w:tblBorders>
      </w:tblPr>
      <w:tblGrid>
        <w:gridCol w:w="10080"/>
      </w:tblGrid>
      <w:tr>
        <w:tc>
          <w:tcPr>
            <w:tcW w:type="dxa" w:w="10080"/>
            <w:shd w:fill="F5F3FF" w:val="clear"/>
            <w:tcMar>
              <w:top w:type="dxa" w:w="120"/>
              <w:left w:type="dxa" w:w="160"/>
              <w:bottom w:type="dxa" w:w="120"/>
              <w:right w:type="dxa" w:w="160"/>
            </w:tcMar>
          </w:tcPr>
          <w:p>
            <w:pPr>
              <w:spacing w:after="60"/>
            </w:pPr>
            <w:r>
              <w:rPr>
                <w:rFonts w:ascii="Calibri" w:cs="Calibri" w:eastAsia="Calibri" w:hAnsi="Calibri"/>
                <w:b/>
                <w:bCs/>
                <w:color w:val="1E1B4B"/>
                <w:sz w:val="21"/>
                <w:szCs w:val="21"/>
              </w:rPr>
              <w:t xml:space="preserve">The review gate — you are always in control</w:t>
            </w:r>
          </w:p>
          <w:p>
            <w:pPr>
              <w:spacing w:after="40" w:line="270"/>
            </w:pPr>
            <w:r>
              <w:rPr>
                <w:rFonts w:ascii="Calibri" w:cs="Calibri" w:eastAsia="Calibri" w:hAnsi="Calibri"/>
                <w:color w:val="4B5563"/>
                <w:sz w:val="20"/>
                <w:szCs w:val="20"/>
              </w:rPr>
              <w:t xml:space="preserve">Nothing is automated, executed or reported until you approve it. After the AI designs scenarios, the workflow pauses so you can review every one and deselect anything you do not want. Once you run the suite, Automate → Execute → Heal → Report proceed straight through.</w:t>
            </w:r>
          </w:p>
        </w:tc>
      </w:tr>
    </w:tbl>
    <w:p>
      <w:r>
        <w:br w:type="page"/>
      </w:r>
    </w:p>
    <w:p>
      <w:pPr>
        <w:pStyle w:val="Heading1"/>
        <w:spacing w:after="140" w:before="320"/>
      </w:pPr>
      <w:r>
        <w:rPr>
          <w:rFonts w:ascii="Calibri" w:cs="Calibri" w:eastAsia="Calibri" w:hAnsi="Calibri"/>
          <w:b/>
          <w:bCs/>
          <w:color w:val="6D28D9"/>
          <w:sz w:val="32"/>
          <w:szCs w:val="32"/>
        </w:rPr>
        <w:t xml:space="preserve">3. Getting started</w:t>
      </w:r>
    </w:p>
    <w:p>
      <w:pPr>
        <w:pStyle w:val="Heading2"/>
        <w:spacing w:after="100" w:before="260"/>
      </w:pPr>
      <w:r>
        <w:rPr>
          <w:rFonts w:ascii="Calibri" w:cs="Calibri" w:eastAsia="Calibri" w:hAnsi="Calibri"/>
          <w:b/>
          <w:bCs/>
          <w:color w:val="1E1B4B"/>
          <w:sz w:val="26"/>
          <w:szCs w:val="26"/>
        </w:rPr>
        <w:t xml:space="preserve">3.1 Signing in and opening API Automation</w:t>
      </w:r>
    </w:p>
    <w:p>
      <w:pPr>
        <w:pStyle w:val="ListParagraph"/>
        <w:numPr>
          <w:ilvl w:val="0"/>
          <w:numId w:val="3"/>
        </w:numPr>
        <w:spacing w:after="90" w:line="272"/>
      </w:pPr>
      <w:r>
        <w:rPr>
          <w:rFonts w:ascii="Calibri" w:cs="Calibri" w:eastAsia="Calibri" w:hAnsi="Calibri"/>
          <w:color w:val="4B5563"/>
          <w:sz w:val="21"/>
          <w:szCs w:val="21"/>
        </w:rPr>
        <w:t xml:space="preserve">Open IntelliQE in your browser and sign in with your username and password.</w:t>
      </w:r>
    </w:p>
    <w:p>
      <w:pPr>
        <w:pStyle w:val="ListParagraph"/>
        <w:numPr>
          <w:ilvl w:val="0"/>
          <w:numId w:val="3"/>
        </w:numPr>
        <w:spacing w:after="90" w:line="272"/>
      </w:pPr>
      <w:r>
        <w:rPr>
          <w:rFonts w:ascii="Calibri" w:cs="Calibri" w:eastAsia="Calibri" w:hAnsi="Calibri"/>
          <w:color w:val="4B5563"/>
          <w:sz w:val="21"/>
          <w:szCs w:val="21"/>
        </w:rPr>
        <w:t xml:space="preserve">In the left-hand sidebar, click API Automation.</w:t>
      </w:r>
    </w:p>
    <w:p>
      <w:pPr>
        <w:pStyle w:val="ListParagraph"/>
        <w:numPr>
          <w:ilvl w:val="0"/>
          <w:numId w:val="3"/>
        </w:numPr>
        <w:spacing w:after="90" w:line="272"/>
      </w:pPr>
      <w:r>
        <w:rPr>
          <w:rFonts w:ascii="Calibri" w:cs="Calibri" w:eastAsia="Calibri" w:hAnsi="Calibri"/>
          <w:color w:val="4B5563"/>
          <w:sz w:val="21"/>
          <w:szCs w:val="21"/>
        </w:rPr>
        <w:t xml:space="preserve">You arrive on the Overview dashboard (shown below).</w:t>
      </w:r>
    </w:p>
    <w:p>
      <w:pPr>
        <w:pStyle w:val="Heading2"/>
        <w:spacing w:after="100" w:before="260"/>
      </w:pPr>
      <w:r>
        <w:rPr>
          <w:rFonts w:ascii="Calibri" w:cs="Calibri" w:eastAsia="Calibri" w:hAnsi="Calibri"/>
          <w:b/>
          <w:bCs/>
          <w:color w:val="1E1B4B"/>
          <w:sz w:val="26"/>
          <w:szCs w:val="26"/>
        </w:rPr>
        <w:t xml:space="preserve">3.2 The workspace layout</w:t>
      </w:r>
    </w:p>
    <w:p>
      <w:pPr>
        <w:spacing w:after="140" w:before="0" w:line="276"/>
      </w:pPr>
      <w:r>
        <w:rPr>
          <w:rFonts w:ascii="Calibri" w:cs="Calibri" w:eastAsia="Calibri" w:hAnsi="Calibri"/>
          <w:color w:val="4B5563"/>
          <w:sz w:val="21"/>
          <w:szCs w:val="21"/>
        </w:rPr>
        <w:t xml:space="preserve">API Automation is organised as a single page with a row of tabs that follow the workflow left to right:</w:t>
      </w:r>
    </w:p>
    <w:p>
      <w:pPr>
        <w:pStyle w:val="ListParagraph"/>
        <w:numPr>
          <w:ilvl w:val="0"/>
          <w:numId w:val="2"/>
        </w:numPr>
        <w:spacing w:after="70" w:line="272"/>
      </w:pPr>
      <w:r>
        <w:rPr>
          <w:rFonts w:ascii="Calibri" w:cs="Calibri" w:eastAsia="Calibri" w:hAnsi="Calibri"/>
          <w:b/>
          <w:bCs/>
          <w:color w:val="1E1B4B"/>
          <w:sz w:val="21"/>
          <w:szCs w:val="21"/>
        </w:rPr>
        <w:t xml:space="preserve">Overview — </w:t>
      </w:r>
      <w:r>
        <w:rPr>
          <w:rFonts w:ascii="Calibri" w:cs="Calibri" w:eastAsia="Calibri" w:hAnsi="Calibri"/>
          <w:color w:val="4B5563"/>
          <w:sz w:val="21"/>
          <w:szCs w:val="21"/>
        </w:rPr>
        <w:t xml:space="preserve">the dashboard: KPIs, pass-rate trend, anomalies and recent runs.</w:t>
      </w:r>
    </w:p>
    <w:p>
      <w:pPr>
        <w:pStyle w:val="ListParagraph"/>
        <w:numPr>
          <w:ilvl w:val="0"/>
          <w:numId w:val="2"/>
        </w:numPr>
        <w:spacing w:after="70" w:line="272"/>
      </w:pPr>
      <w:r>
        <w:rPr>
          <w:rFonts w:ascii="Calibri" w:cs="Calibri" w:eastAsia="Calibri" w:hAnsi="Calibri"/>
          <w:b/>
          <w:bCs/>
          <w:color w:val="1E1B4B"/>
          <w:sz w:val="21"/>
          <w:szCs w:val="21"/>
        </w:rPr>
        <w:t xml:space="preserve">Endpoints — </w:t>
      </w:r>
      <w:r>
        <w:rPr>
          <w:rFonts w:ascii="Calibri" w:cs="Calibri" w:eastAsia="Calibri" w:hAnsi="Calibri"/>
          <w:color w:val="4B5563"/>
          <w:sz w:val="21"/>
          <w:szCs w:val="21"/>
        </w:rPr>
        <w:t xml:space="preserve">the catalogue of everything you have imported, and where you launch test generation and the quality tools.</w:t>
      </w:r>
    </w:p>
    <w:p>
      <w:pPr>
        <w:pStyle w:val="ListParagraph"/>
        <w:numPr>
          <w:ilvl w:val="0"/>
          <w:numId w:val="2"/>
        </w:numPr>
        <w:spacing w:after="70" w:line="272"/>
      </w:pPr>
      <w:r>
        <w:rPr>
          <w:rFonts w:ascii="Calibri" w:cs="Calibri" w:eastAsia="Calibri" w:hAnsi="Calibri"/>
          <w:b/>
          <w:bCs/>
          <w:color w:val="1E1B4B"/>
          <w:sz w:val="21"/>
          <w:szCs w:val="21"/>
        </w:rPr>
        <w:t xml:space="preserve">Scenarios — </w:t>
      </w:r>
      <w:r>
        <w:rPr>
          <w:rFonts w:ascii="Calibri" w:cs="Calibri" w:eastAsia="Calibri" w:hAnsi="Calibri"/>
          <w:color w:val="4B5563"/>
          <w:sz w:val="21"/>
          <w:szCs w:val="21"/>
        </w:rPr>
        <w:t xml:space="preserve">the AI-designed test scenarios, presented for your review.</w:t>
      </w:r>
    </w:p>
    <w:p>
      <w:pPr>
        <w:pStyle w:val="ListParagraph"/>
        <w:numPr>
          <w:ilvl w:val="0"/>
          <w:numId w:val="2"/>
        </w:numPr>
        <w:spacing w:after="70" w:line="272"/>
      </w:pPr>
      <w:r>
        <w:rPr>
          <w:rFonts w:ascii="Calibri" w:cs="Calibri" w:eastAsia="Calibri" w:hAnsi="Calibri"/>
          <w:b/>
          <w:bCs/>
          <w:color w:val="1E1B4B"/>
          <w:sz w:val="21"/>
          <w:szCs w:val="21"/>
        </w:rPr>
        <w:t xml:space="preserve">Runs — </w:t>
      </w:r>
      <w:r>
        <w:rPr>
          <w:rFonts w:ascii="Calibri" w:cs="Calibri" w:eastAsia="Calibri" w:hAnsi="Calibri"/>
          <w:color w:val="4B5563"/>
          <w:sz w:val="21"/>
          <w:szCs w:val="21"/>
        </w:rPr>
        <w:t xml:space="preserve">live and historical runs, with per-scenario results.</w:t>
      </w:r>
    </w:p>
    <w:p>
      <w:pPr>
        <w:pStyle w:val="ListParagraph"/>
        <w:numPr>
          <w:ilvl w:val="0"/>
          <w:numId w:val="2"/>
        </w:numPr>
        <w:spacing w:after="70" w:line="272"/>
      </w:pPr>
      <w:r>
        <w:rPr>
          <w:rFonts w:ascii="Calibri" w:cs="Calibri" w:eastAsia="Calibri" w:hAnsi="Calibri"/>
          <w:b/>
          <w:bCs/>
          <w:color w:val="1E1B4B"/>
          <w:sz w:val="21"/>
          <w:szCs w:val="21"/>
        </w:rPr>
        <w:t xml:space="preserve">Reports — </w:t>
      </w:r>
      <w:r>
        <w:rPr>
          <w:rFonts w:ascii="Calibri" w:cs="Calibri" w:eastAsia="Calibri" w:hAnsi="Calibri"/>
          <w:color w:val="4B5563"/>
          <w:sz w:val="21"/>
          <w:szCs w:val="21"/>
        </w:rPr>
        <w:t xml:space="preserve">the outcome of a run: pass rate, failures, healing and export.</w:t>
      </w:r>
    </w:p>
    <w:p>
      <w:pPr>
        <w:pStyle w:val="ListParagraph"/>
        <w:numPr>
          <w:ilvl w:val="0"/>
          <w:numId w:val="2"/>
        </w:numPr>
        <w:spacing w:after="70" w:line="272"/>
      </w:pPr>
      <w:r>
        <w:rPr>
          <w:rFonts w:ascii="Calibri" w:cs="Calibri" w:eastAsia="Calibri" w:hAnsi="Calibri"/>
          <w:b/>
          <w:bCs/>
          <w:color w:val="1E1B4B"/>
          <w:sz w:val="21"/>
          <w:szCs w:val="21"/>
        </w:rPr>
        <w:t xml:space="preserve">Environments — </w:t>
      </w:r>
      <w:r>
        <w:rPr>
          <w:rFonts w:ascii="Calibri" w:cs="Calibri" w:eastAsia="Calibri" w:hAnsi="Calibri"/>
          <w:color w:val="4B5563"/>
          <w:sz w:val="21"/>
          <w:szCs w:val="21"/>
        </w:rPr>
        <w:t xml:space="preserve">named targets (dev, staging, production) with their base URLs and credentials.</w:t>
      </w:r>
    </w:p>
    <w:p>
      <w:pPr>
        <w:spacing w:after="140" w:before="0" w:line="276"/>
      </w:pPr>
      <w:r>
        <w:rPr>
          <w:rFonts w:ascii="Calibri" w:cs="Calibri" w:eastAsia="Calibri" w:hAnsi="Calibri"/>
          <w:color w:val="4B5563"/>
          <w:sz w:val="21"/>
          <w:szCs w:val="21"/>
        </w:rPr>
        <w:t xml:space="preserve">Two more controls are always at hand: </w:t>
      </w:r>
      <w:r>
        <w:rPr>
          <w:rFonts w:ascii="Calibri" w:cs="Calibri" w:eastAsia="Calibri" w:hAnsi="Calibri"/>
          <w:b/>
          <w:bCs/>
          <w:color w:val="1E1B4B"/>
          <w:sz w:val="21"/>
          <w:szCs w:val="21"/>
        </w:rPr>
        <w:t xml:space="preserve">Import</w:t>
      </w:r>
      <w:r>
        <w:rPr>
          <w:rFonts w:ascii="Calibri" w:cs="Calibri" w:eastAsia="Calibri" w:hAnsi="Calibri"/>
          <w:color w:val="4B5563"/>
          <w:sz w:val="21"/>
          <w:szCs w:val="21"/>
        </w:rPr>
        <w:t xml:space="preserve"> (a button that opens the intake window over any tab) and the </w:t>
      </w:r>
      <w:r>
        <w:rPr>
          <w:rFonts w:ascii="Calibri" w:cs="Calibri" w:eastAsia="Calibri" w:hAnsi="Calibri"/>
          <w:b/>
          <w:bCs/>
          <w:color w:val="1E1B4B"/>
          <w:sz w:val="21"/>
          <w:szCs w:val="21"/>
        </w:rPr>
        <w:t xml:space="preserve">Activity log</w:t>
      </w:r>
      <w:r>
        <w:rPr>
          <w:rFonts w:ascii="Calibri" w:cs="Calibri" w:eastAsia="Calibri" w:hAnsi="Calibri"/>
          <w:color w:val="4B5563"/>
          <w:sz w:val="21"/>
          <w:szCs w:val="21"/>
        </w:rPr>
        <w:t xml:space="preserve"> (a slide-out panel that narrates each run stage in real time).</w:t>
      </w:r>
    </w:p>
    <w:tbl>
      <w:tblPr>
        <w:tblW w:type="dxa" w:w="10080"/>
        <w:jc w:val="center"/>
        <w:tblBorders>
          <w:top w:val="single" w:color="C7C3DE" w:sz="6"/>
          <w:left w:val="single" w:color="C7C3DE" w:sz="6"/>
          <w:bottom w:val="single" w:color="C7C3DE" w:sz="6"/>
          <w:right w:val="single" w:color="C7C3DE" w:sz="6"/>
          <w:insideH w:val="single" w:color="C7C3DE" w:sz="6"/>
          <w:insideV w:val="single" w:color="C7C3DE" w:sz="6"/>
        </w:tblBorders>
      </w:tblPr>
      <w:tblGrid>
        <w:gridCol w:w="10080"/>
      </w:tblGrid>
      <w:tr>
        <w:tc>
          <w:tcPr>
            <w:tcW w:type="dxa" w:w="10080"/>
            <w:tcMar>
              <w:top w:type="dxa" w:w="60"/>
              <w:left w:type="dxa" w:w="60"/>
              <w:bottom w:type="dxa" w:w="60"/>
              <w:right w:type="dxa" w:w="60"/>
            </w:tcMar>
          </w:tcPr>
          <w:p>
            <w:pPr>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895725"/>
                          </a:xfrm>
                          <a:prstGeom prst="rect">
                            <a:avLst/>
                          </a:prstGeom>
                        </pic:spPr>
                      </pic:pic>
                    </a:graphicData>
                  </a:graphic>
                </wp:inline>
              </w:drawing>
            </w:r>
          </w:p>
        </w:tc>
      </w:tr>
    </w:tbl>
    <w:p>
      <w:pPr>
        <w:spacing w:after="240" w:before="70"/>
        <w:jc w:val="center"/>
      </w:pPr>
      <w:r>
        <w:rPr>
          <w:rFonts w:ascii="Calibri" w:cs="Calibri" w:eastAsia="Calibri" w:hAnsi="Calibri"/>
          <w:i/>
          <w:iCs/>
          <w:color w:val="6B7280"/>
          <w:sz w:val="18"/>
          <w:szCs w:val="18"/>
        </w:rPr>
        <w:t xml:space="preserve">Figure 2. The API Automation workspace, showing the tab bar and the Overview dashboard.</w:t>
      </w:r>
    </w:p>
    <w:p>
      <w:r>
        <w:br w:type="page"/>
      </w:r>
    </w:p>
    <w:p>
      <w:pPr>
        <w:pStyle w:val="Heading1"/>
        <w:spacing w:after="140" w:before="320"/>
      </w:pPr>
      <w:r>
        <w:rPr>
          <w:rFonts w:ascii="Calibri" w:cs="Calibri" w:eastAsia="Calibri" w:hAnsi="Calibri"/>
          <w:b/>
          <w:bCs/>
          <w:color w:val="6D28D9"/>
          <w:sz w:val="32"/>
          <w:szCs w:val="32"/>
        </w:rPr>
        <w:t xml:space="preserve">4. The end-to-end walkthrough</w:t>
      </w:r>
    </w:p>
    <w:p>
      <w:pPr>
        <w:spacing w:after="180" w:line="288"/>
      </w:pPr>
      <w:r>
        <w:rPr>
          <w:rFonts w:ascii="Calibri" w:cs="Calibri" w:eastAsia="Calibri" w:hAnsi="Calibri"/>
          <w:color w:val="4B5563"/>
          <w:sz w:val="22"/>
          <w:szCs w:val="22"/>
        </w:rPr>
        <w:t xml:space="preserve">This section follows a complete journey — from importing an API to a finished, self-healed report — the way you would actually use the product. The screenshots use a sample public API (JSONPlaceholder) so every step shows real results.</w:t>
      </w:r>
    </w:p>
    <w:p>
      <w:pPr>
        <w:pStyle w:val="Heading2"/>
        <w:spacing w:after="100" w:before="260"/>
      </w:pPr>
      <w:r>
        <w:rPr>
          <w:rFonts w:ascii="Calibri" w:cs="Calibri" w:eastAsia="Calibri" w:hAnsi="Calibri"/>
          <w:b/>
          <w:bCs/>
          <w:color w:val="1E1B4B"/>
          <w:sz w:val="26"/>
          <w:szCs w:val="26"/>
        </w:rPr>
        <w:t xml:space="preserve">4.1 Step 1 — Import your API</w:t>
      </w:r>
    </w:p>
    <w:p>
      <w:pPr>
        <w:spacing w:after="140" w:before="0" w:line="276"/>
      </w:pPr>
      <w:r>
        <w:rPr>
          <w:rFonts w:ascii="Calibri" w:cs="Calibri" w:eastAsia="Calibri" w:hAnsi="Calibri"/>
          <w:color w:val="4B5563"/>
          <w:sz w:val="21"/>
          <w:szCs w:val="21"/>
        </w:rPr>
        <w:t xml:space="preserve">Click Import to open the intake window. IntelliQE offers twelve ways to bring an API in — all of them end the same way: the endpoints land in your catalogue, already profiled and ready to test.</w:t>
      </w:r>
    </w:p>
    <w:tbl>
      <w:tblPr>
        <w:tblW w:type="dxa" w:w="10080"/>
        <w:jc w:val="center"/>
        <w:tblBorders>
          <w:top w:val="single" w:color="C7C3DE" w:sz="6"/>
          <w:left w:val="single" w:color="C7C3DE" w:sz="6"/>
          <w:bottom w:val="single" w:color="C7C3DE" w:sz="6"/>
          <w:right w:val="single" w:color="C7C3DE" w:sz="6"/>
          <w:insideH w:val="single" w:color="C7C3DE" w:sz="6"/>
          <w:insideV w:val="single" w:color="C7C3DE" w:sz="6"/>
        </w:tblBorders>
      </w:tblPr>
      <w:tblGrid>
        <w:gridCol w:w="10080"/>
      </w:tblGrid>
      <w:tr>
        <w:tc>
          <w:tcPr>
            <w:tcW w:type="dxa" w:w="10080"/>
            <w:tcMar>
              <w:top w:type="dxa" w:w="60"/>
              <w:left w:type="dxa" w:w="60"/>
              <w:bottom w:type="dxa" w:w="60"/>
              <w:right w:type="dxa" w:w="60"/>
            </w:tcMar>
          </w:tcPr>
          <w:p>
            <w:pPr>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895725"/>
                          </a:xfrm>
                          <a:prstGeom prst="rect">
                            <a:avLst/>
                          </a:prstGeom>
                        </pic:spPr>
                      </pic:pic>
                    </a:graphicData>
                  </a:graphic>
                </wp:inline>
              </w:drawing>
            </w:r>
          </w:p>
        </w:tc>
      </w:tr>
    </w:tbl>
    <w:p>
      <w:pPr>
        <w:spacing w:after="240" w:before="70"/>
        <w:jc w:val="center"/>
      </w:pPr>
      <w:r>
        <w:rPr>
          <w:rFonts w:ascii="Calibri" w:cs="Calibri" w:eastAsia="Calibri" w:hAnsi="Calibri"/>
          <w:i/>
          <w:iCs/>
          <w:color w:val="6B7280"/>
          <w:sz w:val="18"/>
          <w:szCs w:val="18"/>
        </w:rPr>
        <w:t xml:space="preserve">Figure 3. The Import window: a bulk drop-zone at the top and the twelve import methods below.</w:t>
      </w:r>
    </w:p>
    <w:p>
      <w:pPr>
        <w:spacing w:after="140" w:before="0" w:line="276"/>
      </w:pPr>
      <w:r>
        <w:rPr>
          <w:rFonts w:ascii="Calibri" w:cs="Calibri" w:eastAsia="Calibri" w:hAnsi="Calibri"/>
          <w:color w:val="4B5563"/>
          <w:sz w:val="21"/>
          <w:szCs w:val="21"/>
        </w:rPr>
        <w:t xml:space="preserve">The twelve import methods:</w:t>
      </w:r>
    </w:p>
    <w:tbl>
      <w:tblPr>
        <w:tblW w:type="dxa" w:w="10080"/>
        <w:tblBorders>
          <w:top w:val="single" w:color="D8D5E8" w:sz="6"/>
          <w:left w:val="single" w:color="D8D5E8" w:sz="6"/>
          <w:bottom w:val="single" w:color="D8D5E8" w:sz="6"/>
          <w:right w:val="single" w:color="D8D5E8" w:sz="6"/>
          <w:insideH w:val="single" w:color="D8D5E8" w:sz="6"/>
          <w:insideV w:val="single" w:color="D8D5E8" w:sz="6"/>
        </w:tblBorders>
      </w:tblPr>
      <w:tblGrid>
        <w:gridCol w:w="2621"/>
        <w:gridCol w:w="7459"/>
      </w:tblGrid>
      <w:tr>
        <w:trPr>
          <w:tblHeader/>
        </w:trPr>
        <w:tc>
          <w:tcPr>
            <w:tcW w:type="dxa" w:w="2621"/>
            <w:shd w:fill="6D28D9"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Method</w:t>
            </w:r>
          </w:p>
        </w:tc>
        <w:tc>
          <w:tcPr>
            <w:tcW w:type="dxa" w:w="7459"/>
            <w:shd w:fill="6D28D9"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What you provide</w:t>
            </w:r>
          </w:p>
        </w:tc>
      </w:tr>
      <w:tr>
        <w:tc>
          <w:tcPr>
            <w:tcW w:type="dxa" w:w="2621"/>
            <w:shd w:fill="FAF9FE" w:val="clear"/>
            <w:tcMar>
              <w:top w:type="dxa" w:w="60"/>
              <w:left w:type="dxa" w:w="110"/>
              <w:bottom w:type="dxa" w:w="60"/>
              <w:right w:type="dxa" w:w="110"/>
            </w:tcMar>
            <w:vAlign w:val="center"/>
          </w:tcPr>
          <w:p>
            <w:r>
              <w:rPr>
                <w:rFonts w:ascii="Calibri" w:cs="Calibri" w:eastAsia="Calibri" w:hAnsi="Calibri"/>
                <w:color w:val="4B5563"/>
                <w:sz w:val="19"/>
                <w:szCs w:val="19"/>
              </w:rPr>
              <w:t xml:space="preserve">OpenAPI / Swagger</w:t>
            </w:r>
          </w:p>
        </w:tc>
        <w:tc>
          <w:tcPr>
            <w:tcW w:type="dxa" w:w="7459"/>
            <w:shd w:fill="FAF9FE" w:val="clear"/>
            <w:tcMar>
              <w:top w:type="dxa" w:w="60"/>
              <w:left w:type="dxa" w:w="110"/>
              <w:bottom w:type="dxa" w:w="60"/>
              <w:right w:type="dxa" w:w="110"/>
            </w:tcMar>
            <w:vAlign w:val="center"/>
          </w:tcPr>
          <w:p>
            <w:r>
              <w:rPr>
                <w:rFonts w:ascii="Calibri" w:cs="Calibri" w:eastAsia="Calibri" w:hAnsi="Calibri"/>
                <w:color w:val="4B5563"/>
                <w:sz w:val="19"/>
                <w:szCs w:val="19"/>
              </w:rPr>
              <w:t xml:space="preserve">A spec file (JSON/YAML) or its URL — every path and method is built automatically.</w:t>
            </w:r>
          </w:p>
        </w:tc>
      </w:tr>
      <w:tr>
        <w:tc>
          <w:tcPr>
            <w:tcW w:type="dxa" w:w="2621"/>
            <w:shd w:fill="FFFFFF" w:val="clear"/>
            <w:tcMar>
              <w:top w:type="dxa" w:w="60"/>
              <w:left w:type="dxa" w:w="110"/>
              <w:bottom w:type="dxa" w:w="60"/>
              <w:right w:type="dxa" w:w="110"/>
            </w:tcMar>
            <w:vAlign w:val="center"/>
          </w:tcPr>
          <w:p>
            <w:r>
              <w:rPr>
                <w:rFonts w:ascii="Calibri" w:cs="Calibri" w:eastAsia="Calibri" w:hAnsi="Calibri"/>
                <w:color w:val="4B5563"/>
                <w:sz w:val="19"/>
                <w:szCs w:val="19"/>
              </w:rPr>
              <w:t xml:space="preserve">Postman Collection</w:t>
            </w:r>
          </w:p>
        </w:tc>
        <w:tc>
          <w:tcPr>
            <w:tcW w:type="dxa" w:w="7459"/>
            <w:shd w:fill="FFFFFF" w:val="clear"/>
            <w:tcMar>
              <w:top w:type="dxa" w:w="60"/>
              <w:left w:type="dxa" w:w="110"/>
              <w:bottom w:type="dxa" w:w="60"/>
              <w:right w:type="dxa" w:w="110"/>
            </w:tcMar>
            <w:vAlign w:val="center"/>
          </w:tcPr>
          <w:p>
            <w:r>
              <w:rPr>
                <w:rFonts w:ascii="Calibri" w:cs="Calibri" w:eastAsia="Calibri" w:hAnsi="Calibri"/>
                <w:color w:val="4B5563"/>
                <w:sz w:val="19"/>
                <w:szCs w:val="19"/>
              </w:rPr>
              <w:t xml:space="preserve">A Postman, Bruno or HAR export; saved responses become the expected contract.</w:t>
            </w:r>
          </w:p>
        </w:tc>
      </w:tr>
      <w:tr>
        <w:tc>
          <w:tcPr>
            <w:tcW w:type="dxa" w:w="2621"/>
            <w:shd w:fill="FAF9FE" w:val="clear"/>
            <w:tcMar>
              <w:top w:type="dxa" w:w="60"/>
              <w:left w:type="dxa" w:w="110"/>
              <w:bottom w:type="dxa" w:w="60"/>
              <w:right w:type="dxa" w:w="110"/>
            </w:tcMar>
            <w:vAlign w:val="center"/>
          </w:tcPr>
          <w:p>
            <w:r>
              <w:rPr>
                <w:rFonts w:ascii="Calibri" w:cs="Calibri" w:eastAsia="Calibri" w:hAnsi="Calibri"/>
                <w:color w:val="4B5563"/>
                <w:sz w:val="19"/>
                <w:szCs w:val="19"/>
              </w:rPr>
              <w:t xml:space="preserve">API URL / Endpoint</w:t>
            </w:r>
          </w:p>
        </w:tc>
        <w:tc>
          <w:tcPr>
            <w:tcW w:type="dxa" w:w="7459"/>
            <w:shd w:fill="FAF9FE" w:val="clear"/>
            <w:tcMar>
              <w:top w:type="dxa" w:w="60"/>
              <w:left w:type="dxa" w:w="110"/>
              <w:bottom w:type="dxa" w:w="60"/>
              <w:right w:type="dxa" w:w="110"/>
            </w:tcMar>
            <w:vAlign w:val="center"/>
          </w:tcPr>
          <w:p>
            <w:r>
              <w:rPr>
                <w:rFonts w:ascii="Calibri" w:cs="Calibri" w:eastAsia="Calibri" w:hAnsi="Calibri"/>
                <w:color w:val="4B5563"/>
                <w:sz w:val="19"/>
                <w:szCs w:val="19"/>
              </w:rPr>
              <w:t xml:space="preserve">One live URL; it is probed for its real response and the origin is searched for a spec.</w:t>
            </w:r>
          </w:p>
        </w:tc>
      </w:tr>
      <w:tr>
        <w:tc>
          <w:tcPr>
            <w:tcW w:type="dxa" w:w="2621"/>
            <w:shd w:fill="FFFFFF" w:val="clear"/>
            <w:tcMar>
              <w:top w:type="dxa" w:w="60"/>
              <w:left w:type="dxa" w:w="110"/>
              <w:bottom w:type="dxa" w:w="60"/>
              <w:right w:type="dxa" w:w="110"/>
            </w:tcMar>
            <w:vAlign w:val="center"/>
          </w:tcPr>
          <w:p>
            <w:r>
              <w:rPr>
                <w:rFonts w:ascii="Calibri" w:cs="Calibri" w:eastAsia="Calibri" w:hAnsi="Calibri"/>
                <w:color w:val="4B5563"/>
                <w:sz w:val="19"/>
                <w:szCs w:val="19"/>
              </w:rPr>
              <w:t xml:space="preserve">cURL</w:t>
            </w:r>
          </w:p>
        </w:tc>
        <w:tc>
          <w:tcPr>
            <w:tcW w:type="dxa" w:w="7459"/>
            <w:shd w:fill="FFFFFF" w:val="clear"/>
            <w:tcMar>
              <w:top w:type="dxa" w:w="60"/>
              <w:left w:type="dxa" w:w="110"/>
              <w:bottom w:type="dxa" w:w="60"/>
              <w:right w:type="dxa" w:w="110"/>
            </w:tcMar>
            <w:vAlign w:val="center"/>
          </w:tcPr>
          <w:p>
            <w:r>
              <w:rPr>
                <w:rFonts w:ascii="Calibri" w:cs="Calibri" w:eastAsia="Calibri" w:hAnsi="Calibri"/>
                <w:color w:val="4B5563"/>
                <w:sz w:val="19"/>
                <w:szCs w:val="19"/>
              </w:rPr>
              <w:t xml:space="preserve">Paste one command or a whole script; method, headers, auth and body are parsed exactly.</w:t>
            </w:r>
          </w:p>
        </w:tc>
      </w:tr>
      <w:tr>
        <w:tc>
          <w:tcPr>
            <w:tcW w:type="dxa" w:w="2621"/>
            <w:shd w:fill="FAF9FE" w:val="clear"/>
            <w:tcMar>
              <w:top w:type="dxa" w:w="60"/>
              <w:left w:type="dxa" w:w="110"/>
              <w:bottom w:type="dxa" w:w="60"/>
              <w:right w:type="dxa" w:w="110"/>
            </w:tcMar>
            <w:vAlign w:val="center"/>
          </w:tcPr>
          <w:p>
            <w:r>
              <w:rPr>
                <w:rFonts w:ascii="Calibri" w:cs="Calibri" w:eastAsia="Calibri" w:hAnsi="Calibri"/>
                <w:color w:val="4B5563"/>
                <w:sz w:val="19"/>
                <w:szCs w:val="19"/>
              </w:rPr>
              <w:t xml:space="preserve">API Documentation URL</w:t>
            </w:r>
          </w:p>
        </w:tc>
        <w:tc>
          <w:tcPr>
            <w:tcW w:type="dxa" w:w="7459"/>
            <w:shd w:fill="FAF9FE" w:val="clear"/>
            <w:tcMar>
              <w:top w:type="dxa" w:w="60"/>
              <w:left w:type="dxa" w:w="110"/>
              <w:bottom w:type="dxa" w:w="60"/>
              <w:right w:type="dxa" w:w="110"/>
            </w:tcMar>
            <w:vAlign w:val="center"/>
          </w:tcPr>
          <w:p>
            <w:r>
              <w:rPr>
                <w:rFonts w:ascii="Calibri" w:cs="Calibri" w:eastAsia="Calibri" w:hAnsi="Calibri"/>
                <w:color w:val="4B5563"/>
                <w:sz w:val="19"/>
                <w:szCs w:val="19"/>
              </w:rPr>
              <w:t xml:space="preserve">A reference page; any linked spec is used, otherwise the page is read by AI.</w:t>
            </w:r>
          </w:p>
        </w:tc>
      </w:tr>
      <w:tr>
        <w:tc>
          <w:tcPr>
            <w:tcW w:type="dxa" w:w="2621"/>
            <w:shd w:fill="FFFFFF" w:val="clear"/>
            <w:tcMar>
              <w:top w:type="dxa" w:w="60"/>
              <w:left w:type="dxa" w:w="110"/>
              <w:bottom w:type="dxa" w:w="60"/>
              <w:right w:type="dxa" w:w="110"/>
            </w:tcMar>
            <w:vAlign w:val="center"/>
          </w:tcPr>
          <w:p>
            <w:r>
              <w:rPr>
                <w:rFonts w:ascii="Calibri" w:cs="Calibri" w:eastAsia="Calibri" w:hAnsi="Calibri"/>
                <w:color w:val="4B5563"/>
                <w:sz w:val="19"/>
                <w:szCs w:val="19"/>
              </w:rPr>
              <w:t xml:space="preserve">Custom Connector</w:t>
            </w:r>
          </w:p>
        </w:tc>
        <w:tc>
          <w:tcPr>
            <w:tcW w:type="dxa" w:w="7459"/>
            <w:shd w:fill="FFFFFF" w:val="clear"/>
            <w:tcMar>
              <w:top w:type="dxa" w:w="60"/>
              <w:left w:type="dxa" w:w="110"/>
              <w:bottom w:type="dxa" w:w="60"/>
              <w:right w:type="dxa" w:w="110"/>
            </w:tcMar>
            <w:vAlign w:val="center"/>
          </w:tcPr>
          <w:p>
            <w:r>
              <w:rPr>
                <w:rFonts w:ascii="Calibri" w:cs="Calibri" w:eastAsia="Calibri" w:hAnsi="Calibri"/>
                <w:color w:val="4B5563"/>
                <w:sz w:val="19"/>
                <w:szCs w:val="19"/>
              </w:rPr>
              <w:t xml:space="preserve">A portable JSON/YAML manifest (base URL, auth, endpoints).</w:t>
            </w:r>
          </w:p>
        </w:tc>
      </w:tr>
      <w:tr>
        <w:tc>
          <w:tcPr>
            <w:tcW w:type="dxa" w:w="2621"/>
            <w:shd w:fill="FAF9FE" w:val="clear"/>
            <w:tcMar>
              <w:top w:type="dxa" w:w="60"/>
              <w:left w:type="dxa" w:w="110"/>
              <w:bottom w:type="dxa" w:w="60"/>
              <w:right w:type="dxa" w:w="110"/>
            </w:tcMar>
            <w:vAlign w:val="center"/>
          </w:tcPr>
          <w:p>
            <w:r>
              <w:rPr>
                <w:rFonts w:ascii="Calibri" w:cs="Calibri" w:eastAsia="Calibri" w:hAnsi="Calibri"/>
                <w:color w:val="4B5563"/>
                <w:sz w:val="19"/>
                <w:szCs w:val="19"/>
              </w:rPr>
              <w:t xml:space="preserve">SDK</w:t>
            </w:r>
          </w:p>
        </w:tc>
        <w:tc>
          <w:tcPr>
            <w:tcW w:type="dxa" w:w="7459"/>
            <w:shd w:fill="FAF9FE" w:val="clear"/>
            <w:tcMar>
              <w:top w:type="dxa" w:w="60"/>
              <w:left w:type="dxa" w:w="110"/>
              <w:bottom w:type="dxa" w:w="60"/>
              <w:right w:type="dxa" w:w="110"/>
            </w:tcMar>
            <w:vAlign w:val="center"/>
          </w:tcPr>
          <w:p>
            <w:r>
              <w:rPr>
                <w:rFonts w:ascii="Calibri" w:cs="Calibri" w:eastAsia="Calibri" w:hAnsi="Calibri"/>
                <w:color w:val="4B5563"/>
                <w:sz w:val="19"/>
                <w:szCs w:val="19"/>
              </w:rPr>
              <w:t xml:space="preserve">Client-library source code; every HTTP call it makes becomes an endpoint (AI-assisted).</w:t>
            </w:r>
          </w:p>
        </w:tc>
      </w:tr>
      <w:tr>
        <w:tc>
          <w:tcPr>
            <w:tcW w:type="dxa" w:w="2621"/>
            <w:shd w:fill="FFFFFF" w:val="clear"/>
            <w:tcMar>
              <w:top w:type="dxa" w:w="60"/>
              <w:left w:type="dxa" w:w="110"/>
              <w:bottom w:type="dxa" w:w="60"/>
              <w:right w:type="dxa" w:w="110"/>
            </w:tcMar>
            <w:vAlign w:val="center"/>
          </w:tcPr>
          <w:p>
            <w:r>
              <w:rPr>
                <w:rFonts w:ascii="Calibri" w:cs="Calibri" w:eastAsia="Calibri" w:hAnsi="Calibri"/>
                <w:color w:val="4B5563"/>
                <w:sz w:val="19"/>
                <w:szCs w:val="19"/>
              </w:rPr>
              <w:t xml:space="preserve">Webhook</w:t>
            </w:r>
          </w:p>
        </w:tc>
        <w:tc>
          <w:tcPr>
            <w:tcW w:type="dxa" w:w="7459"/>
            <w:shd w:fill="FFFFFF" w:val="clear"/>
            <w:tcMar>
              <w:top w:type="dxa" w:w="60"/>
              <w:left w:type="dxa" w:w="110"/>
              <w:bottom w:type="dxa" w:w="60"/>
              <w:right w:type="dxa" w:w="110"/>
            </w:tcMar>
            <w:vAlign w:val="center"/>
          </w:tcPr>
          <w:p>
            <w:r>
              <w:rPr>
                <w:rFonts w:ascii="Calibri" w:cs="Calibri" w:eastAsia="Calibri" w:hAnsi="Calibri"/>
                <w:color w:val="4B5563"/>
                <w:sz w:val="19"/>
                <w:szCs w:val="19"/>
              </w:rPr>
              <w:t xml:space="preserve">Your consumer endpoint and its event payloads; deliveries are signed.</w:t>
            </w:r>
          </w:p>
        </w:tc>
      </w:tr>
      <w:tr>
        <w:tc>
          <w:tcPr>
            <w:tcW w:type="dxa" w:w="2621"/>
            <w:shd w:fill="FAF9FE" w:val="clear"/>
            <w:tcMar>
              <w:top w:type="dxa" w:w="60"/>
              <w:left w:type="dxa" w:w="110"/>
              <w:bottom w:type="dxa" w:w="60"/>
              <w:right w:type="dxa" w:w="110"/>
            </w:tcMar>
            <w:vAlign w:val="center"/>
          </w:tcPr>
          <w:p>
            <w:r>
              <w:rPr>
                <w:rFonts w:ascii="Calibri" w:cs="Calibri" w:eastAsia="Calibri" w:hAnsi="Calibri"/>
                <w:color w:val="4B5563"/>
                <w:sz w:val="19"/>
                <w:szCs w:val="19"/>
              </w:rPr>
              <w:t xml:space="preserve">GraphQL</w:t>
            </w:r>
          </w:p>
        </w:tc>
        <w:tc>
          <w:tcPr>
            <w:tcW w:type="dxa" w:w="7459"/>
            <w:shd w:fill="FAF9FE" w:val="clear"/>
            <w:tcMar>
              <w:top w:type="dxa" w:w="60"/>
              <w:left w:type="dxa" w:w="110"/>
              <w:bottom w:type="dxa" w:w="60"/>
              <w:right w:type="dxa" w:w="110"/>
            </w:tcMar>
            <w:vAlign w:val="center"/>
          </w:tcPr>
          <w:p>
            <w:r>
              <w:rPr>
                <w:rFonts w:ascii="Calibri" w:cs="Calibri" w:eastAsia="Calibri" w:hAnsi="Calibri"/>
                <w:color w:val="4B5563"/>
                <w:sz w:val="19"/>
                <w:szCs w:val="19"/>
              </w:rPr>
              <w:t xml:space="preserve">The endpoint (or schema); one operation per Query and Mutation field.</w:t>
            </w:r>
          </w:p>
        </w:tc>
      </w:tr>
      <w:tr>
        <w:tc>
          <w:tcPr>
            <w:tcW w:type="dxa" w:w="2621"/>
            <w:shd w:fill="FFFFFF" w:val="clear"/>
            <w:tcMar>
              <w:top w:type="dxa" w:w="60"/>
              <w:left w:type="dxa" w:w="110"/>
              <w:bottom w:type="dxa" w:w="60"/>
              <w:right w:type="dxa" w:w="110"/>
            </w:tcMar>
            <w:vAlign w:val="center"/>
          </w:tcPr>
          <w:p>
            <w:r>
              <w:rPr>
                <w:rFonts w:ascii="Calibri" w:cs="Calibri" w:eastAsia="Calibri" w:hAnsi="Calibri"/>
                <w:color w:val="4B5563"/>
                <w:sz w:val="19"/>
                <w:szCs w:val="19"/>
              </w:rPr>
              <w:t xml:space="preserve">MCP Server</w:t>
            </w:r>
          </w:p>
        </w:tc>
        <w:tc>
          <w:tcPr>
            <w:tcW w:type="dxa" w:w="7459"/>
            <w:shd w:fill="FFFFFF" w:val="clear"/>
            <w:tcMar>
              <w:top w:type="dxa" w:w="60"/>
              <w:left w:type="dxa" w:w="110"/>
              <w:bottom w:type="dxa" w:w="60"/>
              <w:right w:type="dxa" w:w="110"/>
            </w:tcMar>
            <w:vAlign w:val="center"/>
          </w:tcPr>
          <w:p>
            <w:r>
              <w:rPr>
                <w:rFonts w:ascii="Calibri" w:cs="Calibri" w:eastAsia="Calibri" w:hAnsi="Calibri"/>
                <w:color w:val="4B5563"/>
                <w:sz w:val="19"/>
                <w:szCs w:val="19"/>
              </w:rPr>
              <w:t xml:space="preserve">A Model Context Protocol server URL; one test per exposed tool.</w:t>
            </w:r>
          </w:p>
        </w:tc>
      </w:tr>
      <w:tr>
        <w:tc>
          <w:tcPr>
            <w:tcW w:type="dxa" w:w="2621"/>
            <w:shd w:fill="FAF9FE" w:val="clear"/>
            <w:tcMar>
              <w:top w:type="dxa" w:w="60"/>
              <w:left w:type="dxa" w:w="110"/>
              <w:bottom w:type="dxa" w:w="60"/>
              <w:right w:type="dxa" w:w="110"/>
            </w:tcMar>
            <w:vAlign w:val="center"/>
          </w:tcPr>
          <w:p>
            <w:r>
              <w:rPr>
                <w:rFonts w:ascii="Calibri" w:cs="Calibri" w:eastAsia="Calibri" w:hAnsi="Calibri"/>
                <w:color w:val="4B5563"/>
                <w:sz w:val="19"/>
                <w:szCs w:val="19"/>
              </w:rPr>
              <w:t xml:space="preserve">Middleware</w:t>
            </w:r>
          </w:p>
        </w:tc>
        <w:tc>
          <w:tcPr>
            <w:tcW w:type="dxa" w:w="7459"/>
            <w:shd w:fill="FAF9FE" w:val="clear"/>
            <w:tcMar>
              <w:top w:type="dxa" w:w="60"/>
              <w:left w:type="dxa" w:w="110"/>
              <w:bottom w:type="dxa" w:w="60"/>
              <w:right w:type="dxa" w:w="110"/>
            </w:tcMar>
            <w:vAlign w:val="center"/>
          </w:tcPr>
          <w:p>
            <w:r>
              <w:rPr>
                <w:rFonts w:ascii="Calibri" w:cs="Calibri" w:eastAsia="Calibri" w:hAnsi="Calibri"/>
                <w:color w:val="4B5563"/>
                <w:sz w:val="19"/>
                <w:szCs w:val="19"/>
              </w:rPr>
              <w:t xml:space="preserve">Server route/controller source (Express, Spring, FastAPI, ASP.NET…); every route becomes an endpoint (AI-assisted).</w:t>
            </w:r>
          </w:p>
        </w:tc>
      </w:tr>
      <w:tr>
        <w:tc>
          <w:tcPr>
            <w:tcW w:type="dxa" w:w="2621"/>
            <w:shd w:fill="FFFFFF" w:val="clear"/>
            <w:tcMar>
              <w:top w:type="dxa" w:w="60"/>
              <w:left w:type="dxa" w:w="110"/>
              <w:bottom w:type="dxa" w:w="60"/>
              <w:right w:type="dxa" w:w="110"/>
            </w:tcMar>
            <w:vAlign w:val="center"/>
          </w:tcPr>
          <w:p>
            <w:r>
              <w:rPr>
                <w:rFonts w:ascii="Calibri" w:cs="Calibri" w:eastAsia="Calibri" w:hAnsi="Calibri"/>
                <w:color w:val="4B5563"/>
                <w:sz w:val="19"/>
                <w:szCs w:val="19"/>
              </w:rPr>
              <w:t xml:space="preserve">Manual HTTP Request</w:t>
            </w:r>
          </w:p>
        </w:tc>
        <w:tc>
          <w:tcPr>
            <w:tcW w:type="dxa" w:w="7459"/>
            <w:shd w:fill="FFFFFF" w:val="clear"/>
            <w:tcMar>
              <w:top w:type="dxa" w:w="60"/>
              <w:left w:type="dxa" w:w="110"/>
              <w:bottom w:type="dxa" w:w="60"/>
              <w:right w:type="dxa" w:w="110"/>
            </w:tcMar>
            <w:vAlign w:val="center"/>
          </w:tcPr>
          <w:p>
            <w:r>
              <w:rPr>
                <w:rFonts w:ascii="Calibri" w:cs="Calibri" w:eastAsia="Calibri" w:hAnsi="Calibri"/>
                <w:color w:val="4B5563"/>
                <w:sz w:val="19"/>
                <w:szCs w:val="19"/>
              </w:rPr>
              <w:t xml:space="preserve">Build a single request by hand in a guided editor.</w:t>
            </w:r>
          </w:p>
        </w:tc>
      </w:tr>
    </w:tbl>
    <w:p>
      <w:pPr>
        <w:spacing w:after="120"/>
      </w:pPr>
      <w:r>
        <w:rPr>
          <w:rFonts w:ascii="Calibri" w:cs="Calibri" w:eastAsia="Calibri" w:hAnsi="Calibri"/>
          <w:color w:val="4B5563"/>
          <w:sz w:val="21"/>
          <w:szCs w:val="21"/>
        </w:rPr>
        <w:t xml:space="preserve"/>
      </w:r>
    </w:p>
    <w:p>
      <w:pPr>
        <w:spacing w:after="140" w:before="0" w:line="276"/>
      </w:pPr>
      <w:r>
        <w:rPr>
          <w:rFonts w:ascii="Calibri" w:cs="Calibri" w:eastAsia="Calibri" w:hAnsi="Calibri"/>
          <w:color w:val="4B5563"/>
          <w:sz w:val="21"/>
          <w:szCs w:val="21"/>
        </w:rPr>
        <w:t xml:space="preserve">Each method opens the small form it needs. For example, the Custom Connector method takes a manifest describing the base URL and a list of endpoints:</w:t>
      </w:r>
    </w:p>
    <w:tbl>
      <w:tblPr>
        <w:tblW w:type="dxa" w:w="10080"/>
        <w:jc w:val="center"/>
        <w:tblBorders>
          <w:top w:val="single" w:color="C7C3DE" w:sz="6"/>
          <w:left w:val="single" w:color="C7C3DE" w:sz="6"/>
          <w:bottom w:val="single" w:color="C7C3DE" w:sz="6"/>
          <w:right w:val="single" w:color="C7C3DE" w:sz="6"/>
          <w:insideH w:val="single" w:color="C7C3DE" w:sz="6"/>
          <w:insideV w:val="single" w:color="C7C3DE" w:sz="6"/>
        </w:tblBorders>
      </w:tblPr>
      <w:tblGrid>
        <w:gridCol w:w="10080"/>
      </w:tblGrid>
      <w:tr>
        <w:tc>
          <w:tcPr>
            <w:tcW w:type="dxa" w:w="10080"/>
            <w:tcMar>
              <w:top w:type="dxa" w:w="60"/>
              <w:left w:type="dxa" w:w="60"/>
              <w:bottom w:type="dxa" w:w="60"/>
              <w:right w:type="dxa" w:w="60"/>
            </w:tcMar>
          </w:tcPr>
          <w:p>
            <w:pPr>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895725"/>
                          </a:xfrm>
                          <a:prstGeom prst="rect">
                            <a:avLst/>
                          </a:prstGeom>
                        </pic:spPr>
                      </pic:pic>
                    </a:graphicData>
                  </a:graphic>
                </wp:inline>
              </w:drawing>
            </w:r>
          </w:p>
        </w:tc>
      </w:tr>
    </w:tbl>
    <w:p>
      <w:pPr>
        <w:spacing w:after="240" w:before="70"/>
        <w:jc w:val="center"/>
      </w:pPr>
      <w:r>
        <w:rPr>
          <w:rFonts w:ascii="Calibri" w:cs="Calibri" w:eastAsia="Calibri" w:hAnsi="Calibri"/>
          <w:i/>
          <w:iCs/>
          <w:color w:val="6B7280"/>
          <w:sz w:val="18"/>
          <w:szCs w:val="18"/>
        </w:rPr>
        <w:t xml:space="preserve">Figure 4. A method form (Custom Connector). Every method presents only the fields it needs.</w:t>
      </w:r>
    </w:p>
    <w:p>
      <w:pPr>
        <w:spacing w:after="140" w:before="0" w:line="276"/>
      </w:pPr>
      <w:r>
        <w:rPr>
          <w:rFonts w:ascii="Calibri" w:cs="Calibri" w:eastAsia="Calibri" w:hAnsi="Calibri"/>
          <w:color w:val="4B5563"/>
          <w:sz w:val="21"/>
          <w:szCs w:val="21"/>
        </w:rPr>
        <w:t xml:space="preserve">When the import finishes, a result panel confirms how many endpoints were added, how the source was parsed, any warnings, and a plain-English summary of what the API looks like. Click Review catalogue to continue.</w:t>
      </w:r>
    </w:p>
    <w:p>
      <w:pPr>
        <w:pStyle w:val="Heading2"/>
        <w:spacing w:after="100" w:before="260"/>
      </w:pPr>
      <w:r>
        <w:rPr>
          <w:rFonts w:ascii="Calibri" w:cs="Calibri" w:eastAsia="Calibri" w:hAnsi="Calibri"/>
          <w:b/>
          <w:bCs/>
          <w:color w:val="1E1B4B"/>
          <w:sz w:val="26"/>
          <w:szCs w:val="26"/>
        </w:rPr>
        <w:t xml:space="preserve">4.2 Step 2 — Review the endpoint catalogue</w:t>
      </w:r>
    </w:p>
    <w:p>
      <w:pPr>
        <w:spacing w:after="140" w:before="0" w:line="276"/>
      </w:pPr>
      <w:r>
        <w:rPr>
          <w:rFonts w:ascii="Calibri" w:cs="Calibri" w:eastAsia="Calibri" w:hAnsi="Calibri"/>
          <w:color w:val="4B5563"/>
          <w:sz w:val="21"/>
          <w:szCs w:val="21"/>
        </w:rPr>
        <w:t xml:space="preserve">The Endpoints tab is the catalogue of everything you have imported. Endpoints are grouped by host and resource so a large API stays readable. Each row shows the HTTP method, the path and title, the authentication it uses, the expected status code, and where it came from.</w:t>
      </w:r>
    </w:p>
    <w:tbl>
      <w:tblPr>
        <w:tblW w:type="dxa" w:w="10080"/>
        <w:jc w:val="center"/>
        <w:tblBorders>
          <w:top w:val="single" w:color="C7C3DE" w:sz="6"/>
          <w:left w:val="single" w:color="C7C3DE" w:sz="6"/>
          <w:bottom w:val="single" w:color="C7C3DE" w:sz="6"/>
          <w:right w:val="single" w:color="C7C3DE" w:sz="6"/>
          <w:insideH w:val="single" w:color="C7C3DE" w:sz="6"/>
          <w:insideV w:val="single" w:color="C7C3DE" w:sz="6"/>
        </w:tblBorders>
      </w:tblPr>
      <w:tblGrid>
        <w:gridCol w:w="10080"/>
      </w:tblGrid>
      <w:tr>
        <w:tc>
          <w:tcPr>
            <w:tcW w:type="dxa" w:w="10080"/>
            <w:tcMar>
              <w:top w:type="dxa" w:w="60"/>
              <w:left w:type="dxa" w:w="60"/>
              <w:bottom w:type="dxa" w:w="60"/>
              <w:right w:type="dxa" w:w="60"/>
            </w:tcMar>
          </w:tcPr>
          <w:p>
            <w:pPr>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895725"/>
                          </a:xfrm>
                          <a:prstGeom prst="rect">
                            <a:avLst/>
                          </a:prstGeom>
                        </pic:spPr>
                      </pic:pic>
                    </a:graphicData>
                  </a:graphic>
                </wp:inline>
              </w:drawing>
            </w:r>
          </w:p>
        </w:tc>
      </w:tr>
    </w:tbl>
    <w:p>
      <w:pPr>
        <w:spacing w:after="240" w:before="70"/>
        <w:jc w:val="center"/>
      </w:pPr>
      <w:r>
        <w:rPr>
          <w:rFonts w:ascii="Calibri" w:cs="Calibri" w:eastAsia="Calibri" w:hAnsi="Calibri"/>
          <w:i/>
          <w:iCs/>
          <w:color w:val="6B7280"/>
          <w:sz w:val="18"/>
          <w:szCs w:val="18"/>
        </w:rPr>
        <w:t xml:space="preserve">Figure 5. The endpoint catalogue: endpoints grouped by resource, with selection checkboxes and the quality tools.</w:t>
      </w:r>
    </w:p>
    <w:p>
      <w:pPr>
        <w:pStyle w:val="ListParagraph"/>
        <w:numPr>
          <w:ilvl w:val="0"/>
          <w:numId w:val="2"/>
        </w:numPr>
        <w:spacing w:after="70" w:line="272"/>
      </w:pPr>
      <w:r>
        <w:rPr>
          <w:rFonts w:ascii="Calibri" w:cs="Calibri" w:eastAsia="Calibri" w:hAnsi="Calibri"/>
          <w:b/>
          <w:bCs/>
          <w:color w:val="1E1B4B"/>
          <w:sz w:val="21"/>
          <w:szCs w:val="21"/>
        </w:rPr>
        <w:t xml:space="preserve">Select what to test — </w:t>
      </w:r>
      <w:r>
        <w:rPr>
          <w:rFonts w:ascii="Calibri" w:cs="Calibri" w:eastAsia="Calibri" w:hAnsi="Calibri"/>
          <w:color w:val="4B5563"/>
          <w:sz w:val="21"/>
          <w:szCs w:val="21"/>
        </w:rPr>
        <w:t xml:space="preserve">tick the endpoints you want. A counter shows how many are selected; everything new is selected by default.</w:t>
      </w:r>
    </w:p>
    <w:p>
      <w:pPr>
        <w:pStyle w:val="ListParagraph"/>
        <w:numPr>
          <w:ilvl w:val="0"/>
          <w:numId w:val="2"/>
        </w:numPr>
        <w:spacing w:after="70" w:line="272"/>
      </w:pPr>
      <w:r>
        <w:rPr>
          <w:rFonts w:ascii="Calibri" w:cs="Calibri" w:eastAsia="Calibri" w:hAnsi="Calibri"/>
          <w:b/>
          <w:bCs/>
          <w:color w:val="1E1B4B"/>
          <w:sz w:val="21"/>
          <w:szCs w:val="21"/>
        </w:rPr>
        <w:t xml:space="preserve">Filter &amp; focus — </w:t>
      </w:r>
      <w:r>
        <w:rPr>
          <w:rFonts w:ascii="Calibri" w:cs="Calibri" w:eastAsia="Calibri" w:hAnsi="Calibri"/>
          <w:color w:val="4B5563"/>
          <w:sz w:val="21"/>
          <w:szCs w:val="21"/>
        </w:rPr>
        <w:t xml:space="preserve">search by path, name or tag, filter by method, or focus on a single resource.</w:t>
      </w:r>
    </w:p>
    <w:p>
      <w:pPr>
        <w:pStyle w:val="ListParagraph"/>
        <w:numPr>
          <w:ilvl w:val="0"/>
          <w:numId w:val="2"/>
        </w:numPr>
        <w:spacing w:after="70" w:line="272"/>
      </w:pPr>
      <w:r>
        <w:rPr>
          <w:rFonts w:ascii="Calibri" w:cs="Calibri" w:eastAsia="Calibri" w:hAnsi="Calibri"/>
          <w:b/>
          <w:bCs/>
          <w:color w:val="1E1B4B"/>
          <w:sz w:val="21"/>
          <w:szCs w:val="21"/>
        </w:rPr>
        <w:t xml:space="preserve">Edit any endpoint — </w:t>
      </w:r>
      <w:r>
        <w:rPr>
          <w:rFonts w:ascii="Calibri" w:cs="Calibri" w:eastAsia="Calibri" w:hAnsi="Calibri"/>
          <w:color w:val="4B5563"/>
          <w:sz w:val="21"/>
          <w:szCs w:val="21"/>
        </w:rPr>
        <w:t xml:space="preserve">open the editor to adjust the request, headers, authentication, body and expected response. Credentials are encrypted and only ever sent from the server at run time.</w:t>
      </w:r>
    </w:p>
    <w:p>
      <w:pPr>
        <w:pStyle w:val="ListParagraph"/>
        <w:numPr>
          <w:ilvl w:val="0"/>
          <w:numId w:val="2"/>
        </w:numPr>
        <w:spacing w:after="70" w:line="272"/>
      </w:pPr>
      <w:r>
        <w:rPr>
          <w:rFonts w:ascii="Calibri" w:cs="Calibri" w:eastAsia="Calibri" w:hAnsi="Calibri"/>
          <w:b/>
          <w:bCs/>
          <w:color w:val="1E1B4B"/>
          <w:sz w:val="21"/>
          <w:szCs w:val="21"/>
        </w:rPr>
        <w:t xml:space="preserve">Tools &amp; Export — </w:t>
      </w:r>
      <w:r>
        <w:rPr>
          <w:rFonts w:ascii="Calibri" w:cs="Calibri" w:eastAsia="Calibri" w:hAnsi="Calibri"/>
          <w:color w:val="4B5563"/>
          <w:sz w:val="21"/>
          <w:szCs w:val="21"/>
        </w:rPr>
        <w:t xml:space="preserve">the Tools menu runs quality checks on your selection (Section 7); Export downloads a portable OpenAPI spec, connector manifest, mock server or Pact contract.</w:t>
      </w:r>
    </w:p>
    <w:tbl>
      <w:tblPr>
        <w:tblW w:type="dxa" w:w="10080"/>
        <w:tblBorders>
          <w:top w:val="single" w:color="DDD6FE" w:sz="6"/>
          <w:left w:val="single" w:color="DDD6FE" w:sz="6"/>
          <w:bottom w:val="single" w:color="DDD6FE" w:sz="6"/>
          <w:right w:val="single" w:color="DDD6FE" w:sz="6"/>
          <w:insideH w:val="single" w:color="DDD6FE" w:sz="6"/>
          <w:insideV w:val="single" w:color="DDD6FE" w:sz="6"/>
        </w:tblBorders>
      </w:tblPr>
      <w:tblGrid>
        <w:gridCol w:w="10080"/>
      </w:tblGrid>
      <w:tr>
        <w:tc>
          <w:tcPr>
            <w:tcW w:type="dxa" w:w="10080"/>
            <w:shd w:fill="F5F3FF" w:val="clear"/>
            <w:tcMar>
              <w:top w:type="dxa" w:w="120"/>
              <w:left w:type="dxa" w:w="160"/>
              <w:bottom w:type="dxa" w:w="120"/>
              <w:right w:type="dxa" w:w="160"/>
            </w:tcMar>
          </w:tcPr>
          <w:p>
            <w:pPr>
              <w:spacing w:after="60"/>
            </w:pPr>
            <w:r>
              <w:rPr>
                <w:rFonts w:ascii="Calibri" w:cs="Calibri" w:eastAsia="Calibri" w:hAnsi="Calibri"/>
                <w:b/>
                <w:bCs/>
                <w:color w:val="1E1B4B"/>
                <w:sz w:val="21"/>
                <w:szCs w:val="21"/>
              </w:rPr>
              <w:t xml:space="preserve">Automatic understanding runs behind the scenes</w:t>
            </w:r>
          </w:p>
          <w:p>
            <w:pPr>
              <w:spacing w:after="40" w:line="270"/>
            </w:pPr>
            <w:r>
              <w:rPr>
                <w:rFonts w:ascii="Calibri" w:cs="Calibri" w:eastAsia="Calibri" w:hAnsi="Calibri"/>
                <w:color w:val="4B5563"/>
                <w:sz w:val="20"/>
                <w:szCs w:val="20"/>
              </w:rPr>
              <w:t xml:space="preserve">As soon as endpoints arrive, the platform profiles the whole API — detecting resources and their create/read/update/delete operations, authentication schemes, pagination, data dependencies, end-to-end flows and risks — and recommends a test strategy. This intelligence steers scenario generation even though it works quietly in the background.</w:t>
            </w:r>
          </w:p>
        </w:tc>
      </w:tr>
    </w:tbl>
    <w:p>
      <w:pPr>
        <w:pStyle w:val="Heading2"/>
        <w:spacing w:after="100" w:before="260"/>
      </w:pPr>
      <w:r>
        <w:rPr>
          <w:rFonts w:ascii="Calibri" w:cs="Calibri" w:eastAsia="Calibri" w:hAnsi="Calibri"/>
          <w:b/>
          <w:bCs/>
          <w:color w:val="1E1B4B"/>
          <w:sz w:val="26"/>
          <w:szCs w:val="26"/>
        </w:rPr>
        <w:t xml:space="preserve">4.3 Step 3 — Generate the test scenarios</w:t>
      </w:r>
    </w:p>
    <w:p>
      <w:pPr>
        <w:spacing w:after="140" w:before="0" w:line="276"/>
      </w:pPr>
      <w:r>
        <w:rPr>
          <w:rFonts w:ascii="Calibri" w:cs="Calibri" w:eastAsia="Calibri" w:hAnsi="Calibri"/>
          <w:color w:val="4B5563"/>
          <w:sz w:val="21"/>
          <w:szCs w:val="21"/>
        </w:rPr>
        <w:t xml:space="preserve">With your endpoints selected, click </w:t>
      </w:r>
      <w:r>
        <w:rPr>
          <w:rFonts w:ascii="Calibri" w:cs="Calibri" w:eastAsia="Calibri" w:hAnsi="Calibri"/>
          <w:b/>
          <w:bCs/>
          <w:color w:val="1E1B4B"/>
          <w:sz w:val="21"/>
          <w:szCs w:val="21"/>
        </w:rPr>
        <w:t xml:space="preserve">Testcase generation</w:t>
      </w:r>
      <w:r>
        <w:rPr>
          <w:rFonts w:ascii="Calibri" w:cs="Calibri" w:eastAsia="Calibri" w:hAnsi="Calibri"/>
          <w:color w:val="4B5563"/>
          <w:sz w:val="21"/>
          <w:szCs w:val="21"/>
        </w:rPr>
        <w:t xml:space="preserve"> (it shows the number selected). The AI designs the coverage your strategy calls for — usually about one model call per endpoint — and the workspace moves to the Scenarios tab. Large catalogues take a few minutes; progress appears in the Activity log.</w:t>
      </w:r>
    </w:p>
    <w:p>
      <w:pPr>
        <w:pStyle w:val="Heading3"/>
        <w:spacing w:after="80" w:before="200"/>
      </w:pPr>
      <w:r>
        <w:rPr>
          <w:rFonts w:ascii="Calibri" w:cs="Calibri" w:eastAsia="Calibri" w:hAnsi="Calibri"/>
          <w:b/>
          <w:bCs/>
          <w:color w:val="6D28D9"/>
          <w:sz w:val="23"/>
          <w:szCs w:val="23"/>
        </w:rPr>
        <w:t xml:space="preserve">What a "scenario" is</w:t>
      </w:r>
    </w:p>
    <w:p>
      <w:pPr>
        <w:spacing w:after="140" w:before="0" w:line="276"/>
      </w:pPr>
      <w:r>
        <w:rPr>
          <w:rFonts w:ascii="Calibri" w:cs="Calibri" w:eastAsia="Calibri" w:hAnsi="Calibri"/>
          <w:color w:val="4B5563"/>
          <w:sz w:val="21"/>
          <w:szCs w:val="21"/>
        </w:rPr>
        <w:t xml:space="preserve">A scenario is one designed test case: a title and description, a category (positive, negative, security, schema, boundary, flow, performance), a priority, human-readable steps and expected result, and the exact HTTP request it will send (method, URL, headers, body and expected status).</w:t>
      </w:r>
    </w:p>
    <w:p>
      <w:pPr>
        <w:pStyle w:val="Heading3"/>
        <w:spacing w:after="80" w:before="200"/>
      </w:pPr>
      <w:r>
        <w:rPr>
          <w:rFonts w:ascii="Calibri" w:cs="Calibri" w:eastAsia="Calibri" w:hAnsi="Calibri"/>
          <w:b/>
          <w:bCs/>
          <w:color w:val="6D28D9"/>
          <w:sz w:val="23"/>
          <w:szCs w:val="23"/>
        </w:rPr>
        <w:t xml:space="preserve">Strategy — coverage depth and test layers</w:t>
      </w:r>
    </w:p>
    <w:p>
      <w:pPr>
        <w:spacing w:after="140" w:before="0" w:line="276"/>
      </w:pPr>
      <w:r>
        <w:rPr>
          <w:rFonts w:ascii="Calibri" w:cs="Calibri" w:eastAsia="Calibri" w:hAnsi="Calibri"/>
          <w:color w:val="4B5563"/>
          <w:sz w:val="21"/>
          <w:szCs w:val="21"/>
        </w:rPr>
        <w:t xml:space="preserve">Two dials shape what the AI generates. Coverage depth chooses how far to go — Essential (the highest-value checks), Standard (a balanced regression suite) or Exhaustive (every layer and variation). Test layers choose which kinds of tests to include:</w:t>
      </w:r>
    </w:p>
    <w:tbl>
      <w:tblPr>
        <w:tblW w:type="dxa" w:w="10080"/>
        <w:tblBorders>
          <w:top w:val="single" w:color="D8D5E8" w:sz="6"/>
          <w:left w:val="single" w:color="D8D5E8" w:sz="6"/>
          <w:bottom w:val="single" w:color="D8D5E8" w:sz="6"/>
          <w:right w:val="single" w:color="D8D5E8" w:sz="6"/>
          <w:insideH w:val="single" w:color="D8D5E8" w:sz="6"/>
          <w:insideV w:val="single" w:color="D8D5E8" w:sz="6"/>
        </w:tblBorders>
      </w:tblPr>
      <w:tblGrid>
        <w:gridCol w:w="2016"/>
        <w:gridCol w:w="8064"/>
      </w:tblGrid>
      <w:tr>
        <w:trPr>
          <w:tblHeader/>
        </w:trPr>
        <w:tc>
          <w:tcPr>
            <w:tcW w:type="dxa" w:w="2016"/>
            <w:shd w:fill="6D28D9"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Test layer</w:t>
            </w:r>
          </w:p>
        </w:tc>
        <w:tc>
          <w:tcPr>
            <w:tcW w:type="dxa" w:w="8064"/>
            <w:shd w:fill="6D28D9"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What it verifies</w:t>
            </w:r>
          </w:p>
        </w:tc>
      </w:tr>
      <w:tr>
        <w:tc>
          <w:tcPr>
            <w:tcW w:type="dxa" w:w="2016"/>
            <w:shd w:fill="FAF9FE" w:val="clear"/>
            <w:tcMar>
              <w:top w:type="dxa" w:w="60"/>
              <w:left w:type="dxa" w:w="110"/>
              <w:bottom w:type="dxa" w:w="60"/>
              <w:right w:type="dxa" w:w="110"/>
            </w:tcMar>
            <w:vAlign w:val="center"/>
          </w:tcPr>
          <w:p>
            <w:r>
              <w:rPr>
                <w:rFonts w:ascii="Calibri" w:cs="Calibri" w:eastAsia="Calibri" w:hAnsi="Calibri"/>
                <w:color w:val="4B5563"/>
                <w:sz w:val="19"/>
                <w:szCs w:val="19"/>
              </w:rPr>
              <w:t xml:space="preserve">Smoke</w:t>
            </w:r>
          </w:p>
        </w:tc>
        <w:tc>
          <w:tcPr>
            <w:tcW w:type="dxa" w:w="8064"/>
            <w:shd w:fill="FAF9FE" w:val="clear"/>
            <w:tcMar>
              <w:top w:type="dxa" w:w="60"/>
              <w:left w:type="dxa" w:w="110"/>
              <w:bottom w:type="dxa" w:w="60"/>
              <w:right w:type="dxa" w:w="110"/>
            </w:tcMar>
            <w:vAlign w:val="center"/>
          </w:tcPr>
          <w:p>
            <w:r>
              <w:rPr>
                <w:rFonts w:ascii="Calibri" w:cs="Calibri" w:eastAsia="Calibri" w:hAnsi="Calibri"/>
                <w:color w:val="4B5563"/>
                <w:sz w:val="19"/>
                <w:szCs w:val="19"/>
              </w:rPr>
              <w:t xml:space="preserve">One happy-path request per endpoint — proves reachability and the expected status.</w:t>
            </w:r>
          </w:p>
        </w:tc>
      </w:tr>
      <w:tr>
        <w:tc>
          <w:tcPr>
            <w:tcW w:type="dxa" w:w="2016"/>
            <w:shd w:fill="FFFFFF" w:val="clear"/>
            <w:tcMar>
              <w:top w:type="dxa" w:w="60"/>
              <w:left w:type="dxa" w:w="110"/>
              <w:bottom w:type="dxa" w:w="60"/>
              <w:right w:type="dxa" w:w="110"/>
            </w:tcMar>
            <w:vAlign w:val="center"/>
          </w:tcPr>
          <w:p>
            <w:r>
              <w:rPr>
                <w:rFonts w:ascii="Calibri" w:cs="Calibri" w:eastAsia="Calibri" w:hAnsi="Calibri"/>
                <w:color w:val="4B5563"/>
                <w:sz w:val="19"/>
                <w:szCs w:val="19"/>
              </w:rPr>
              <w:t xml:space="preserve">Contract</w:t>
            </w:r>
          </w:p>
        </w:tc>
        <w:tc>
          <w:tcPr>
            <w:tcW w:type="dxa" w:w="8064"/>
            <w:shd w:fill="FFFFFF" w:val="clear"/>
            <w:tcMar>
              <w:top w:type="dxa" w:w="60"/>
              <w:left w:type="dxa" w:w="110"/>
              <w:bottom w:type="dxa" w:w="60"/>
              <w:right w:type="dxa" w:w="110"/>
            </w:tcMar>
            <w:vAlign w:val="center"/>
          </w:tcPr>
          <w:p>
            <w:r>
              <w:rPr>
                <w:rFonts w:ascii="Calibri" w:cs="Calibri" w:eastAsia="Calibri" w:hAnsi="Calibri"/>
                <w:color w:val="4B5563"/>
                <w:sz w:val="19"/>
                <w:szCs w:val="19"/>
              </w:rPr>
              <w:t xml:space="preserve">Status code, content-type and response-time guards on every endpoint.</w:t>
            </w:r>
          </w:p>
        </w:tc>
      </w:tr>
      <w:tr>
        <w:tc>
          <w:tcPr>
            <w:tcW w:type="dxa" w:w="2016"/>
            <w:shd w:fill="FAF9FE" w:val="clear"/>
            <w:tcMar>
              <w:top w:type="dxa" w:w="60"/>
              <w:left w:type="dxa" w:w="110"/>
              <w:bottom w:type="dxa" w:w="60"/>
              <w:right w:type="dxa" w:w="110"/>
            </w:tcMar>
            <w:vAlign w:val="center"/>
          </w:tcPr>
          <w:p>
            <w:r>
              <w:rPr>
                <w:rFonts w:ascii="Calibri" w:cs="Calibri" w:eastAsia="Calibri" w:hAnsi="Calibri"/>
                <w:color w:val="4B5563"/>
                <w:sz w:val="19"/>
                <w:szCs w:val="19"/>
              </w:rPr>
              <w:t xml:space="preserve">Schema</w:t>
            </w:r>
          </w:p>
        </w:tc>
        <w:tc>
          <w:tcPr>
            <w:tcW w:type="dxa" w:w="8064"/>
            <w:shd w:fill="FAF9FE" w:val="clear"/>
            <w:tcMar>
              <w:top w:type="dxa" w:w="60"/>
              <w:left w:type="dxa" w:w="110"/>
              <w:bottom w:type="dxa" w:w="60"/>
              <w:right w:type="dxa" w:w="110"/>
            </w:tcMar>
            <w:vAlign w:val="center"/>
          </w:tcPr>
          <w:p>
            <w:r>
              <w:rPr>
                <w:rFonts w:ascii="Calibri" w:cs="Calibri" w:eastAsia="Calibri" w:hAnsi="Calibri"/>
                <w:color w:val="4B5563"/>
                <w:sz w:val="19"/>
                <w:szCs w:val="19"/>
              </w:rPr>
              <w:t xml:space="preserve">Field-level type and value checks where an example response exists.</w:t>
            </w:r>
          </w:p>
        </w:tc>
      </w:tr>
      <w:tr>
        <w:tc>
          <w:tcPr>
            <w:tcW w:type="dxa" w:w="2016"/>
            <w:shd w:fill="FFFFFF" w:val="clear"/>
            <w:tcMar>
              <w:top w:type="dxa" w:w="60"/>
              <w:left w:type="dxa" w:w="110"/>
              <w:bottom w:type="dxa" w:w="60"/>
              <w:right w:type="dxa" w:w="110"/>
            </w:tcMar>
            <w:vAlign w:val="center"/>
          </w:tcPr>
          <w:p>
            <w:r>
              <w:rPr>
                <w:rFonts w:ascii="Calibri" w:cs="Calibri" w:eastAsia="Calibri" w:hAnsi="Calibri"/>
                <w:color w:val="4B5563"/>
                <w:sz w:val="19"/>
                <w:szCs w:val="19"/>
              </w:rPr>
              <w:t xml:space="preserve">Negative</w:t>
            </w:r>
          </w:p>
        </w:tc>
        <w:tc>
          <w:tcPr>
            <w:tcW w:type="dxa" w:w="8064"/>
            <w:shd w:fill="FFFFFF" w:val="clear"/>
            <w:tcMar>
              <w:top w:type="dxa" w:w="60"/>
              <w:left w:type="dxa" w:w="110"/>
              <w:bottom w:type="dxa" w:w="60"/>
              <w:right w:type="dxa" w:w="110"/>
            </w:tcMar>
            <w:vAlign w:val="center"/>
          </w:tcPr>
          <w:p>
            <w:r>
              <w:rPr>
                <w:rFonts w:ascii="Calibri" w:cs="Calibri" w:eastAsia="Calibri" w:hAnsi="Calibri"/>
                <w:color w:val="4B5563"/>
                <w:sz w:val="19"/>
                <w:szCs w:val="19"/>
              </w:rPr>
              <w:t xml:space="preserve">Unknown IDs, malformed input, missing required fields, wrong method, bad JSON.</w:t>
            </w:r>
          </w:p>
        </w:tc>
      </w:tr>
      <w:tr>
        <w:tc>
          <w:tcPr>
            <w:tcW w:type="dxa" w:w="2016"/>
            <w:shd w:fill="FAF9FE" w:val="clear"/>
            <w:tcMar>
              <w:top w:type="dxa" w:w="60"/>
              <w:left w:type="dxa" w:w="110"/>
              <w:bottom w:type="dxa" w:w="60"/>
              <w:right w:type="dxa" w:w="110"/>
            </w:tcMar>
            <w:vAlign w:val="center"/>
          </w:tcPr>
          <w:p>
            <w:r>
              <w:rPr>
                <w:rFonts w:ascii="Calibri" w:cs="Calibri" w:eastAsia="Calibri" w:hAnsi="Calibri"/>
                <w:color w:val="4B5563"/>
                <w:sz w:val="19"/>
                <w:szCs w:val="19"/>
              </w:rPr>
              <w:t xml:space="preserve">Auth</w:t>
            </w:r>
          </w:p>
        </w:tc>
        <w:tc>
          <w:tcPr>
            <w:tcW w:type="dxa" w:w="8064"/>
            <w:shd w:fill="FAF9FE" w:val="clear"/>
            <w:tcMar>
              <w:top w:type="dxa" w:w="60"/>
              <w:left w:type="dxa" w:w="110"/>
              <w:bottom w:type="dxa" w:w="60"/>
              <w:right w:type="dxa" w:w="110"/>
            </w:tcMar>
            <w:vAlign w:val="center"/>
          </w:tcPr>
          <w:p>
            <w:r>
              <w:rPr>
                <w:rFonts w:ascii="Calibri" w:cs="Calibri" w:eastAsia="Calibri" w:hAnsi="Calibri"/>
                <w:color w:val="4B5563"/>
                <w:sz w:val="19"/>
                <w:szCs w:val="19"/>
              </w:rPr>
              <w:t xml:space="preserve">Missing and malformed credentials on protected endpoints return 401/403.</w:t>
            </w:r>
          </w:p>
        </w:tc>
      </w:tr>
      <w:tr>
        <w:tc>
          <w:tcPr>
            <w:tcW w:type="dxa" w:w="2016"/>
            <w:shd w:fill="FFFFFF" w:val="clear"/>
            <w:tcMar>
              <w:top w:type="dxa" w:w="60"/>
              <w:left w:type="dxa" w:w="110"/>
              <w:bottom w:type="dxa" w:w="60"/>
              <w:right w:type="dxa" w:w="110"/>
            </w:tcMar>
            <w:vAlign w:val="center"/>
          </w:tcPr>
          <w:p>
            <w:r>
              <w:rPr>
                <w:rFonts w:ascii="Calibri" w:cs="Calibri" w:eastAsia="Calibri" w:hAnsi="Calibri"/>
                <w:color w:val="4B5563"/>
                <w:sz w:val="19"/>
                <w:szCs w:val="19"/>
              </w:rPr>
              <w:t xml:space="preserve">Security</w:t>
            </w:r>
          </w:p>
        </w:tc>
        <w:tc>
          <w:tcPr>
            <w:tcW w:type="dxa" w:w="8064"/>
            <w:shd w:fill="FFFFFF" w:val="clear"/>
            <w:tcMar>
              <w:top w:type="dxa" w:w="60"/>
              <w:left w:type="dxa" w:w="110"/>
              <w:bottom w:type="dxa" w:w="60"/>
              <w:right w:type="dxa" w:w="110"/>
            </w:tcMar>
            <w:vAlign w:val="center"/>
          </w:tcPr>
          <w:p>
            <w:r>
              <w:rPr>
                <w:rFonts w:ascii="Calibri" w:cs="Calibri" w:eastAsia="Calibri" w:hAnsi="Calibri"/>
                <w:color w:val="4B5563"/>
                <w:sz w:val="19"/>
                <w:szCs w:val="19"/>
              </w:rPr>
              <w:t xml:space="preserve">Injection-shaped input is rejected cleanly and never echoed back.</w:t>
            </w:r>
          </w:p>
        </w:tc>
      </w:tr>
      <w:tr>
        <w:tc>
          <w:tcPr>
            <w:tcW w:type="dxa" w:w="2016"/>
            <w:shd w:fill="FAF9FE" w:val="clear"/>
            <w:tcMar>
              <w:top w:type="dxa" w:w="60"/>
              <w:left w:type="dxa" w:w="110"/>
              <w:bottom w:type="dxa" w:w="60"/>
              <w:right w:type="dxa" w:w="110"/>
            </w:tcMar>
            <w:vAlign w:val="center"/>
          </w:tcPr>
          <w:p>
            <w:r>
              <w:rPr>
                <w:rFonts w:ascii="Calibri" w:cs="Calibri" w:eastAsia="Calibri" w:hAnsi="Calibri"/>
                <w:color w:val="4B5563"/>
                <w:sz w:val="19"/>
                <w:szCs w:val="19"/>
              </w:rPr>
              <w:t xml:space="preserve">Performance</w:t>
            </w:r>
          </w:p>
        </w:tc>
        <w:tc>
          <w:tcPr>
            <w:tcW w:type="dxa" w:w="8064"/>
            <w:shd w:fill="FAF9FE" w:val="clear"/>
            <w:tcMar>
              <w:top w:type="dxa" w:w="60"/>
              <w:left w:type="dxa" w:w="110"/>
              <w:bottom w:type="dxa" w:w="60"/>
              <w:right w:type="dxa" w:w="110"/>
            </w:tcMar>
            <w:vAlign w:val="center"/>
          </w:tcPr>
          <w:p>
            <w:r>
              <w:rPr>
                <w:rFonts w:ascii="Calibri" w:cs="Calibri" w:eastAsia="Calibri" w:hAnsi="Calibri"/>
                <w:color w:val="4B5563"/>
                <w:sz w:val="19"/>
                <w:szCs w:val="19"/>
              </w:rPr>
              <w:t xml:space="preserve">A response-time ceiling on each endpoint’s happy path; trends show on the dashboard.</w:t>
            </w:r>
          </w:p>
        </w:tc>
      </w:tr>
      <w:tr>
        <w:tc>
          <w:tcPr>
            <w:tcW w:type="dxa" w:w="2016"/>
            <w:shd w:fill="FFFFFF" w:val="clear"/>
            <w:tcMar>
              <w:top w:type="dxa" w:w="60"/>
              <w:left w:type="dxa" w:w="110"/>
              <w:bottom w:type="dxa" w:w="60"/>
              <w:right w:type="dxa" w:w="110"/>
            </w:tcMar>
            <w:vAlign w:val="center"/>
          </w:tcPr>
          <w:p>
            <w:r>
              <w:rPr>
                <w:rFonts w:ascii="Calibri" w:cs="Calibri" w:eastAsia="Calibri" w:hAnsi="Calibri"/>
                <w:color w:val="4B5563"/>
                <w:sz w:val="19"/>
                <w:szCs w:val="19"/>
              </w:rPr>
              <w:t xml:space="preserve">Flows</w:t>
            </w:r>
          </w:p>
        </w:tc>
        <w:tc>
          <w:tcPr>
            <w:tcW w:type="dxa" w:w="8064"/>
            <w:shd w:fill="FFFFFF" w:val="clear"/>
            <w:tcMar>
              <w:top w:type="dxa" w:w="60"/>
              <w:left w:type="dxa" w:w="110"/>
              <w:bottom w:type="dxa" w:w="60"/>
              <w:right w:type="dxa" w:w="110"/>
            </w:tcMar>
            <w:vAlign w:val="center"/>
          </w:tcPr>
          <w:p>
            <w:r>
              <w:rPr>
                <w:rFonts w:ascii="Calibri" w:cs="Calibri" w:eastAsia="Calibri" w:hAnsi="Calibri"/>
                <w:color w:val="4B5563"/>
                <w:sz w:val="19"/>
                <w:szCs w:val="19"/>
              </w:rPr>
              <w:t xml:space="preserve">Multi-step lifecycles that chain create → read → update → delete on real IDs.</w:t>
            </w:r>
          </w:p>
        </w:tc>
      </w:tr>
    </w:tbl>
    <w:p>
      <w:pPr>
        <w:pStyle w:val="Heading2"/>
        <w:spacing w:after="100" w:before="260"/>
      </w:pPr>
      <w:r>
        <w:rPr>
          <w:rFonts w:ascii="Calibri" w:cs="Calibri" w:eastAsia="Calibri" w:hAnsi="Calibri"/>
          <w:b/>
          <w:bCs/>
          <w:color w:val="1E1B4B"/>
          <w:sz w:val="26"/>
          <w:szCs w:val="26"/>
        </w:rPr>
        <w:t xml:space="preserve">4.4 Step 4 — Review the scenarios (the gate)</w:t>
      </w:r>
    </w:p>
    <w:p>
      <w:pPr>
        <w:spacing w:after="140" w:before="0" w:line="276"/>
      </w:pPr>
      <w:r>
        <w:rPr>
          <w:rFonts w:ascii="Calibri" w:cs="Calibri" w:eastAsia="Calibri" w:hAnsi="Calibri"/>
          <w:color w:val="4B5563"/>
          <w:sz w:val="21"/>
          <w:szCs w:val="21"/>
        </w:rPr>
        <w:t xml:space="preserve">Every designed scenario lands on the Scenarios tab for review. This is the one deliberate stop in the workflow: the generator designs the coverage, and you decide what actually runs. Deselecting a scenario drops it from automation, execution and the report alike.</w:t>
      </w:r>
    </w:p>
    <w:tbl>
      <w:tblPr>
        <w:tblW w:type="dxa" w:w="10080"/>
        <w:jc w:val="center"/>
        <w:tblBorders>
          <w:top w:val="single" w:color="C7C3DE" w:sz="6"/>
          <w:left w:val="single" w:color="C7C3DE" w:sz="6"/>
          <w:bottom w:val="single" w:color="C7C3DE" w:sz="6"/>
          <w:right w:val="single" w:color="C7C3DE" w:sz="6"/>
          <w:insideH w:val="single" w:color="C7C3DE" w:sz="6"/>
          <w:insideV w:val="single" w:color="C7C3DE" w:sz="6"/>
        </w:tblBorders>
      </w:tblPr>
      <w:tblGrid>
        <w:gridCol w:w="10080"/>
      </w:tblGrid>
      <w:tr>
        <w:tc>
          <w:tcPr>
            <w:tcW w:type="dxa" w:w="10080"/>
            <w:tcMar>
              <w:top w:type="dxa" w:w="60"/>
              <w:left w:type="dxa" w:w="60"/>
              <w:bottom w:type="dxa" w:w="60"/>
              <w:right w:type="dxa" w:w="60"/>
            </w:tcMar>
          </w:tcPr>
          <w:p>
            <w:pPr>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895725"/>
                          </a:xfrm>
                          <a:prstGeom prst="rect">
                            <a:avLst/>
                          </a:prstGeom>
                        </pic:spPr>
                      </pic:pic>
                    </a:graphicData>
                  </a:graphic>
                </wp:inline>
              </w:drawing>
            </w:r>
          </w:p>
        </w:tc>
      </w:tr>
    </w:tbl>
    <w:p>
      <w:pPr>
        <w:spacing w:after="240" w:before="70"/>
        <w:jc w:val="center"/>
      </w:pPr>
      <w:r>
        <w:rPr>
          <w:rFonts w:ascii="Calibri" w:cs="Calibri" w:eastAsia="Calibri" w:hAnsi="Calibri"/>
          <w:i/>
          <w:iCs/>
          <w:color w:val="6B7280"/>
          <w:sz w:val="18"/>
          <w:szCs w:val="18"/>
        </w:rPr>
        <w:t xml:space="preserve">Figure 6. The Scenarios tab — the review gate. Each scenario can be expanded to inspect its request and assertions.</w:t>
      </w:r>
    </w:p>
    <w:p>
      <w:pPr>
        <w:pStyle w:val="ListParagraph"/>
        <w:numPr>
          <w:ilvl w:val="0"/>
          <w:numId w:val="2"/>
        </w:numPr>
        <w:spacing w:after="70" w:line="272"/>
      </w:pPr>
      <w:r>
        <w:rPr>
          <w:rFonts w:ascii="Calibri" w:cs="Calibri" w:eastAsia="Calibri" w:hAnsi="Calibri"/>
          <w:color w:val="4B5563"/>
          <w:sz w:val="21"/>
          <w:szCs w:val="21"/>
        </w:rPr>
        <w:t xml:space="preserve">Filter by text or by category, and use the header checkbox to select or clear all.</w:t>
      </w:r>
    </w:p>
    <w:p>
      <w:pPr>
        <w:pStyle w:val="ListParagraph"/>
        <w:numPr>
          <w:ilvl w:val="0"/>
          <w:numId w:val="2"/>
        </w:numPr>
        <w:spacing w:after="70" w:line="272"/>
      </w:pPr>
      <w:r>
        <w:rPr>
          <w:rFonts w:ascii="Calibri" w:cs="Calibri" w:eastAsia="Calibri" w:hAnsi="Calibri"/>
          <w:color w:val="4B5563"/>
          <w:sz w:val="21"/>
          <w:szCs w:val="21"/>
        </w:rPr>
        <w:t xml:space="preserve">Expand any row to see the exact request (method, URL, headers, body) and its steps split into actions and assertions.</w:t>
      </w:r>
    </w:p>
    <w:p>
      <w:pPr>
        <w:pStyle w:val="ListParagraph"/>
        <w:numPr>
          <w:ilvl w:val="0"/>
          <w:numId w:val="2"/>
        </w:numPr>
        <w:spacing w:after="70" w:line="272"/>
      </w:pPr>
      <w:r>
        <w:rPr>
          <w:rFonts w:ascii="Calibri" w:cs="Calibri" w:eastAsia="Calibri" w:hAnsi="Calibri"/>
          <w:color w:val="4B5563"/>
          <w:sz w:val="21"/>
          <w:szCs w:val="21"/>
        </w:rPr>
        <w:t xml:space="preserve">When you are satisfied, click Run to launch the suite.</w:t>
      </w:r>
    </w:p>
    <w:p>
      <w:pPr>
        <w:pStyle w:val="Heading2"/>
        <w:spacing w:after="100" w:before="260"/>
      </w:pPr>
      <w:r>
        <w:rPr>
          <w:rFonts w:ascii="Calibri" w:cs="Calibri" w:eastAsia="Calibri" w:hAnsi="Calibri"/>
          <w:b/>
          <w:bCs/>
          <w:color w:val="1E1B4B"/>
          <w:sz w:val="26"/>
          <w:szCs w:val="26"/>
        </w:rPr>
        <w:t xml:space="preserve">4.5 Step 5 — Run the suite: Automate, Execute, Heal</w:t>
      </w:r>
    </w:p>
    <w:p>
      <w:pPr>
        <w:spacing w:after="140" w:before="0" w:line="276"/>
      </w:pPr>
      <w:r>
        <w:rPr>
          <w:rFonts w:ascii="Calibri" w:cs="Calibri" w:eastAsia="Calibri" w:hAnsi="Calibri"/>
          <w:color w:val="4B5563"/>
          <w:sz w:val="21"/>
          <w:szCs w:val="21"/>
        </w:rPr>
        <w:t xml:space="preserve">Once you run the selected scenarios, three stages proceed automatically, shown on a live stage rail:</w:t>
      </w:r>
    </w:p>
    <w:p>
      <w:pPr>
        <w:pStyle w:val="ListParagraph"/>
        <w:numPr>
          <w:ilvl w:val="0"/>
          <w:numId w:val="2"/>
        </w:numPr>
        <w:spacing w:after="70" w:line="272"/>
      </w:pPr>
      <w:r>
        <w:rPr>
          <w:rFonts w:ascii="Calibri" w:cs="Calibri" w:eastAsia="Calibri" w:hAnsi="Calibri"/>
          <w:b/>
          <w:bCs/>
          <w:color w:val="1E1B4B"/>
          <w:sz w:val="21"/>
          <w:szCs w:val="21"/>
        </w:rPr>
        <w:t xml:space="preserve">Automate — </w:t>
      </w:r>
      <w:r>
        <w:rPr>
          <w:rFonts w:ascii="Calibri" w:cs="Calibri" w:eastAsia="Calibri" w:hAnsi="Calibri"/>
          <w:color w:val="4B5563"/>
          <w:sz w:val="21"/>
          <w:szCs w:val="21"/>
        </w:rPr>
        <w:t xml:space="preserve">each approved scenario is rendered into a runnable, executable test and saved to the Reports database.</w:t>
      </w:r>
    </w:p>
    <w:p>
      <w:pPr>
        <w:pStyle w:val="ListParagraph"/>
        <w:numPr>
          <w:ilvl w:val="0"/>
          <w:numId w:val="2"/>
        </w:numPr>
        <w:spacing w:after="70" w:line="272"/>
      </w:pPr>
      <w:r>
        <w:rPr>
          <w:rFonts w:ascii="Calibri" w:cs="Calibri" w:eastAsia="Calibri" w:hAnsi="Calibri"/>
          <w:b/>
          <w:bCs/>
          <w:color w:val="1E1B4B"/>
          <w:sz w:val="21"/>
          <w:szCs w:val="21"/>
        </w:rPr>
        <w:t xml:space="preserve">Execute — </w:t>
      </w:r>
      <w:r>
        <w:rPr>
          <w:rFonts w:ascii="Calibri" w:cs="Calibri" w:eastAsia="Calibri" w:hAnsi="Calibri"/>
          <w:color w:val="4B5563"/>
          <w:sz w:val="21"/>
          <w:szCs w:val="21"/>
        </w:rPr>
        <w:t xml:space="preserve">the suite runs against your live endpoints; each scenario turns green (passed) or red (failed) in real time.</w:t>
      </w:r>
    </w:p>
    <w:p>
      <w:pPr>
        <w:pStyle w:val="ListParagraph"/>
        <w:numPr>
          <w:ilvl w:val="0"/>
          <w:numId w:val="2"/>
        </w:numPr>
        <w:spacing w:after="70" w:line="272"/>
      </w:pPr>
      <w:r>
        <w:rPr>
          <w:rFonts w:ascii="Calibri" w:cs="Calibri" w:eastAsia="Calibri" w:hAnsi="Calibri"/>
          <w:b/>
          <w:bCs/>
          <w:color w:val="1E1B4B"/>
          <w:sz w:val="21"/>
          <w:szCs w:val="21"/>
        </w:rPr>
        <w:t xml:space="preserve">Heal — </w:t>
      </w:r>
      <w:r>
        <w:rPr>
          <w:rFonts w:ascii="Calibri" w:cs="Calibri" w:eastAsia="Calibri" w:hAnsi="Calibri"/>
          <w:color w:val="4B5563"/>
          <w:sz w:val="21"/>
          <w:szCs w:val="21"/>
        </w:rPr>
        <w:t xml:space="preserve">if anything failed, the self-healing engine takes over (described below). If nothing failed, healing is skipped.</w:t>
      </w:r>
    </w:p>
    <w:p>
      <w:pPr>
        <w:pStyle w:val="Heading3"/>
        <w:spacing w:after="80" w:before="200"/>
      </w:pPr>
      <w:r>
        <w:rPr>
          <w:rFonts w:ascii="Calibri" w:cs="Calibri" w:eastAsia="Calibri" w:hAnsi="Calibri"/>
          <w:b/>
          <w:bCs/>
          <w:color w:val="6D28D9"/>
          <w:sz w:val="23"/>
          <w:szCs w:val="23"/>
        </w:rPr>
        <w:t xml:space="preserve">Self-healing, explained</w:t>
      </w:r>
    </w:p>
    <w:p>
      <w:pPr>
        <w:spacing w:after="140" w:before="0" w:line="276"/>
      </w:pPr>
      <w:r>
        <w:rPr>
          <w:rFonts w:ascii="Calibri" w:cs="Calibri" w:eastAsia="Calibri" w:hAnsi="Calibri"/>
          <w:color w:val="4B5563"/>
          <w:sz w:val="21"/>
          <w:szCs w:val="21"/>
        </w:rPr>
        <w:t xml:space="preserve">When tests fail, IntelliQE diagnoses each failure against what the live endpoint actually returned, then repairs the tests that broke for the wrong reason and re-runs them — automatically, in a bounded loop:</w:t>
      </w:r>
    </w:p>
    <w:p>
      <w:pPr>
        <w:pStyle w:val="ListParagraph"/>
        <w:numPr>
          <w:ilvl w:val="0"/>
          <w:numId w:val="2"/>
        </w:numPr>
        <w:spacing w:after="70" w:line="272"/>
      </w:pPr>
      <w:r>
        <w:rPr>
          <w:rFonts w:ascii="Calibri" w:cs="Calibri" w:eastAsia="Calibri" w:hAnsi="Calibri"/>
          <w:b/>
          <w:bCs/>
          <w:color w:val="1E1B4B"/>
          <w:sz w:val="21"/>
          <w:szCs w:val="21"/>
        </w:rPr>
        <w:t xml:space="preserve">It tells a test defect from an API defect. </w:t>
      </w:r>
      <w:r>
        <w:rPr>
          <w:rFonts w:ascii="Calibri" w:cs="Calibri" w:eastAsia="Calibri" w:hAnsi="Calibri"/>
          <w:color w:val="4B5563"/>
          <w:sz w:val="21"/>
          <w:szCs w:val="21"/>
        </w:rPr>
        <w:t xml:space="preserve">Because it knows each endpoint’s documented contract, it can distinguish "the test asserted the wrong thing" from "the API is genuinely broken." Only the former is healed; genuine defects are reported honestly, never masked.</w:t>
      </w:r>
    </w:p>
    <w:p>
      <w:pPr>
        <w:pStyle w:val="ListParagraph"/>
        <w:numPr>
          <w:ilvl w:val="0"/>
          <w:numId w:val="2"/>
        </w:numPr>
        <w:spacing w:after="70" w:line="272"/>
      </w:pPr>
      <w:r>
        <w:rPr>
          <w:rFonts w:ascii="Calibri" w:cs="Calibri" w:eastAsia="Calibri" w:hAnsi="Calibri"/>
          <w:b/>
          <w:bCs/>
          <w:color w:val="1E1B4B"/>
          <w:sz w:val="21"/>
          <w:szCs w:val="21"/>
        </w:rPr>
        <w:t xml:space="preserve">It is bounded and converges. </w:t>
      </w:r>
      <w:r>
        <w:rPr>
          <w:rFonts w:ascii="Calibri" w:cs="Calibri" w:eastAsia="Calibri" w:hAnsi="Calibri"/>
          <w:color w:val="4B5563"/>
          <w:sz w:val="21"/>
          <w:szCs w:val="21"/>
        </w:rPr>
        <w:t xml:space="preserve">Healing runs a limited number of passes within a time budget and stops early when everything is green, or when a pass makes no progress (the same failures remain).</w:t>
      </w:r>
    </w:p>
    <w:p>
      <w:pPr>
        <w:pStyle w:val="ListParagraph"/>
        <w:numPr>
          <w:ilvl w:val="0"/>
          <w:numId w:val="2"/>
        </w:numPr>
        <w:spacing w:after="70" w:line="272"/>
      </w:pPr>
      <w:r>
        <w:rPr>
          <w:rFonts w:ascii="Calibri" w:cs="Calibri" w:eastAsia="Calibri" w:hAnsi="Calibri"/>
          <w:b/>
          <w:bCs/>
          <w:color w:val="1E1B4B"/>
          <w:sz w:val="21"/>
          <w:szCs w:val="21"/>
        </w:rPr>
        <w:t xml:space="preserve">It re-executes for real. </w:t>
      </w:r>
      <w:r>
        <w:rPr>
          <w:rFonts w:ascii="Calibri" w:cs="Calibri" w:eastAsia="Calibri" w:hAnsi="Calibri"/>
          <w:color w:val="4B5563"/>
          <w:sz w:val="21"/>
          <w:szCs w:val="21"/>
        </w:rPr>
        <w:t xml:space="preserve">After each repair the suite is run again, so the final result reflects real pass/fail — not an optimistic guess.</w:t>
      </w:r>
    </w:p>
    <w:tbl>
      <w:tblPr>
        <w:tblW w:type="dxa" w:w="10080"/>
        <w:jc w:val="center"/>
        <w:tblBorders>
          <w:top w:val="single" w:color="C7C3DE" w:sz="6"/>
          <w:left w:val="single" w:color="C7C3DE" w:sz="6"/>
          <w:bottom w:val="single" w:color="C7C3DE" w:sz="6"/>
          <w:right w:val="single" w:color="C7C3DE" w:sz="6"/>
          <w:insideH w:val="single" w:color="C7C3DE" w:sz="6"/>
          <w:insideV w:val="single" w:color="C7C3DE" w:sz="6"/>
        </w:tblBorders>
      </w:tblPr>
      <w:tblGrid>
        <w:gridCol w:w="10080"/>
      </w:tblGrid>
      <w:tr>
        <w:tc>
          <w:tcPr>
            <w:tcW w:type="dxa" w:w="10080"/>
            <w:tcMar>
              <w:top w:type="dxa" w:w="60"/>
              <w:left w:type="dxa" w:w="60"/>
              <w:bottom w:type="dxa" w:w="60"/>
              <w:right w:type="dxa" w:w="60"/>
            </w:tcMar>
          </w:tcPr>
          <w:p>
            <w:pPr>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895725"/>
                          </a:xfrm>
                          <a:prstGeom prst="rect">
                            <a:avLst/>
                          </a:prstGeom>
                        </pic:spPr>
                      </pic:pic>
                    </a:graphicData>
                  </a:graphic>
                </wp:inline>
              </w:drawing>
            </w:r>
          </w:p>
        </w:tc>
      </w:tr>
    </w:tbl>
    <w:p>
      <w:pPr>
        <w:spacing w:after="240" w:before="70"/>
        <w:jc w:val="center"/>
      </w:pPr>
      <w:r>
        <w:rPr>
          <w:rFonts w:ascii="Calibri" w:cs="Calibri" w:eastAsia="Calibri" w:hAnsi="Calibri"/>
          <w:i/>
          <w:iCs/>
          <w:color w:val="6B7280"/>
          <w:sz w:val="18"/>
          <w:szCs w:val="18"/>
        </w:rPr>
        <w:t xml:space="preserve">Figure 7. The Runs tab: live run status at the top and the full history of past runs below.</w:t>
      </w:r>
    </w:p>
    <w:p>
      <w:pPr>
        <w:pStyle w:val="Heading2"/>
        <w:spacing w:after="100" w:before="260"/>
      </w:pPr>
      <w:r>
        <w:rPr>
          <w:rFonts w:ascii="Calibri" w:cs="Calibri" w:eastAsia="Calibri" w:hAnsi="Calibri"/>
          <w:b/>
          <w:bCs/>
          <w:color w:val="1E1B4B"/>
          <w:sz w:val="26"/>
          <w:szCs w:val="26"/>
        </w:rPr>
        <w:t xml:space="preserve">4.6 Step 6 — The report and results</w:t>
      </w:r>
    </w:p>
    <w:p>
      <w:pPr>
        <w:spacing w:after="140" w:before="0" w:line="276"/>
      </w:pPr>
      <w:r>
        <w:rPr>
          <w:rFonts w:ascii="Calibri" w:cs="Calibri" w:eastAsia="Calibri" w:hAnsi="Calibri"/>
          <w:color w:val="4B5563"/>
          <w:sz w:val="21"/>
          <w:szCs w:val="21"/>
        </w:rPr>
        <w:t xml:space="preserve">When the run finishes, the Reports tab presents the outcome: a headline verdict and pass-rate percentage, counter tiles for Passed, Failed, Not run, Healed and Duration, and a proportional pass/fail bar. Opening any past run from the Runs tab shows the same detail for that run.</w:t>
      </w:r>
    </w:p>
    <w:tbl>
      <w:tblPr>
        <w:tblW w:type="dxa" w:w="10080"/>
        <w:jc w:val="center"/>
        <w:tblBorders>
          <w:top w:val="single" w:color="C7C3DE" w:sz="6"/>
          <w:left w:val="single" w:color="C7C3DE" w:sz="6"/>
          <w:bottom w:val="single" w:color="C7C3DE" w:sz="6"/>
          <w:right w:val="single" w:color="C7C3DE" w:sz="6"/>
          <w:insideH w:val="single" w:color="C7C3DE" w:sz="6"/>
          <w:insideV w:val="single" w:color="C7C3DE" w:sz="6"/>
        </w:tblBorders>
      </w:tblPr>
      <w:tblGrid>
        <w:gridCol w:w="10080"/>
      </w:tblGrid>
      <w:tr>
        <w:tc>
          <w:tcPr>
            <w:tcW w:type="dxa" w:w="10080"/>
            <w:tcMar>
              <w:top w:type="dxa" w:w="60"/>
              <w:left w:type="dxa" w:w="60"/>
              <w:bottom w:type="dxa" w:w="60"/>
              <w:right w:type="dxa" w:w="60"/>
            </w:tcMar>
          </w:tcPr>
          <w:p>
            <w:pPr>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895725"/>
                          </a:xfrm>
                          <a:prstGeom prst="rect">
                            <a:avLst/>
                          </a:prstGeom>
                        </pic:spPr>
                      </pic:pic>
                    </a:graphicData>
                  </a:graphic>
                </wp:inline>
              </w:drawing>
            </w:r>
          </w:p>
        </w:tc>
      </w:tr>
    </w:tbl>
    <w:p>
      <w:pPr>
        <w:spacing w:after="240" w:before="70"/>
        <w:jc w:val="center"/>
      </w:pPr>
      <w:r>
        <w:rPr>
          <w:rFonts w:ascii="Calibri" w:cs="Calibri" w:eastAsia="Calibri" w:hAnsi="Calibri"/>
          <w:i/>
          <w:iCs/>
          <w:color w:val="6B7280"/>
          <w:sz w:val="18"/>
          <w:szCs w:val="18"/>
        </w:rPr>
        <w:t xml:space="preserve">Figure 8. A completed run: pass rate, counts and duration, with the full report one click away.</w:t>
      </w:r>
    </w:p>
    <w:p>
      <w:pPr>
        <w:spacing w:after="140" w:before="0" w:line="276"/>
      </w:pPr>
      <w:r>
        <w:rPr>
          <w:rFonts w:ascii="Calibri" w:cs="Calibri" w:eastAsia="Calibri" w:hAnsi="Calibri"/>
          <w:color w:val="4B5563"/>
          <w:sz w:val="21"/>
          <w:szCs w:val="21"/>
        </w:rPr>
        <w:t xml:space="preserve">Below the summary, every failed or not-run scenario is listed under "Needs attention" with the first lines of its error, and every healed scenario is listed under "Self-healing" with a note on exactly what healing did (or deliberately did not do).</w:t>
      </w:r>
    </w:p>
    <w:tbl>
      <w:tblPr>
        <w:tblW w:type="dxa" w:w="10080"/>
        <w:jc w:val="center"/>
        <w:tblBorders>
          <w:top w:val="single" w:color="C7C3DE" w:sz="6"/>
          <w:left w:val="single" w:color="C7C3DE" w:sz="6"/>
          <w:bottom w:val="single" w:color="C7C3DE" w:sz="6"/>
          <w:right w:val="single" w:color="C7C3DE" w:sz="6"/>
          <w:insideH w:val="single" w:color="C7C3DE" w:sz="6"/>
          <w:insideV w:val="single" w:color="C7C3DE" w:sz="6"/>
        </w:tblBorders>
      </w:tblPr>
      <w:tblGrid>
        <w:gridCol w:w="10080"/>
      </w:tblGrid>
      <w:tr>
        <w:tc>
          <w:tcPr>
            <w:tcW w:type="dxa" w:w="10080"/>
            <w:tcMar>
              <w:top w:type="dxa" w:w="60"/>
              <w:left w:type="dxa" w:w="60"/>
              <w:bottom w:type="dxa" w:w="60"/>
              <w:right w:type="dxa" w:w="60"/>
            </w:tcMar>
          </w:tcPr>
          <w:p>
            <w:pPr>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895725"/>
                          </a:xfrm>
                          <a:prstGeom prst="rect">
                            <a:avLst/>
                          </a:prstGeom>
                        </pic:spPr>
                      </pic:pic>
                    </a:graphicData>
                  </a:graphic>
                </wp:inline>
              </w:drawing>
            </w:r>
          </w:p>
        </w:tc>
      </w:tr>
    </w:tbl>
    <w:p>
      <w:pPr>
        <w:spacing w:after="240" w:before="70"/>
        <w:jc w:val="center"/>
      </w:pPr>
      <w:r>
        <w:rPr>
          <w:rFonts w:ascii="Calibri" w:cs="Calibri" w:eastAsia="Calibri" w:hAnsi="Calibri"/>
          <w:i/>
          <w:iCs/>
          <w:color w:val="6B7280"/>
          <w:sz w:val="18"/>
          <w:szCs w:val="18"/>
        </w:rPr>
        <w:t xml:space="preserve">Figure 9. Per-scenario results for a run: method, scenario, layer, priority, status and time.</w:t>
      </w:r>
    </w:p>
    <w:p>
      <w:pPr>
        <w:spacing w:after="140" w:before="0" w:line="276"/>
      </w:pPr>
      <w:r>
        <w:rPr>
          <w:rFonts w:ascii="Calibri" w:cs="Calibri" w:eastAsia="Calibri" w:hAnsi="Calibri"/>
          <w:color w:val="4B5563"/>
          <w:sz w:val="21"/>
          <w:szCs w:val="21"/>
        </w:rPr>
        <w:t xml:space="preserve">From the report you can:</w:t>
      </w:r>
    </w:p>
    <w:p>
      <w:pPr>
        <w:pStyle w:val="ListParagraph"/>
        <w:numPr>
          <w:ilvl w:val="0"/>
          <w:numId w:val="2"/>
        </w:numPr>
        <w:spacing w:after="70" w:line="272"/>
      </w:pPr>
      <w:r>
        <w:rPr>
          <w:rFonts w:ascii="Calibri" w:cs="Calibri" w:eastAsia="Calibri" w:hAnsi="Calibri"/>
          <w:b/>
          <w:bCs/>
          <w:color w:val="1E1B4B"/>
          <w:sz w:val="21"/>
          <w:szCs w:val="21"/>
        </w:rPr>
        <w:t xml:space="preserve">Explain a failure — </w:t>
      </w:r>
      <w:r>
        <w:rPr>
          <w:rFonts w:ascii="Calibri" w:cs="Calibri" w:eastAsia="Calibri" w:hAnsi="Calibri"/>
          <w:color w:val="4B5563"/>
          <w:sz w:val="21"/>
          <w:szCs w:val="21"/>
        </w:rPr>
        <w:t xml:space="preserve">click Explain on any failed scenario for an AI root-cause analysis and a ready-to-paste reproduction (Section 7).</w:t>
      </w:r>
    </w:p>
    <w:p>
      <w:pPr>
        <w:pStyle w:val="ListParagraph"/>
        <w:numPr>
          <w:ilvl w:val="0"/>
          <w:numId w:val="2"/>
        </w:numPr>
        <w:spacing w:after="70" w:line="272"/>
      </w:pPr>
      <w:r>
        <w:rPr>
          <w:rFonts w:ascii="Calibri" w:cs="Calibri" w:eastAsia="Calibri" w:hAnsi="Calibri"/>
          <w:b/>
          <w:bCs/>
          <w:color w:val="1E1B4B"/>
          <w:sz w:val="21"/>
          <w:szCs w:val="21"/>
        </w:rPr>
        <w:t xml:space="preserve">Export the scenarios — </w:t>
      </w:r>
      <w:r>
        <w:rPr>
          <w:rFonts w:ascii="Calibri" w:cs="Calibri" w:eastAsia="Calibri" w:hAnsi="Calibri"/>
          <w:color w:val="4B5563"/>
          <w:sz w:val="21"/>
          <w:szCs w:val="21"/>
        </w:rPr>
        <w:t xml:space="preserve">download the test cases as CSV or JSON.</w:t>
      </w:r>
    </w:p>
    <w:p>
      <w:pPr>
        <w:pStyle w:val="ListParagraph"/>
        <w:numPr>
          <w:ilvl w:val="0"/>
          <w:numId w:val="2"/>
        </w:numPr>
        <w:spacing w:after="70" w:line="272"/>
      </w:pPr>
      <w:r>
        <w:rPr>
          <w:rFonts w:ascii="Calibri" w:cs="Calibri" w:eastAsia="Calibri" w:hAnsi="Calibri"/>
          <w:b/>
          <w:bCs/>
          <w:color w:val="1E1B4B"/>
          <w:sz w:val="21"/>
          <w:szCs w:val="21"/>
        </w:rPr>
        <w:t xml:space="preserve">Push to your repository — </w:t>
      </w:r>
      <w:r>
        <w:rPr>
          <w:rFonts w:ascii="Calibri" w:cs="Calibri" w:eastAsia="Calibri" w:hAnsi="Calibri"/>
          <w:color w:val="4B5563"/>
          <w:sz w:val="21"/>
          <w:szCs w:val="21"/>
        </w:rPr>
        <w:t xml:space="preserve">commit the generated tests to a connected GitHub, GitLab or Bitbucket repo, as a pull request or a direct commit.</w:t>
      </w:r>
    </w:p>
    <w:p>
      <w:pPr>
        <w:pStyle w:val="ListParagraph"/>
        <w:numPr>
          <w:ilvl w:val="0"/>
          <w:numId w:val="2"/>
        </w:numPr>
        <w:spacing w:after="70" w:line="272"/>
      </w:pPr>
      <w:r>
        <w:rPr>
          <w:rFonts w:ascii="Calibri" w:cs="Calibri" w:eastAsia="Calibri" w:hAnsi="Calibri"/>
          <w:b/>
          <w:bCs/>
          <w:color w:val="1E1B4B"/>
          <w:sz w:val="21"/>
          <w:szCs w:val="21"/>
        </w:rPr>
        <w:t xml:space="preserve">Sign off — </w:t>
      </w:r>
      <w:r>
        <w:rPr>
          <w:rFonts w:ascii="Calibri" w:cs="Calibri" w:eastAsia="Calibri" w:hAnsi="Calibri"/>
          <w:color w:val="4B5563"/>
          <w:sz w:val="21"/>
          <w:szCs w:val="21"/>
        </w:rPr>
        <w:t xml:space="preserve">a teammate can approve, reject or request changes on the run, with an audit trail (Section 7).</w:t>
      </w:r>
    </w:p>
    <w:tbl>
      <w:tblPr>
        <w:tblW w:type="dxa" w:w="10080"/>
        <w:tblBorders>
          <w:top w:val="single" w:color="DDD6FE" w:sz="6"/>
          <w:left w:val="single" w:color="DDD6FE" w:sz="6"/>
          <w:bottom w:val="single" w:color="DDD6FE" w:sz="6"/>
          <w:right w:val="single" w:color="DDD6FE" w:sz="6"/>
          <w:insideH w:val="single" w:color="DDD6FE" w:sz="6"/>
          <w:insideV w:val="single" w:color="DDD6FE" w:sz="6"/>
        </w:tblBorders>
      </w:tblPr>
      <w:tblGrid>
        <w:gridCol w:w="10080"/>
      </w:tblGrid>
      <w:tr>
        <w:tc>
          <w:tcPr>
            <w:tcW w:type="dxa" w:w="10080"/>
            <w:shd w:fill="F5F3FF" w:val="clear"/>
            <w:tcMar>
              <w:top w:type="dxa" w:w="120"/>
              <w:left w:type="dxa" w:w="160"/>
              <w:bottom w:type="dxa" w:w="120"/>
              <w:right w:type="dxa" w:w="160"/>
            </w:tcMar>
          </w:tcPr>
          <w:p>
            <w:pPr>
              <w:spacing w:after="60"/>
            </w:pPr>
            <w:r>
              <w:rPr>
                <w:rFonts w:ascii="Calibri" w:cs="Calibri" w:eastAsia="Calibri" w:hAnsi="Calibri"/>
                <w:b/>
                <w:bCs/>
                <w:color w:val="1E1B4B"/>
                <w:sz w:val="21"/>
                <w:szCs w:val="21"/>
              </w:rPr>
              <w:t xml:space="preserve">Honest counting</w:t>
            </w:r>
          </w:p>
          <w:p>
            <w:pPr>
              <w:spacing w:after="40" w:line="270"/>
            </w:pPr>
            <w:r>
              <w:rPr>
                <w:rFonts w:ascii="Calibri" w:cs="Calibri" w:eastAsia="Calibri" w:hAnsi="Calibri"/>
                <w:color w:val="4B5563"/>
                <w:sz w:val="20"/>
                <w:szCs w:val="20"/>
              </w:rPr>
              <w:t xml:space="preserve">A scenario the runner never reached is reported as "not run" — it is never quietly folded into passed or failed. The numbers you see are the numbers that happened.</w:t>
            </w:r>
          </w:p>
        </w:tc>
      </w:tr>
    </w:tbl>
    <w:p>
      <w:r>
        <w:br w:type="page"/>
      </w:r>
    </w:p>
    <w:p>
      <w:pPr>
        <w:pStyle w:val="Heading1"/>
        <w:spacing w:after="140" w:before="320"/>
      </w:pPr>
      <w:r>
        <w:rPr>
          <w:rFonts w:ascii="Calibri" w:cs="Calibri" w:eastAsia="Calibri" w:hAnsi="Calibri"/>
          <w:b/>
          <w:bCs/>
          <w:color w:val="6D28D9"/>
          <w:sz w:val="32"/>
          <w:szCs w:val="32"/>
        </w:rPr>
        <w:t xml:space="preserve">5. The dashboard (Overview)</w:t>
      </w:r>
    </w:p>
    <w:p>
      <w:pPr>
        <w:spacing w:after="180" w:line="288"/>
      </w:pPr>
      <w:r>
        <w:rPr>
          <w:rFonts w:ascii="Calibri" w:cs="Calibri" w:eastAsia="Calibri" w:hAnsi="Calibri"/>
          <w:color w:val="4B5563"/>
          <w:sz w:val="22"/>
          <w:szCs w:val="22"/>
        </w:rPr>
        <w:t xml:space="preserve">The Overview tab aggregates every API run your team has made into a single at-a-glance picture.</w:t>
      </w:r>
    </w:p>
    <w:p>
      <w:pPr>
        <w:pStyle w:val="ListParagraph"/>
        <w:numPr>
          <w:ilvl w:val="0"/>
          <w:numId w:val="2"/>
        </w:numPr>
        <w:spacing w:after="70" w:line="272"/>
      </w:pPr>
      <w:r>
        <w:rPr>
          <w:rFonts w:ascii="Calibri" w:cs="Calibri" w:eastAsia="Calibri" w:hAnsi="Calibri"/>
          <w:b/>
          <w:bCs/>
          <w:color w:val="1E1B4B"/>
          <w:sz w:val="21"/>
          <w:szCs w:val="21"/>
        </w:rPr>
        <w:t xml:space="preserve">KPI cards — </w:t>
      </w:r>
      <w:r>
        <w:rPr>
          <w:rFonts w:ascii="Calibri" w:cs="Calibri" w:eastAsia="Calibri" w:hAnsi="Calibri"/>
          <w:color w:val="4B5563"/>
          <w:sz w:val="21"/>
          <w:szCs w:val="21"/>
        </w:rPr>
        <w:t xml:space="preserve">total API runs, average pass rate (colour-coded), scenarios and endpoints covered, anomalies and imports.</w:t>
      </w:r>
    </w:p>
    <w:p>
      <w:pPr>
        <w:pStyle w:val="ListParagraph"/>
        <w:numPr>
          <w:ilvl w:val="0"/>
          <w:numId w:val="2"/>
        </w:numPr>
        <w:spacing w:after="70" w:line="272"/>
      </w:pPr>
      <w:r>
        <w:rPr>
          <w:rFonts w:ascii="Calibri" w:cs="Calibri" w:eastAsia="Calibri" w:hAnsi="Calibri"/>
          <w:b/>
          <w:bCs/>
          <w:color w:val="1E1B4B"/>
          <w:sz w:val="21"/>
          <w:szCs w:val="21"/>
        </w:rPr>
        <w:t xml:space="preserve">Pass-rate trend — </w:t>
      </w:r>
      <w:r>
        <w:rPr>
          <w:rFonts w:ascii="Calibri" w:cs="Calibri" w:eastAsia="Calibri" w:hAnsi="Calibri"/>
          <w:color w:val="4B5563"/>
          <w:sz w:val="21"/>
          <w:szCs w:val="21"/>
        </w:rPr>
        <w:t xml:space="preserve">how the last several executed runs have trended.</w:t>
      </w:r>
    </w:p>
    <w:p>
      <w:pPr>
        <w:pStyle w:val="ListParagraph"/>
        <w:numPr>
          <w:ilvl w:val="0"/>
          <w:numId w:val="2"/>
        </w:numPr>
        <w:spacing w:after="70" w:line="272"/>
      </w:pPr>
      <w:r>
        <w:rPr>
          <w:rFonts w:ascii="Calibri" w:cs="Calibri" w:eastAsia="Calibri" w:hAnsi="Calibri"/>
          <w:b/>
          <w:bCs/>
          <w:color w:val="1E1B4B"/>
          <w:sz w:val="21"/>
          <w:szCs w:val="21"/>
        </w:rPr>
        <w:t xml:space="preserve">Coverage by layer — </w:t>
      </w:r>
      <w:r>
        <w:rPr>
          <w:rFonts w:ascii="Calibri" w:cs="Calibri" w:eastAsia="Calibri" w:hAnsi="Calibri"/>
          <w:color w:val="4B5563"/>
          <w:sz w:val="21"/>
          <w:szCs w:val="21"/>
        </w:rPr>
        <w:t xml:space="preserve">how many scenarios exist per test layer, plus a breakdown by HTTP method.</w:t>
      </w:r>
    </w:p>
    <w:p>
      <w:pPr>
        <w:pStyle w:val="ListParagraph"/>
        <w:numPr>
          <w:ilvl w:val="0"/>
          <w:numId w:val="2"/>
        </w:numPr>
        <w:spacing w:after="70" w:line="272"/>
      </w:pPr>
      <w:r>
        <w:rPr>
          <w:rFonts w:ascii="Calibri" w:cs="Calibri" w:eastAsia="Calibri" w:hAnsi="Calibri"/>
          <w:b/>
          <w:bCs/>
          <w:color w:val="1E1B4B"/>
          <w:sz w:val="21"/>
          <w:szCs w:val="21"/>
        </w:rPr>
        <w:t xml:space="preserve">Anomalies — </w:t>
      </w:r>
      <w:r>
        <w:rPr>
          <w:rFonts w:ascii="Calibri" w:cs="Calibri" w:eastAsia="Calibri" w:hAnsi="Calibri"/>
          <w:color w:val="4B5563"/>
          <w:sz w:val="21"/>
          <w:szCs w:val="21"/>
        </w:rPr>
        <w:t xml:space="preserve">flaky scenarios, new failures and slow outliers surfaced automatically.</w:t>
      </w:r>
    </w:p>
    <w:p>
      <w:pPr>
        <w:pStyle w:val="ListParagraph"/>
        <w:numPr>
          <w:ilvl w:val="0"/>
          <w:numId w:val="2"/>
        </w:numPr>
        <w:spacing w:after="70" w:line="272"/>
      </w:pPr>
      <w:r>
        <w:rPr>
          <w:rFonts w:ascii="Calibri" w:cs="Calibri" w:eastAsia="Calibri" w:hAnsi="Calibri"/>
          <w:b/>
          <w:bCs/>
          <w:color w:val="1E1B4B"/>
          <w:sz w:val="21"/>
          <w:szCs w:val="21"/>
        </w:rPr>
        <w:t xml:space="preserve">Recent runs &amp; imports — </w:t>
      </w:r>
      <w:r>
        <w:rPr>
          <w:rFonts w:ascii="Calibri" w:cs="Calibri" w:eastAsia="Calibri" w:hAnsi="Calibri"/>
          <w:color w:val="4B5563"/>
          <w:sz w:val="21"/>
          <w:szCs w:val="21"/>
        </w:rPr>
        <w:t xml:space="preserve">jump straight into any recent run or see what was imported when.</w:t>
      </w:r>
    </w:p>
    <w:tbl>
      <w:tblPr>
        <w:tblW w:type="dxa" w:w="10080"/>
        <w:jc w:val="center"/>
        <w:tblBorders>
          <w:top w:val="single" w:color="C7C3DE" w:sz="6"/>
          <w:left w:val="single" w:color="C7C3DE" w:sz="6"/>
          <w:bottom w:val="single" w:color="C7C3DE" w:sz="6"/>
          <w:right w:val="single" w:color="C7C3DE" w:sz="6"/>
          <w:insideH w:val="single" w:color="C7C3DE" w:sz="6"/>
          <w:insideV w:val="single" w:color="C7C3DE" w:sz="6"/>
        </w:tblBorders>
      </w:tblPr>
      <w:tblGrid>
        <w:gridCol w:w="10080"/>
      </w:tblGrid>
      <w:tr>
        <w:tc>
          <w:tcPr>
            <w:tcW w:type="dxa" w:w="10080"/>
            <w:tcMar>
              <w:top w:type="dxa" w:w="60"/>
              <w:left w:type="dxa" w:w="60"/>
              <w:bottom w:type="dxa" w:w="60"/>
              <w:right w:type="dxa" w:w="60"/>
            </w:tcMar>
          </w:tcPr>
          <w:p>
            <w:pPr>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895725"/>
                          </a:xfrm>
                          <a:prstGeom prst="rect">
                            <a:avLst/>
                          </a:prstGeom>
                        </pic:spPr>
                      </pic:pic>
                    </a:graphicData>
                  </a:graphic>
                </wp:inline>
              </w:drawing>
            </w:r>
          </w:p>
        </w:tc>
      </w:tr>
    </w:tbl>
    <w:p>
      <w:pPr>
        <w:spacing w:after="240" w:before="70"/>
        <w:jc w:val="center"/>
      </w:pPr>
      <w:r>
        <w:rPr>
          <w:rFonts w:ascii="Calibri" w:cs="Calibri" w:eastAsia="Calibri" w:hAnsi="Calibri"/>
          <w:i/>
          <w:iCs/>
          <w:color w:val="6B7280"/>
          <w:sz w:val="18"/>
          <w:szCs w:val="18"/>
        </w:rPr>
        <w:t xml:space="preserve">Figure 10. The lower dashboard: anomalies, slowest scenarios, recent runs and recent imports.</w:t>
      </w:r>
    </w:p>
    <w:p>
      <w:r>
        <w:br w:type="page"/>
      </w:r>
    </w:p>
    <w:p>
      <w:pPr>
        <w:pStyle w:val="Heading1"/>
        <w:spacing w:after="140" w:before="320"/>
      </w:pPr>
      <w:r>
        <w:rPr>
          <w:rFonts w:ascii="Calibri" w:cs="Calibri" w:eastAsia="Calibri" w:hAnsi="Calibri"/>
          <w:b/>
          <w:bCs/>
          <w:color w:val="6D28D9"/>
          <w:sz w:val="32"/>
          <w:szCs w:val="32"/>
        </w:rPr>
        <w:t xml:space="preserve">6. Environments</w:t>
      </w:r>
    </w:p>
    <w:p>
      <w:pPr>
        <w:spacing w:after="180" w:line="288"/>
      </w:pPr>
      <w:r>
        <w:rPr>
          <w:rFonts w:ascii="Calibri" w:cs="Calibri" w:eastAsia="Calibri" w:hAnsi="Calibri"/>
          <w:color w:val="4B5563"/>
          <w:sz w:val="22"/>
          <w:szCs w:val="22"/>
        </w:rPr>
        <w:t xml:space="preserve">An environment is a named target — dev, staging or production — defined by a base URL and a set of variables. Endpoints can use {{placeholders}} that the chosen environment fills in at run time, so the same suite runs against any target without editing a single test.</w:t>
      </w:r>
    </w:p>
    <w:tbl>
      <w:tblPr>
        <w:tblW w:type="dxa" w:w="10080"/>
        <w:jc w:val="center"/>
        <w:tblBorders>
          <w:top w:val="single" w:color="C7C3DE" w:sz="6"/>
          <w:left w:val="single" w:color="C7C3DE" w:sz="6"/>
          <w:bottom w:val="single" w:color="C7C3DE" w:sz="6"/>
          <w:right w:val="single" w:color="C7C3DE" w:sz="6"/>
          <w:insideH w:val="single" w:color="C7C3DE" w:sz="6"/>
          <w:insideV w:val="single" w:color="C7C3DE" w:sz="6"/>
        </w:tblBorders>
      </w:tblPr>
      <w:tblGrid>
        <w:gridCol w:w="10080"/>
      </w:tblGrid>
      <w:tr>
        <w:tc>
          <w:tcPr>
            <w:tcW w:type="dxa" w:w="10080"/>
            <w:tcMar>
              <w:top w:type="dxa" w:w="60"/>
              <w:left w:type="dxa" w:w="60"/>
              <w:bottom w:type="dxa" w:w="60"/>
              <w:right w:type="dxa" w:w="60"/>
            </w:tcMar>
          </w:tcPr>
          <w:p>
            <w:pPr>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895725"/>
                          </a:xfrm>
                          <a:prstGeom prst="rect">
                            <a:avLst/>
                          </a:prstGeom>
                        </pic:spPr>
                      </pic:pic>
                    </a:graphicData>
                  </a:graphic>
                </wp:inline>
              </w:drawing>
            </w:r>
          </w:p>
        </w:tc>
      </w:tr>
    </w:tbl>
    <w:p>
      <w:pPr>
        <w:spacing w:after="240" w:before="70"/>
        <w:jc w:val="center"/>
      </w:pPr>
      <w:r>
        <w:rPr>
          <w:rFonts w:ascii="Calibri" w:cs="Calibri" w:eastAsia="Calibri" w:hAnsi="Calibri"/>
          <w:i/>
          <w:iCs/>
          <w:color w:val="6B7280"/>
          <w:sz w:val="18"/>
          <w:szCs w:val="18"/>
        </w:rPr>
        <w:t xml:space="preserve">Figure 11. The Environments tab: one card per target, with a default marked.</w:t>
      </w:r>
    </w:p>
    <w:p>
      <w:pPr>
        <w:pStyle w:val="ListParagraph"/>
        <w:numPr>
          <w:ilvl w:val="0"/>
          <w:numId w:val="2"/>
        </w:numPr>
        <w:spacing w:after="70" w:line="272"/>
      </w:pPr>
      <w:r>
        <w:rPr>
          <w:rFonts w:ascii="Calibri" w:cs="Calibri" w:eastAsia="Calibri" w:hAnsi="Calibri"/>
          <w:b/>
          <w:bCs/>
          <w:color w:val="1E1B4B"/>
          <w:sz w:val="21"/>
          <w:szCs w:val="21"/>
        </w:rPr>
        <w:t xml:space="preserve">Base URL — </w:t>
      </w:r>
      <w:r>
        <w:rPr>
          <w:rFonts w:ascii="Calibri" w:cs="Calibri" w:eastAsia="Calibri" w:hAnsi="Calibri"/>
          <w:color w:val="4B5563"/>
          <w:sz w:val="21"/>
          <w:szCs w:val="21"/>
        </w:rPr>
        <w:t xml:space="preserve">e.g. https://staging-api.acme.com/v1.</w:t>
      </w:r>
    </w:p>
    <w:p>
      <w:pPr>
        <w:pStyle w:val="ListParagraph"/>
        <w:numPr>
          <w:ilvl w:val="0"/>
          <w:numId w:val="2"/>
        </w:numPr>
        <w:spacing w:after="70" w:line="272"/>
      </w:pPr>
      <w:r>
        <w:rPr>
          <w:rFonts w:ascii="Calibri" w:cs="Calibri" w:eastAsia="Calibri" w:hAnsi="Calibri"/>
          <w:b/>
          <w:bCs/>
          <w:color w:val="1E1B4B"/>
          <w:sz w:val="21"/>
          <w:szCs w:val="21"/>
        </w:rPr>
        <w:t xml:space="preserve">Variables — </w:t>
      </w:r>
      <w:r>
        <w:rPr>
          <w:rFonts w:ascii="Calibri" w:cs="Calibri" w:eastAsia="Calibri" w:hAnsi="Calibri"/>
          <w:color w:val="4B5563"/>
          <w:sz w:val="21"/>
          <w:szCs w:val="21"/>
        </w:rPr>
        <w:t xml:space="preserve">key/value pairs; any variable can be marked secret, in which case it is encrypted at rest and shown masked.</w:t>
      </w:r>
    </w:p>
    <w:p>
      <w:pPr>
        <w:pStyle w:val="ListParagraph"/>
        <w:numPr>
          <w:ilvl w:val="0"/>
          <w:numId w:val="2"/>
        </w:numPr>
        <w:spacing w:after="70" w:line="272"/>
      </w:pPr>
      <w:r>
        <w:rPr>
          <w:rFonts w:ascii="Calibri" w:cs="Calibri" w:eastAsia="Calibri" w:hAnsi="Calibri"/>
          <w:b/>
          <w:bCs/>
          <w:color w:val="1E1B4B"/>
          <w:sz w:val="21"/>
          <w:szCs w:val="21"/>
        </w:rPr>
        <w:t xml:space="preserve">Convenient auth — </w:t>
      </w:r>
      <w:r>
        <w:rPr>
          <w:rFonts w:ascii="Calibri" w:cs="Calibri" w:eastAsia="Calibri" w:hAnsi="Calibri"/>
          <w:color w:val="4B5563"/>
          <w:sz w:val="21"/>
          <w:szCs w:val="21"/>
        </w:rPr>
        <w:t xml:space="preserve">conventional names resolve automatically: token becomes a Bearer token, apiKey becomes an API-key header, and basicAuth (user:password) becomes Basic auth.</w:t>
      </w:r>
    </w:p>
    <w:p>
      <w:pPr>
        <w:pStyle w:val="ListParagraph"/>
        <w:numPr>
          <w:ilvl w:val="0"/>
          <w:numId w:val="2"/>
        </w:numPr>
        <w:spacing w:after="70" w:line="272"/>
      </w:pPr>
      <w:r>
        <w:rPr>
          <w:rFonts w:ascii="Calibri" w:cs="Calibri" w:eastAsia="Calibri" w:hAnsi="Calibri"/>
          <w:b/>
          <w:bCs/>
          <w:color w:val="1E1B4B"/>
          <w:sz w:val="21"/>
          <w:szCs w:val="21"/>
        </w:rPr>
        <w:t xml:space="preserve">Default — </w:t>
      </w:r>
      <w:r>
        <w:rPr>
          <w:rFonts w:ascii="Calibri" w:cs="Calibri" w:eastAsia="Calibri" w:hAnsi="Calibri"/>
          <w:color w:val="4B5563"/>
          <w:sz w:val="21"/>
          <w:szCs w:val="21"/>
        </w:rPr>
        <w:t xml:space="preserve">mark one environment as the default for new runs.</w:t>
      </w:r>
    </w:p>
    <w:tbl>
      <w:tblPr>
        <w:tblW w:type="dxa" w:w="10080"/>
        <w:jc w:val="center"/>
        <w:tblBorders>
          <w:top w:val="single" w:color="C7C3DE" w:sz="6"/>
          <w:left w:val="single" w:color="C7C3DE" w:sz="6"/>
          <w:bottom w:val="single" w:color="C7C3DE" w:sz="6"/>
          <w:right w:val="single" w:color="C7C3DE" w:sz="6"/>
          <w:insideH w:val="single" w:color="C7C3DE" w:sz="6"/>
          <w:insideV w:val="single" w:color="C7C3DE" w:sz="6"/>
        </w:tblBorders>
      </w:tblPr>
      <w:tblGrid>
        <w:gridCol w:w="10080"/>
      </w:tblGrid>
      <w:tr>
        <w:tc>
          <w:tcPr>
            <w:tcW w:type="dxa" w:w="10080"/>
            <w:tcMar>
              <w:top w:type="dxa" w:w="60"/>
              <w:left w:type="dxa" w:w="60"/>
              <w:bottom w:type="dxa" w:w="60"/>
              <w:right w:type="dxa" w:w="60"/>
            </w:tcMar>
          </w:tcPr>
          <w:p>
            <w:pPr>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895725"/>
                          </a:xfrm>
                          <a:prstGeom prst="rect">
                            <a:avLst/>
                          </a:prstGeom>
                        </pic:spPr>
                      </pic:pic>
                    </a:graphicData>
                  </a:graphic>
                </wp:inline>
              </w:drawing>
            </w:r>
          </w:p>
        </w:tc>
      </w:tr>
    </w:tbl>
    <w:p>
      <w:pPr>
        <w:spacing w:after="240" w:before="70"/>
        <w:jc w:val="center"/>
      </w:pPr>
      <w:r>
        <w:rPr>
          <w:rFonts w:ascii="Calibri" w:cs="Calibri" w:eastAsia="Calibri" w:hAnsi="Calibri"/>
          <w:i/>
          <w:iCs/>
          <w:color w:val="6B7280"/>
          <w:sz w:val="18"/>
          <w:szCs w:val="18"/>
        </w:rPr>
        <w:t xml:space="preserve">Figure 12. Creating an environment: base URL plus secret and non-secret variables.</w:t>
      </w:r>
    </w:p>
    <w:p>
      <w:r>
        <w:br w:type="page"/>
      </w:r>
    </w:p>
    <w:p>
      <w:pPr>
        <w:pStyle w:val="Heading1"/>
        <w:spacing w:after="140" w:before="320"/>
      </w:pPr>
      <w:r>
        <w:rPr>
          <w:rFonts w:ascii="Calibri" w:cs="Calibri" w:eastAsia="Calibri" w:hAnsi="Calibri"/>
          <w:b/>
          <w:bCs/>
          <w:color w:val="6D28D9"/>
          <w:sz w:val="32"/>
          <w:szCs w:val="32"/>
        </w:rPr>
        <w:t xml:space="preserve">7. The quality toolkit</w:t>
      </w:r>
    </w:p>
    <w:p>
      <w:pPr>
        <w:spacing w:after="180" w:line="288"/>
      </w:pPr>
      <w:r>
        <w:rPr>
          <w:rFonts w:ascii="Calibri" w:cs="Calibri" w:eastAsia="Calibri" w:hAnsi="Calibri"/>
          <w:color w:val="4B5563"/>
          <w:sz w:val="22"/>
          <w:szCs w:val="22"/>
        </w:rPr>
        <w:t xml:space="preserve">Beyond the core generate-run-heal pipeline, API Automation includes a full set of opt-in quality tools. Most open from the Tools menu on the Endpoints tab and run on the endpoints you have selected; two more live on the Reports tab. Each tool is self-contained and never changes your test cases.</w:t>
      </w:r>
    </w:p>
    <w:tbl>
      <w:tblPr>
        <w:tblW w:type="dxa" w:w="10080"/>
        <w:jc w:val="center"/>
        <w:tblBorders>
          <w:top w:val="single" w:color="C7C3DE" w:sz="6"/>
          <w:left w:val="single" w:color="C7C3DE" w:sz="6"/>
          <w:bottom w:val="single" w:color="C7C3DE" w:sz="6"/>
          <w:right w:val="single" w:color="C7C3DE" w:sz="6"/>
          <w:insideH w:val="single" w:color="C7C3DE" w:sz="6"/>
          <w:insideV w:val="single" w:color="C7C3DE" w:sz="6"/>
        </w:tblBorders>
      </w:tblPr>
      <w:tblGrid>
        <w:gridCol w:w="10080"/>
      </w:tblGrid>
      <w:tr>
        <w:tc>
          <w:tcPr>
            <w:tcW w:type="dxa" w:w="10080"/>
            <w:tcMar>
              <w:top w:type="dxa" w:w="60"/>
              <w:left w:type="dxa" w:w="60"/>
              <w:bottom w:type="dxa" w:w="60"/>
              <w:right w:type="dxa" w:w="60"/>
            </w:tcMar>
          </w:tcPr>
          <w:p>
            <w:pPr>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895725"/>
                          </a:xfrm>
                          <a:prstGeom prst="rect">
                            <a:avLst/>
                          </a:prstGeom>
                        </pic:spPr>
                      </pic:pic>
                    </a:graphicData>
                  </a:graphic>
                </wp:inline>
              </w:drawing>
            </w:r>
          </w:p>
        </w:tc>
      </w:tr>
    </w:tbl>
    <w:p>
      <w:pPr>
        <w:spacing w:after="240" w:before="70"/>
        <w:jc w:val="center"/>
      </w:pPr>
      <w:r>
        <w:rPr>
          <w:rFonts w:ascii="Calibri" w:cs="Calibri" w:eastAsia="Calibri" w:hAnsi="Calibri"/>
          <w:i/>
          <w:iCs/>
          <w:color w:val="6B7280"/>
          <w:sz w:val="18"/>
          <w:szCs w:val="18"/>
        </w:rPr>
        <w:t xml:space="preserve">Figure 13. The Tools menu on the Endpoints tab — the quality toolkit.</w:t>
      </w:r>
    </w:p>
    <w:p>
      <w:pPr>
        <w:pStyle w:val="Heading2"/>
        <w:spacing w:after="100" w:before="260"/>
      </w:pPr>
      <w:r>
        <w:rPr>
          <w:rFonts w:ascii="Calibri" w:cs="Calibri" w:eastAsia="Calibri" w:hAnsi="Calibri"/>
          <w:b/>
          <w:bCs/>
          <w:color w:val="1E1B4B"/>
          <w:sz w:val="26"/>
          <w:szCs w:val="26"/>
        </w:rPr>
        <w:t xml:space="preserve">7.1 Author in plain English</w:t>
      </w:r>
    </w:p>
    <w:p>
      <w:pPr>
        <w:spacing w:after="140" w:before="0" w:line="276"/>
      </w:pPr>
      <w:r>
        <w:rPr>
          <w:rFonts w:ascii="Calibri" w:cs="Calibri" w:eastAsia="Calibri" w:hAnsi="Calibri"/>
          <w:b/>
          <w:bCs/>
          <w:color w:val="1E1B4B"/>
          <w:sz w:val="21"/>
          <w:szCs w:val="21"/>
        </w:rPr>
        <w:t xml:space="preserve">What it is for. </w:t>
      </w:r>
      <w:r>
        <w:rPr>
          <w:rFonts w:ascii="Calibri" w:cs="Calibri" w:eastAsia="Calibri" w:hAnsi="Calibri"/>
          <w:color w:val="4B5563"/>
          <w:sz w:val="21"/>
          <w:szCs w:val="21"/>
        </w:rPr>
        <w:t xml:space="preserve">Lets anyone describe what they want tested in ordinary language and turns it into a focused test strategy — without bypassing the normal generator.</w:t>
      </w:r>
    </w:p>
    <w:p>
      <w:pPr>
        <w:spacing w:after="140" w:before="0" w:line="276"/>
      </w:pPr>
      <w:r>
        <w:rPr>
          <w:rFonts w:ascii="Calibri" w:cs="Calibri" w:eastAsia="Calibri" w:hAnsi="Calibri"/>
          <w:b/>
          <w:bCs/>
          <w:color w:val="1E1B4B"/>
          <w:sz w:val="21"/>
          <w:szCs w:val="21"/>
        </w:rPr>
        <w:t xml:space="preserve">How to use it. </w:t>
      </w:r>
      <w:r>
        <w:rPr>
          <w:rFonts w:ascii="Calibri" w:cs="Calibri" w:eastAsia="Calibri" w:hAnsi="Calibri"/>
          <w:color w:val="4B5563"/>
          <w:sz w:val="21"/>
          <w:szCs w:val="21"/>
        </w:rPr>
        <w:t xml:space="preserve">Open it from the Tools menu, type what the tests should cover (example prompts are provided), and click Generate brief. Review the returned brief, then Apply to strategy.</w:t>
      </w:r>
    </w:p>
    <w:p>
      <w:pPr>
        <w:spacing w:after="140" w:before="0" w:line="276"/>
      </w:pPr>
      <w:r>
        <w:rPr>
          <w:rFonts w:ascii="Calibri" w:cs="Calibri" w:eastAsia="Calibri" w:hAnsi="Calibri"/>
          <w:b/>
          <w:bCs/>
          <w:color w:val="1E1B4B"/>
          <w:sz w:val="21"/>
          <w:szCs w:val="21"/>
        </w:rPr>
        <w:t xml:space="preserve">What you get. </w:t>
      </w:r>
      <w:r>
        <w:rPr>
          <w:rFonts w:ascii="Calibri" w:cs="Calibri" w:eastAsia="Calibri" w:hAnsi="Calibri"/>
          <w:color w:val="4B5563"/>
          <w:sz w:val="21"/>
          <w:szCs w:val="21"/>
        </w:rPr>
        <w:t xml:space="preserve">A structured brief — a requirements summary, a recommended coverage depth, the test layers to include, the endpoints to focus on and an outline of scenario titles. Applying it feeds the normal generator, which does the rest.</w:t>
      </w:r>
    </w:p>
    <w:tbl>
      <w:tblPr>
        <w:tblW w:type="dxa" w:w="10080"/>
        <w:jc w:val="center"/>
        <w:tblBorders>
          <w:top w:val="single" w:color="C7C3DE" w:sz="6"/>
          <w:left w:val="single" w:color="C7C3DE" w:sz="6"/>
          <w:bottom w:val="single" w:color="C7C3DE" w:sz="6"/>
          <w:right w:val="single" w:color="C7C3DE" w:sz="6"/>
          <w:insideH w:val="single" w:color="C7C3DE" w:sz="6"/>
          <w:insideV w:val="single" w:color="C7C3DE" w:sz="6"/>
        </w:tblBorders>
      </w:tblPr>
      <w:tblGrid>
        <w:gridCol w:w="10080"/>
      </w:tblGrid>
      <w:tr>
        <w:tc>
          <w:tcPr>
            <w:tcW w:type="dxa" w:w="10080"/>
            <w:tcMar>
              <w:top w:type="dxa" w:w="60"/>
              <w:left w:type="dxa" w:w="60"/>
              <w:bottom w:type="dxa" w:w="60"/>
              <w:right w:type="dxa" w:w="60"/>
            </w:tcMar>
          </w:tcPr>
          <w:p>
            <w:pPr>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895725"/>
                          </a:xfrm>
                          <a:prstGeom prst="rect">
                            <a:avLst/>
                          </a:prstGeom>
                        </pic:spPr>
                      </pic:pic>
                    </a:graphicData>
                  </a:graphic>
                </wp:inline>
              </w:drawing>
            </w:r>
          </w:p>
        </w:tc>
      </w:tr>
    </w:tbl>
    <w:p>
      <w:pPr>
        <w:spacing w:after="240" w:before="70"/>
        <w:jc w:val="center"/>
      </w:pPr>
      <w:r>
        <w:rPr>
          <w:rFonts w:ascii="Calibri" w:cs="Calibri" w:eastAsia="Calibri" w:hAnsi="Calibri"/>
          <w:i/>
          <w:iCs/>
          <w:color w:val="6B7280"/>
          <w:sz w:val="18"/>
          <w:szCs w:val="18"/>
        </w:rPr>
        <w:t xml:space="preserve">Figure 14. Author in plain English.</w:t>
      </w:r>
    </w:p>
    <w:p>
      <w:pPr>
        <w:pStyle w:val="Heading2"/>
        <w:spacing w:after="100" w:before="260"/>
      </w:pPr>
      <w:r>
        <w:rPr>
          <w:rFonts w:ascii="Calibri" w:cs="Calibri" w:eastAsia="Calibri" w:hAnsi="Calibri"/>
          <w:b/>
          <w:bCs/>
          <w:color w:val="1E1B4B"/>
          <w:sz w:val="26"/>
          <w:szCs w:val="26"/>
        </w:rPr>
        <w:t xml:space="preserve">7.2 Contract validation</w:t>
      </w:r>
    </w:p>
    <w:p>
      <w:pPr>
        <w:spacing w:after="140" w:before="0" w:line="276"/>
      </w:pPr>
      <w:r>
        <w:rPr>
          <w:rFonts w:ascii="Calibri" w:cs="Calibri" w:eastAsia="Calibri" w:hAnsi="Calibri"/>
          <w:b/>
          <w:bCs/>
          <w:color w:val="1E1B4B"/>
          <w:sz w:val="21"/>
          <w:szCs w:val="21"/>
        </w:rPr>
        <w:t xml:space="preserve">What it is for. </w:t>
      </w:r>
      <w:r>
        <w:rPr>
          <w:rFonts w:ascii="Calibri" w:cs="Calibri" w:eastAsia="Calibri" w:hAnsi="Calibri"/>
          <w:color w:val="4B5563"/>
          <w:sz w:val="21"/>
          <w:szCs w:val="21"/>
        </w:rPr>
        <w:t xml:space="preserve">Confirms each live endpoint still honours its contract — the right status code, JSON content type and response shape — so a silently changed API is caught before you test against it.</w:t>
      </w:r>
    </w:p>
    <w:p>
      <w:pPr>
        <w:spacing w:after="140" w:before="0" w:line="276"/>
      </w:pPr>
      <w:r>
        <w:rPr>
          <w:rFonts w:ascii="Calibri" w:cs="Calibri" w:eastAsia="Calibri" w:hAnsi="Calibri"/>
          <w:b/>
          <w:bCs/>
          <w:color w:val="1E1B4B"/>
          <w:sz w:val="21"/>
          <w:szCs w:val="21"/>
        </w:rPr>
        <w:t xml:space="preserve">How to use it. </w:t>
      </w:r>
      <w:r>
        <w:rPr>
          <w:rFonts w:ascii="Calibri" w:cs="Calibri" w:eastAsia="Calibri" w:hAnsi="Calibri"/>
          <w:color w:val="4B5563"/>
          <w:sz w:val="21"/>
          <w:szCs w:val="21"/>
        </w:rPr>
        <w:t xml:space="preserve">Open it from the Tools menu; it probes your selected endpoints once and checks them automatically. A Re-run button re-checks.</w:t>
      </w:r>
    </w:p>
    <w:p>
      <w:pPr>
        <w:spacing w:after="140" w:before="0" w:line="276"/>
      </w:pPr>
      <w:r>
        <w:rPr>
          <w:rFonts w:ascii="Calibri" w:cs="Calibri" w:eastAsia="Calibri" w:hAnsi="Calibri"/>
          <w:b/>
          <w:bCs/>
          <w:color w:val="1E1B4B"/>
          <w:sz w:val="21"/>
          <w:szCs w:val="21"/>
        </w:rPr>
        <w:t xml:space="preserve">What you get. </w:t>
      </w:r>
      <w:r>
        <w:rPr>
          <w:rFonts w:ascii="Calibri" w:cs="Calibri" w:eastAsia="Calibri" w:hAnsi="Calibri"/>
          <w:color w:val="4B5563"/>
          <w:sz w:val="21"/>
          <w:szCs w:val="21"/>
        </w:rPr>
        <w:t xml:space="preserve">A pass/fail summary per endpoint: status OK, content-type OK and schema OK or "schema drift". A new field is tolerated; a missing or re-typed field is flagged.</w:t>
      </w:r>
    </w:p>
    <w:tbl>
      <w:tblPr>
        <w:tblW w:type="dxa" w:w="10080"/>
        <w:jc w:val="center"/>
        <w:tblBorders>
          <w:top w:val="single" w:color="C7C3DE" w:sz="6"/>
          <w:left w:val="single" w:color="C7C3DE" w:sz="6"/>
          <w:bottom w:val="single" w:color="C7C3DE" w:sz="6"/>
          <w:right w:val="single" w:color="C7C3DE" w:sz="6"/>
          <w:insideH w:val="single" w:color="C7C3DE" w:sz="6"/>
          <w:insideV w:val="single" w:color="C7C3DE" w:sz="6"/>
        </w:tblBorders>
      </w:tblPr>
      <w:tblGrid>
        <w:gridCol w:w="10080"/>
      </w:tblGrid>
      <w:tr>
        <w:tc>
          <w:tcPr>
            <w:tcW w:type="dxa" w:w="10080"/>
            <w:tcMar>
              <w:top w:type="dxa" w:w="60"/>
              <w:left w:type="dxa" w:w="60"/>
              <w:bottom w:type="dxa" w:w="60"/>
              <w:right w:type="dxa" w:w="60"/>
            </w:tcMar>
          </w:tcPr>
          <w:p>
            <w:pPr>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895725"/>
                          </a:xfrm>
                          <a:prstGeom prst="rect">
                            <a:avLst/>
                          </a:prstGeom>
                        </pic:spPr>
                      </pic:pic>
                    </a:graphicData>
                  </a:graphic>
                </wp:inline>
              </w:drawing>
            </w:r>
          </w:p>
        </w:tc>
      </w:tr>
    </w:tbl>
    <w:p>
      <w:pPr>
        <w:spacing w:after="240" w:before="70"/>
        <w:jc w:val="center"/>
      </w:pPr>
      <w:r>
        <w:rPr>
          <w:rFonts w:ascii="Calibri" w:cs="Calibri" w:eastAsia="Calibri" w:hAnsi="Calibri"/>
          <w:i/>
          <w:iCs/>
          <w:color w:val="6B7280"/>
          <w:sz w:val="18"/>
          <w:szCs w:val="18"/>
        </w:rPr>
        <w:t xml:space="preserve">Figure 15. Contract validation.</w:t>
      </w:r>
    </w:p>
    <w:p>
      <w:pPr>
        <w:pStyle w:val="Heading2"/>
        <w:spacing w:after="100" w:before="260"/>
      </w:pPr>
      <w:r>
        <w:rPr>
          <w:rFonts w:ascii="Calibri" w:cs="Calibri" w:eastAsia="Calibri" w:hAnsi="Calibri"/>
          <w:b/>
          <w:bCs/>
          <w:color w:val="1E1B4B"/>
          <w:sz w:val="26"/>
          <w:szCs w:val="26"/>
        </w:rPr>
        <w:t xml:space="preserve">7.3 Contract drift</w:t>
      </w:r>
    </w:p>
    <w:p>
      <w:pPr>
        <w:spacing w:after="140" w:before="0" w:line="276"/>
      </w:pPr>
      <w:r>
        <w:rPr>
          <w:rFonts w:ascii="Calibri" w:cs="Calibri" w:eastAsia="Calibri" w:hAnsi="Calibri"/>
          <w:b/>
          <w:bCs/>
          <w:color w:val="1E1B4B"/>
          <w:sz w:val="21"/>
          <w:szCs w:val="21"/>
        </w:rPr>
        <w:t xml:space="preserve">What it is for. </w:t>
      </w:r>
      <w:r>
        <w:rPr>
          <w:rFonts w:ascii="Calibri" w:cs="Calibri" w:eastAsia="Calibri" w:hAnsi="Calibri"/>
          <w:color w:val="4B5563"/>
          <w:sz w:val="21"/>
          <w:szCs w:val="21"/>
        </w:rPr>
        <w:t xml:space="preserve">Keeps the catalogue’s recorded expectations current. It compares the live response to what the endpoint was imported to expect and lets you adopt the live shape with one click.</w:t>
      </w:r>
    </w:p>
    <w:p>
      <w:pPr>
        <w:spacing w:after="140" w:before="0" w:line="276"/>
      </w:pPr>
      <w:r>
        <w:rPr>
          <w:rFonts w:ascii="Calibri" w:cs="Calibri" w:eastAsia="Calibri" w:hAnsi="Calibri"/>
          <w:b/>
          <w:bCs/>
          <w:color w:val="1E1B4B"/>
          <w:sz w:val="21"/>
          <w:szCs w:val="21"/>
        </w:rPr>
        <w:t xml:space="preserve">How to use it. </w:t>
      </w:r>
      <w:r>
        <w:rPr>
          <w:rFonts w:ascii="Calibri" w:cs="Calibri" w:eastAsia="Calibri" w:hAnsi="Calibri"/>
          <w:color w:val="4B5563"/>
          <w:sz w:val="21"/>
          <w:szCs w:val="21"/>
        </w:rPr>
        <w:t xml:space="preserve">Open it from the Tools menu; it scans automatically. On a drifted endpoint, click Adopt live to write today’s response shape back into the catalogue.</w:t>
      </w:r>
    </w:p>
    <w:p>
      <w:pPr>
        <w:spacing w:after="140" w:before="0" w:line="276"/>
      </w:pPr>
      <w:r>
        <w:rPr>
          <w:rFonts w:ascii="Calibri" w:cs="Calibri" w:eastAsia="Calibri" w:hAnsi="Calibri"/>
          <w:b/>
          <w:bCs/>
          <w:color w:val="1E1B4B"/>
          <w:sz w:val="21"/>
          <w:szCs w:val="21"/>
        </w:rPr>
        <w:t xml:space="preserve">What you get. </w:t>
      </w:r>
      <w:r>
        <w:rPr>
          <w:rFonts w:ascii="Calibri" w:cs="Calibri" w:eastAsia="Calibri" w:hAnsi="Calibri"/>
          <w:color w:val="4B5563"/>
          <w:sz w:val="21"/>
          <w:szCs w:val="21"/>
        </w:rPr>
        <w:t xml:space="preserve">A per-endpoint verdict (drifted / in sync / unreachable). Adopting updates the catalogue so future generated tests assert against current reality. (It compares structure, not illustrative values.)</w:t>
      </w:r>
    </w:p>
    <w:tbl>
      <w:tblPr>
        <w:tblW w:type="dxa" w:w="10080"/>
        <w:jc w:val="center"/>
        <w:tblBorders>
          <w:top w:val="single" w:color="C7C3DE" w:sz="6"/>
          <w:left w:val="single" w:color="C7C3DE" w:sz="6"/>
          <w:bottom w:val="single" w:color="C7C3DE" w:sz="6"/>
          <w:right w:val="single" w:color="C7C3DE" w:sz="6"/>
          <w:insideH w:val="single" w:color="C7C3DE" w:sz="6"/>
          <w:insideV w:val="single" w:color="C7C3DE" w:sz="6"/>
        </w:tblBorders>
      </w:tblPr>
      <w:tblGrid>
        <w:gridCol w:w="10080"/>
      </w:tblGrid>
      <w:tr>
        <w:tc>
          <w:tcPr>
            <w:tcW w:type="dxa" w:w="10080"/>
            <w:tcMar>
              <w:top w:type="dxa" w:w="60"/>
              <w:left w:type="dxa" w:w="60"/>
              <w:bottom w:type="dxa" w:w="60"/>
              <w:right w:type="dxa" w:w="60"/>
            </w:tcMar>
          </w:tcPr>
          <w:p>
            <w:pPr>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895725"/>
                          </a:xfrm>
                          <a:prstGeom prst="rect">
                            <a:avLst/>
                          </a:prstGeom>
                        </pic:spPr>
                      </pic:pic>
                    </a:graphicData>
                  </a:graphic>
                </wp:inline>
              </w:drawing>
            </w:r>
          </w:p>
        </w:tc>
      </w:tr>
    </w:tbl>
    <w:p>
      <w:pPr>
        <w:spacing w:after="240" w:before="70"/>
        <w:jc w:val="center"/>
      </w:pPr>
      <w:r>
        <w:rPr>
          <w:rFonts w:ascii="Calibri" w:cs="Calibri" w:eastAsia="Calibri" w:hAnsi="Calibri"/>
          <w:i/>
          <w:iCs/>
          <w:color w:val="6B7280"/>
          <w:sz w:val="18"/>
          <w:szCs w:val="18"/>
        </w:rPr>
        <w:t xml:space="preserve">Figure 16. Contract drift.</w:t>
      </w:r>
    </w:p>
    <w:p>
      <w:pPr>
        <w:pStyle w:val="Heading2"/>
        <w:spacing w:after="100" w:before="260"/>
      </w:pPr>
      <w:r>
        <w:rPr>
          <w:rFonts w:ascii="Calibri" w:cs="Calibri" w:eastAsia="Calibri" w:hAnsi="Calibri"/>
          <w:b/>
          <w:bCs/>
          <w:color w:val="1E1B4B"/>
          <w:sz w:val="26"/>
          <w:szCs w:val="26"/>
        </w:rPr>
        <w:t xml:space="preserve">7.4 Security scan</w:t>
      </w:r>
    </w:p>
    <w:p>
      <w:pPr>
        <w:spacing w:after="140" w:before="0" w:line="276"/>
      </w:pPr>
      <w:r>
        <w:rPr>
          <w:rFonts w:ascii="Calibri" w:cs="Calibri" w:eastAsia="Calibri" w:hAnsi="Calibri"/>
          <w:b/>
          <w:bCs/>
          <w:color w:val="1E1B4B"/>
          <w:sz w:val="21"/>
          <w:szCs w:val="21"/>
        </w:rPr>
        <w:t xml:space="preserve">What it is for. </w:t>
      </w:r>
      <w:r>
        <w:rPr>
          <w:rFonts w:ascii="Calibri" w:cs="Calibri" w:eastAsia="Calibri" w:hAnsi="Calibri"/>
          <w:color w:val="4B5563"/>
          <w:sz w:val="21"/>
          <w:szCs w:val="21"/>
        </w:rPr>
        <w:t xml:space="preserve">A quick, non-destructive security pass in the spirit of the OWASP API risks — no external scanner required — flagging common weaknesses per endpoint.</w:t>
      </w:r>
    </w:p>
    <w:p>
      <w:pPr>
        <w:spacing w:after="140" w:before="0" w:line="276"/>
      </w:pPr>
      <w:r>
        <w:rPr>
          <w:rFonts w:ascii="Calibri" w:cs="Calibri" w:eastAsia="Calibri" w:hAnsi="Calibri"/>
          <w:b/>
          <w:bCs/>
          <w:color w:val="1E1B4B"/>
          <w:sz w:val="21"/>
          <w:szCs w:val="21"/>
        </w:rPr>
        <w:t xml:space="preserve">How to use it. </w:t>
      </w:r>
      <w:r>
        <w:rPr>
          <w:rFonts w:ascii="Calibri" w:cs="Calibri" w:eastAsia="Calibri" w:hAnsi="Calibri"/>
          <w:color w:val="4B5563"/>
          <w:sz w:val="21"/>
          <w:szCs w:val="21"/>
        </w:rPr>
        <w:t xml:space="preserve">Open it from the Tools menu; it runs automatically. It never sends attack payloads to write operations (POST/PUT/PATCH/DELETE) — those are inspected safely only.</w:t>
      </w:r>
    </w:p>
    <w:p>
      <w:pPr>
        <w:spacing w:after="140" w:before="0" w:line="276"/>
      </w:pPr>
      <w:r>
        <w:rPr>
          <w:rFonts w:ascii="Calibri" w:cs="Calibri" w:eastAsia="Calibri" w:hAnsi="Calibri"/>
          <w:b/>
          <w:bCs/>
          <w:color w:val="1E1B4B"/>
          <w:sz w:val="21"/>
          <w:szCs w:val="21"/>
        </w:rPr>
        <w:t xml:space="preserve">What you get. </w:t>
      </w:r>
      <w:r>
        <w:rPr>
          <w:rFonts w:ascii="Calibri" w:cs="Calibri" w:eastAsia="Calibri" w:hAnsi="Calibri"/>
          <w:color w:val="4B5563"/>
          <w:sz w:val="21"/>
          <w:szCs w:val="21"/>
        </w:rPr>
        <w:t xml:space="preserve">Findings by severity (high/medium/low/info): missing security headers, permissive CORS, information leakage, transport/HSTS issues, possible broken authentication and injection exposure.</w:t>
      </w:r>
    </w:p>
    <w:tbl>
      <w:tblPr>
        <w:tblW w:type="dxa" w:w="10080"/>
        <w:jc w:val="center"/>
        <w:tblBorders>
          <w:top w:val="single" w:color="C7C3DE" w:sz="6"/>
          <w:left w:val="single" w:color="C7C3DE" w:sz="6"/>
          <w:bottom w:val="single" w:color="C7C3DE" w:sz="6"/>
          <w:right w:val="single" w:color="C7C3DE" w:sz="6"/>
          <w:insideH w:val="single" w:color="C7C3DE" w:sz="6"/>
          <w:insideV w:val="single" w:color="C7C3DE" w:sz="6"/>
        </w:tblBorders>
      </w:tblPr>
      <w:tblGrid>
        <w:gridCol w:w="10080"/>
      </w:tblGrid>
      <w:tr>
        <w:tc>
          <w:tcPr>
            <w:tcW w:type="dxa" w:w="10080"/>
            <w:tcMar>
              <w:top w:type="dxa" w:w="60"/>
              <w:left w:type="dxa" w:w="60"/>
              <w:bottom w:type="dxa" w:w="60"/>
              <w:right w:type="dxa" w:w="60"/>
            </w:tcMar>
          </w:tcPr>
          <w:p>
            <w:pPr>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895725"/>
                          </a:xfrm>
                          <a:prstGeom prst="rect">
                            <a:avLst/>
                          </a:prstGeom>
                        </pic:spPr>
                      </pic:pic>
                    </a:graphicData>
                  </a:graphic>
                </wp:inline>
              </w:drawing>
            </w:r>
          </w:p>
        </w:tc>
      </w:tr>
    </w:tbl>
    <w:p>
      <w:pPr>
        <w:spacing w:after="240" w:before="70"/>
        <w:jc w:val="center"/>
      </w:pPr>
      <w:r>
        <w:rPr>
          <w:rFonts w:ascii="Calibri" w:cs="Calibri" w:eastAsia="Calibri" w:hAnsi="Calibri"/>
          <w:i/>
          <w:iCs/>
          <w:color w:val="6B7280"/>
          <w:sz w:val="18"/>
          <w:szCs w:val="18"/>
        </w:rPr>
        <w:t xml:space="preserve">Figure 17. Security scan.</w:t>
      </w:r>
    </w:p>
    <w:p>
      <w:pPr>
        <w:pStyle w:val="Heading2"/>
        <w:spacing w:after="100" w:before="260"/>
      </w:pPr>
      <w:r>
        <w:rPr>
          <w:rFonts w:ascii="Calibri" w:cs="Calibri" w:eastAsia="Calibri" w:hAnsi="Calibri"/>
          <w:b/>
          <w:bCs/>
          <w:color w:val="1E1B4B"/>
          <w:sz w:val="26"/>
          <w:szCs w:val="26"/>
        </w:rPr>
        <w:t xml:space="preserve">7.5 Load test</w:t>
      </w:r>
    </w:p>
    <w:p>
      <w:pPr>
        <w:spacing w:after="140" w:before="0" w:line="276"/>
      </w:pPr>
      <w:r>
        <w:rPr>
          <w:rFonts w:ascii="Calibri" w:cs="Calibri" w:eastAsia="Calibri" w:hAnsi="Calibri"/>
          <w:b/>
          <w:bCs/>
          <w:color w:val="1E1B4B"/>
          <w:sz w:val="21"/>
          <w:szCs w:val="21"/>
        </w:rPr>
        <w:t xml:space="preserve">What it is for. </w:t>
      </w:r>
      <w:r>
        <w:rPr>
          <w:rFonts w:ascii="Calibri" w:cs="Calibri" w:eastAsia="Calibri" w:hAnsi="Calibri"/>
          <w:color w:val="4B5563"/>
          <w:sz w:val="21"/>
          <w:szCs w:val="21"/>
        </w:rPr>
        <w:t xml:space="preserve">A lightweight performance check on a single endpoint — latency, throughput and status mix — without needing a separate load-testing tool.</w:t>
      </w:r>
    </w:p>
    <w:p>
      <w:pPr>
        <w:spacing w:after="140" w:before="0" w:line="276"/>
      </w:pPr>
      <w:r>
        <w:rPr>
          <w:rFonts w:ascii="Calibri" w:cs="Calibri" w:eastAsia="Calibri" w:hAnsi="Calibri"/>
          <w:b/>
          <w:bCs/>
          <w:color w:val="1E1B4B"/>
          <w:sz w:val="21"/>
          <w:szCs w:val="21"/>
        </w:rPr>
        <w:t xml:space="preserve">How to use it. </w:t>
      </w:r>
      <w:r>
        <w:rPr>
          <w:rFonts w:ascii="Calibri" w:cs="Calibri" w:eastAsia="Calibri" w:hAnsi="Calibri"/>
          <w:color w:val="4B5563"/>
          <w:sz w:val="21"/>
          <w:szCs w:val="21"/>
        </w:rPr>
        <w:t xml:space="preserve">Choose an endpoint, set the number of requests and the concurrency, and run. For a write endpoint you must explicitly opt in, so you only load-test writes against a safe environment.</w:t>
      </w:r>
    </w:p>
    <w:p>
      <w:pPr>
        <w:spacing w:after="140" w:before="0" w:line="276"/>
      </w:pPr>
      <w:r>
        <w:rPr>
          <w:rFonts w:ascii="Calibri" w:cs="Calibri" w:eastAsia="Calibri" w:hAnsi="Calibri"/>
          <w:b/>
          <w:bCs/>
          <w:color w:val="1E1B4B"/>
          <w:sz w:val="21"/>
          <w:szCs w:val="21"/>
        </w:rPr>
        <w:t xml:space="preserve">What you get. </w:t>
      </w:r>
      <w:r>
        <w:rPr>
          <w:rFonts w:ascii="Calibri" w:cs="Calibri" w:eastAsia="Calibri" w:hAnsi="Calibri"/>
          <w:color w:val="4B5563"/>
          <w:sz w:val="21"/>
          <w:szCs w:val="21"/>
        </w:rPr>
        <w:t xml:space="preserve">Throughput (requests/second), completed/failed/non-2xx counts, a latency distribution (min, p50, p90, p95, p99, max, average) and the status-code mix.</w:t>
      </w:r>
    </w:p>
    <w:tbl>
      <w:tblPr>
        <w:tblW w:type="dxa" w:w="10080"/>
        <w:jc w:val="center"/>
        <w:tblBorders>
          <w:top w:val="single" w:color="C7C3DE" w:sz="6"/>
          <w:left w:val="single" w:color="C7C3DE" w:sz="6"/>
          <w:bottom w:val="single" w:color="C7C3DE" w:sz="6"/>
          <w:right w:val="single" w:color="C7C3DE" w:sz="6"/>
          <w:insideH w:val="single" w:color="C7C3DE" w:sz="6"/>
          <w:insideV w:val="single" w:color="C7C3DE" w:sz="6"/>
        </w:tblBorders>
      </w:tblPr>
      <w:tblGrid>
        <w:gridCol w:w="10080"/>
      </w:tblGrid>
      <w:tr>
        <w:tc>
          <w:tcPr>
            <w:tcW w:type="dxa" w:w="10080"/>
            <w:tcMar>
              <w:top w:type="dxa" w:w="60"/>
              <w:left w:type="dxa" w:w="60"/>
              <w:bottom w:type="dxa" w:w="60"/>
              <w:right w:type="dxa" w:w="60"/>
            </w:tcMar>
          </w:tcPr>
          <w:p>
            <w:pPr>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895725"/>
                          </a:xfrm>
                          <a:prstGeom prst="rect">
                            <a:avLst/>
                          </a:prstGeom>
                        </pic:spPr>
                      </pic:pic>
                    </a:graphicData>
                  </a:graphic>
                </wp:inline>
              </w:drawing>
            </w:r>
          </w:p>
        </w:tc>
      </w:tr>
    </w:tbl>
    <w:p>
      <w:pPr>
        <w:spacing w:after="240" w:before="70"/>
        <w:jc w:val="center"/>
      </w:pPr>
      <w:r>
        <w:rPr>
          <w:rFonts w:ascii="Calibri" w:cs="Calibri" w:eastAsia="Calibri" w:hAnsi="Calibri"/>
          <w:i/>
          <w:iCs/>
          <w:color w:val="6B7280"/>
          <w:sz w:val="18"/>
          <w:szCs w:val="18"/>
        </w:rPr>
        <w:t xml:space="preserve">Figure 18. Load test.</w:t>
      </w:r>
    </w:p>
    <w:p>
      <w:pPr>
        <w:pStyle w:val="Heading2"/>
        <w:spacing w:after="100" w:before="260"/>
      </w:pPr>
      <w:r>
        <w:rPr>
          <w:rFonts w:ascii="Calibri" w:cs="Calibri" w:eastAsia="Calibri" w:hAnsi="Calibri"/>
          <w:b/>
          <w:bCs/>
          <w:color w:val="1E1B4B"/>
          <w:sz w:val="26"/>
          <w:szCs w:val="26"/>
        </w:rPr>
        <w:t xml:space="preserve">7.6 Governance lint</w:t>
      </w:r>
    </w:p>
    <w:p>
      <w:pPr>
        <w:spacing w:after="140" w:before="0" w:line="276"/>
      </w:pPr>
      <w:r>
        <w:rPr>
          <w:rFonts w:ascii="Calibri" w:cs="Calibri" w:eastAsia="Calibri" w:hAnsi="Calibri"/>
          <w:b/>
          <w:bCs/>
          <w:color w:val="1E1B4B"/>
          <w:sz w:val="21"/>
          <w:szCs w:val="21"/>
        </w:rPr>
        <w:t xml:space="preserve">What it is for. </w:t>
      </w:r>
      <w:r>
        <w:rPr>
          <w:rFonts w:ascii="Calibri" w:cs="Calibri" w:eastAsia="Calibri" w:hAnsi="Calibri"/>
          <w:color w:val="4B5563"/>
          <w:sz w:val="21"/>
          <w:szCs w:val="21"/>
        </w:rPr>
        <w:t xml:space="preserve">An API-design linter that checks your catalogue against good-practice rules — instantly, in your browser — so design smells are caught before tests are built.</w:t>
      </w:r>
    </w:p>
    <w:p>
      <w:pPr>
        <w:spacing w:after="140" w:before="0" w:line="276"/>
      </w:pPr>
      <w:r>
        <w:rPr>
          <w:rFonts w:ascii="Calibri" w:cs="Calibri" w:eastAsia="Calibri" w:hAnsi="Calibri"/>
          <w:b/>
          <w:bCs/>
          <w:color w:val="1E1B4B"/>
          <w:sz w:val="21"/>
          <w:szCs w:val="21"/>
        </w:rPr>
        <w:t xml:space="preserve">How to use it. </w:t>
      </w:r>
      <w:r>
        <w:rPr>
          <w:rFonts w:ascii="Calibri" w:cs="Calibri" w:eastAsia="Calibri" w:hAnsi="Calibri"/>
          <w:color w:val="4B5563"/>
          <w:sz w:val="21"/>
          <w:szCs w:val="21"/>
        </w:rPr>
        <w:t xml:space="preserve">Open it from the Tools menu; it lints the catalogue immediately, with no inputs.</w:t>
      </w:r>
    </w:p>
    <w:p>
      <w:pPr>
        <w:spacing w:after="140" w:before="0" w:line="276"/>
      </w:pPr>
      <w:r>
        <w:rPr>
          <w:rFonts w:ascii="Calibri" w:cs="Calibri" w:eastAsia="Calibri" w:hAnsi="Calibri"/>
          <w:b/>
          <w:bCs/>
          <w:color w:val="1E1B4B"/>
          <w:sz w:val="21"/>
          <w:szCs w:val="21"/>
        </w:rPr>
        <w:t xml:space="preserve">What you get. </w:t>
      </w:r>
      <w:r>
        <w:rPr>
          <w:rFonts w:ascii="Calibri" w:cs="Calibri" w:eastAsia="Calibri" w:hAnsi="Calibri"/>
          <w:color w:val="4B5563"/>
          <w:sz w:val="21"/>
          <w:szCs w:val="21"/>
        </w:rPr>
        <w:t xml:space="preserve">A list of findings by severity, such as endpoints served over plain HTTP, write endpoints without authentication, verbs in paths, missing versioning or inconsistent casing.</w:t>
      </w:r>
    </w:p>
    <w:tbl>
      <w:tblPr>
        <w:tblW w:type="dxa" w:w="10080"/>
        <w:jc w:val="center"/>
        <w:tblBorders>
          <w:top w:val="single" w:color="C7C3DE" w:sz="6"/>
          <w:left w:val="single" w:color="C7C3DE" w:sz="6"/>
          <w:bottom w:val="single" w:color="C7C3DE" w:sz="6"/>
          <w:right w:val="single" w:color="C7C3DE" w:sz="6"/>
          <w:insideH w:val="single" w:color="C7C3DE" w:sz="6"/>
          <w:insideV w:val="single" w:color="C7C3DE" w:sz="6"/>
        </w:tblBorders>
      </w:tblPr>
      <w:tblGrid>
        <w:gridCol w:w="10080"/>
      </w:tblGrid>
      <w:tr>
        <w:tc>
          <w:tcPr>
            <w:tcW w:type="dxa" w:w="10080"/>
            <w:tcMar>
              <w:top w:type="dxa" w:w="60"/>
              <w:left w:type="dxa" w:w="60"/>
              <w:bottom w:type="dxa" w:w="60"/>
              <w:right w:type="dxa" w:w="60"/>
            </w:tcMar>
          </w:tcPr>
          <w:p>
            <w:pPr>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895725"/>
                          </a:xfrm>
                          <a:prstGeom prst="rect">
                            <a:avLst/>
                          </a:prstGeom>
                        </pic:spPr>
                      </pic:pic>
                    </a:graphicData>
                  </a:graphic>
                </wp:inline>
              </w:drawing>
            </w:r>
          </w:p>
        </w:tc>
      </w:tr>
    </w:tbl>
    <w:p>
      <w:pPr>
        <w:spacing w:after="240" w:before="70"/>
        <w:jc w:val="center"/>
      </w:pPr>
      <w:r>
        <w:rPr>
          <w:rFonts w:ascii="Calibri" w:cs="Calibri" w:eastAsia="Calibri" w:hAnsi="Calibri"/>
          <w:i/>
          <w:iCs/>
          <w:color w:val="6B7280"/>
          <w:sz w:val="18"/>
          <w:szCs w:val="18"/>
        </w:rPr>
        <w:t xml:space="preserve">Figure 19. Governance lint.</w:t>
      </w:r>
    </w:p>
    <w:p>
      <w:pPr>
        <w:pStyle w:val="Heading2"/>
        <w:spacing w:after="100" w:before="260"/>
      </w:pPr>
      <w:r>
        <w:rPr>
          <w:rFonts w:ascii="Calibri" w:cs="Calibri" w:eastAsia="Calibri" w:hAnsi="Calibri"/>
          <w:b/>
          <w:bCs/>
          <w:color w:val="1E1B4B"/>
          <w:sz w:val="26"/>
          <w:szCs w:val="26"/>
        </w:rPr>
        <w:t xml:space="preserve">7.7 Test coverage</w:t>
      </w:r>
    </w:p>
    <w:p>
      <w:pPr>
        <w:spacing w:after="140" w:before="0" w:line="276"/>
      </w:pPr>
      <w:r>
        <w:rPr>
          <w:rFonts w:ascii="Calibri" w:cs="Calibri" w:eastAsia="Calibri" w:hAnsi="Calibri"/>
          <w:b/>
          <w:bCs/>
          <w:color w:val="1E1B4B"/>
          <w:sz w:val="21"/>
          <w:szCs w:val="21"/>
        </w:rPr>
        <w:t xml:space="preserve">What it is for. </w:t>
      </w:r>
      <w:r>
        <w:rPr>
          <w:rFonts w:ascii="Calibri" w:cs="Calibri" w:eastAsia="Calibri" w:hAnsi="Calibri"/>
          <w:color w:val="4B5563"/>
          <w:sz w:val="21"/>
          <w:szCs w:val="21"/>
        </w:rPr>
        <w:t xml:space="preserve">Answers "which endpoints are actually tested, and how?" by mapping your designed scenarios back onto the catalogue.</w:t>
      </w:r>
    </w:p>
    <w:p>
      <w:pPr>
        <w:spacing w:after="140" w:before="0" w:line="276"/>
      </w:pPr>
      <w:r>
        <w:rPr>
          <w:rFonts w:ascii="Calibri" w:cs="Calibri" w:eastAsia="Calibri" w:hAnsi="Calibri"/>
          <w:b/>
          <w:bCs/>
          <w:color w:val="1E1B4B"/>
          <w:sz w:val="21"/>
          <w:szCs w:val="21"/>
        </w:rPr>
        <w:t xml:space="preserve">How to use it. </w:t>
      </w:r>
      <w:r>
        <w:rPr>
          <w:rFonts w:ascii="Calibri" w:cs="Calibri" w:eastAsia="Calibri" w:hAnsi="Calibri"/>
          <w:color w:val="4B5563"/>
          <w:sz w:val="21"/>
          <w:szCs w:val="21"/>
        </w:rPr>
        <w:t xml:space="preserve">Open it from the Tools menu after scenarios have been designed; it is instant and read-only.</w:t>
      </w:r>
    </w:p>
    <w:p>
      <w:pPr>
        <w:spacing w:after="140" w:before="0" w:line="276"/>
      </w:pPr>
      <w:r>
        <w:rPr>
          <w:rFonts w:ascii="Calibri" w:cs="Calibri" w:eastAsia="Calibri" w:hAnsi="Calibri"/>
          <w:b/>
          <w:bCs/>
          <w:color w:val="1E1B4B"/>
          <w:sz w:val="21"/>
          <w:szCs w:val="21"/>
        </w:rPr>
        <w:t xml:space="preserve">What you get. </w:t>
      </w:r>
      <w:r>
        <w:rPr>
          <w:rFonts w:ascii="Calibri" w:cs="Calibri" w:eastAsia="Calibri" w:hAnsi="Calibri"/>
          <w:color w:val="4B5563"/>
          <w:sz w:val="21"/>
          <w:szCs w:val="21"/>
        </w:rPr>
        <w:t xml:space="preserve">An overall coverage percentage, the mix of scenario categories, an explicit list of untested endpoints, and the scenario count per covered endpoint.</w:t>
      </w:r>
    </w:p>
    <w:tbl>
      <w:tblPr>
        <w:tblW w:type="dxa" w:w="10080"/>
        <w:jc w:val="center"/>
        <w:tblBorders>
          <w:top w:val="single" w:color="C7C3DE" w:sz="6"/>
          <w:left w:val="single" w:color="C7C3DE" w:sz="6"/>
          <w:bottom w:val="single" w:color="C7C3DE" w:sz="6"/>
          <w:right w:val="single" w:color="C7C3DE" w:sz="6"/>
          <w:insideH w:val="single" w:color="C7C3DE" w:sz="6"/>
          <w:insideV w:val="single" w:color="C7C3DE" w:sz="6"/>
        </w:tblBorders>
      </w:tblPr>
      <w:tblGrid>
        <w:gridCol w:w="10080"/>
      </w:tblGrid>
      <w:tr>
        <w:tc>
          <w:tcPr>
            <w:tcW w:type="dxa" w:w="10080"/>
            <w:tcMar>
              <w:top w:type="dxa" w:w="60"/>
              <w:left w:type="dxa" w:w="60"/>
              <w:bottom w:type="dxa" w:w="60"/>
              <w:right w:type="dxa" w:w="60"/>
            </w:tcMar>
          </w:tcPr>
          <w:p>
            <w:pPr>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895725"/>
                          </a:xfrm>
                          <a:prstGeom prst="rect">
                            <a:avLst/>
                          </a:prstGeom>
                        </pic:spPr>
                      </pic:pic>
                    </a:graphicData>
                  </a:graphic>
                </wp:inline>
              </w:drawing>
            </w:r>
          </w:p>
        </w:tc>
      </w:tr>
    </w:tbl>
    <w:p>
      <w:pPr>
        <w:spacing w:after="240" w:before="70"/>
        <w:jc w:val="center"/>
      </w:pPr>
      <w:r>
        <w:rPr>
          <w:rFonts w:ascii="Calibri" w:cs="Calibri" w:eastAsia="Calibri" w:hAnsi="Calibri"/>
          <w:i/>
          <w:iCs/>
          <w:color w:val="6B7280"/>
          <w:sz w:val="18"/>
          <w:szCs w:val="18"/>
        </w:rPr>
        <w:t xml:space="preserve">Figure 20. Test coverage.</w:t>
      </w:r>
    </w:p>
    <w:p>
      <w:pPr>
        <w:pStyle w:val="Heading2"/>
        <w:spacing w:after="100" w:before="260"/>
      </w:pPr>
      <w:r>
        <w:rPr>
          <w:rFonts w:ascii="Calibri" w:cs="Calibri" w:eastAsia="Calibri" w:hAnsi="Calibri"/>
          <w:b/>
          <w:bCs/>
          <w:color w:val="1E1B4B"/>
          <w:sz w:val="26"/>
          <w:szCs w:val="26"/>
        </w:rPr>
        <w:t xml:space="preserve">7.8 Regression baselines</w:t>
      </w:r>
    </w:p>
    <w:p>
      <w:pPr>
        <w:spacing w:after="140" w:before="0" w:line="276"/>
      </w:pPr>
      <w:r>
        <w:rPr>
          <w:rFonts w:ascii="Calibri" w:cs="Calibri" w:eastAsia="Calibri" w:hAnsi="Calibri"/>
          <w:b/>
          <w:bCs/>
          <w:color w:val="1E1B4B"/>
          <w:sz w:val="21"/>
          <w:szCs w:val="21"/>
        </w:rPr>
        <w:t xml:space="preserve">What it is for. </w:t>
      </w:r>
      <w:r>
        <w:rPr>
          <w:rFonts w:ascii="Calibri" w:cs="Calibri" w:eastAsia="Calibri" w:hAnsi="Calibri"/>
          <w:color w:val="4B5563"/>
          <w:sz w:val="21"/>
          <w:szCs w:val="21"/>
        </w:rPr>
        <w:t xml:space="preserve">Catches silent response regressions by snapshotting today’s responses and comparing future responses against them.</w:t>
      </w:r>
    </w:p>
    <w:p>
      <w:pPr>
        <w:spacing w:after="140" w:before="0" w:line="276"/>
      </w:pPr>
      <w:r>
        <w:rPr>
          <w:rFonts w:ascii="Calibri" w:cs="Calibri" w:eastAsia="Calibri" w:hAnsi="Calibri"/>
          <w:b/>
          <w:bCs/>
          <w:color w:val="1E1B4B"/>
          <w:sz w:val="21"/>
          <w:szCs w:val="21"/>
        </w:rPr>
        <w:t xml:space="preserve">How to use it. </w:t>
      </w:r>
      <w:r>
        <w:rPr>
          <w:rFonts w:ascii="Calibri" w:cs="Calibri" w:eastAsia="Calibri" w:hAnsi="Calibri"/>
          <w:color w:val="4B5563"/>
          <w:sz w:val="21"/>
          <w:szCs w:val="21"/>
        </w:rPr>
        <w:t xml:space="preserve">Click Capture baseline to snapshot the live responses; later, click Compare now to diff live responses against the snapshot.</w:t>
      </w:r>
    </w:p>
    <w:p>
      <w:pPr>
        <w:spacing w:after="140" w:before="0" w:line="276"/>
      </w:pPr>
      <w:r>
        <w:rPr>
          <w:rFonts w:ascii="Calibri" w:cs="Calibri" w:eastAsia="Calibri" w:hAnsi="Calibri"/>
          <w:b/>
          <w:bCs/>
          <w:color w:val="1E1B4B"/>
          <w:sz w:val="21"/>
          <w:szCs w:val="21"/>
        </w:rPr>
        <w:t xml:space="preserve">What you get. </w:t>
      </w:r>
      <w:r>
        <w:rPr>
          <w:rFonts w:ascii="Calibri" w:cs="Calibri" w:eastAsia="Calibri" w:hAnsi="Calibri"/>
          <w:color w:val="4B5563"/>
          <w:sz w:val="21"/>
          <w:szCs w:val="21"/>
        </w:rPr>
        <w:t xml:space="preserve">A per-endpoint verdict — unchanged, drifted, unreachable or no baseline — with the exact fields that were added, removed, re-typed or changed. Volatile fields (IDs, timestamps, tokens) are compared by type, so a fresh ID never counts as a regression.</w:t>
      </w:r>
    </w:p>
    <w:tbl>
      <w:tblPr>
        <w:tblW w:type="dxa" w:w="10080"/>
        <w:jc w:val="center"/>
        <w:tblBorders>
          <w:top w:val="single" w:color="C7C3DE" w:sz="6"/>
          <w:left w:val="single" w:color="C7C3DE" w:sz="6"/>
          <w:bottom w:val="single" w:color="C7C3DE" w:sz="6"/>
          <w:right w:val="single" w:color="C7C3DE" w:sz="6"/>
          <w:insideH w:val="single" w:color="C7C3DE" w:sz="6"/>
          <w:insideV w:val="single" w:color="C7C3DE" w:sz="6"/>
        </w:tblBorders>
      </w:tblPr>
      <w:tblGrid>
        <w:gridCol w:w="10080"/>
      </w:tblGrid>
      <w:tr>
        <w:tc>
          <w:tcPr>
            <w:tcW w:type="dxa" w:w="10080"/>
            <w:tcMar>
              <w:top w:type="dxa" w:w="60"/>
              <w:left w:type="dxa" w:w="60"/>
              <w:bottom w:type="dxa" w:w="60"/>
              <w:right w:type="dxa" w:w="60"/>
            </w:tcMar>
          </w:tcPr>
          <w:p>
            <w:pPr>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895725"/>
                          </a:xfrm>
                          <a:prstGeom prst="rect">
                            <a:avLst/>
                          </a:prstGeom>
                        </pic:spPr>
                      </pic:pic>
                    </a:graphicData>
                  </a:graphic>
                </wp:inline>
              </w:drawing>
            </w:r>
          </w:p>
        </w:tc>
      </w:tr>
    </w:tbl>
    <w:p>
      <w:pPr>
        <w:spacing w:after="240" w:before="70"/>
        <w:jc w:val="center"/>
      </w:pPr>
      <w:r>
        <w:rPr>
          <w:rFonts w:ascii="Calibri" w:cs="Calibri" w:eastAsia="Calibri" w:hAnsi="Calibri"/>
          <w:i/>
          <w:iCs/>
          <w:color w:val="6B7280"/>
          <w:sz w:val="18"/>
          <w:szCs w:val="18"/>
        </w:rPr>
        <w:t xml:space="preserve">Figure 21. Regression baselines.</w:t>
      </w:r>
    </w:p>
    <w:p>
      <w:pPr>
        <w:pStyle w:val="Heading2"/>
        <w:spacing w:after="100" w:before="260"/>
      </w:pPr>
      <w:r>
        <w:rPr>
          <w:rFonts w:ascii="Calibri" w:cs="Calibri" w:eastAsia="Calibri" w:hAnsi="Calibri"/>
          <w:b/>
          <w:bCs/>
          <w:color w:val="1E1B4B"/>
          <w:sz w:val="26"/>
          <w:szCs w:val="26"/>
        </w:rPr>
        <w:t xml:space="preserve">7.9 Data-driven testing</w:t>
      </w:r>
    </w:p>
    <w:p>
      <w:pPr>
        <w:spacing w:after="140" w:before="0" w:line="276"/>
      </w:pPr>
      <w:r>
        <w:rPr>
          <w:rFonts w:ascii="Calibri" w:cs="Calibri" w:eastAsia="Calibri" w:hAnsi="Calibri"/>
          <w:b/>
          <w:bCs/>
          <w:color w:val="1E1B4B"/>
          <w:sz w:val="21"/>
          <w:szCs w:val="21"/>
        </w:rPr>
        <w:t xml:space="preserve">What it is for. </w:t>
      </w:r>
      <w:r>
        <w:rPr>
          <w:rFonts w:ascii="Calibri" w:cs="Calibri" w:eastAsia="Calibri" w:hAnsi="Calibri"/>
          <w:color w:val="4B5563"/>
          <w:sz w:val="21"/>
          <w:szCs w:val="21"/>
        </w:rPr>
        <w:t xml:space="preserve">Runs one endpoint against a whole table of inputs — boundary and negative data sets — without hand-writing a test per row.</w:t>
      </w:r>
    </w:p>
    <w:p>
      <w:pPr>
        <w:spacing w:after="140" w:before="0" w:line="276"/>
      </w:pPr>
      <w:r>
        <w:rPr>
          <w:rFonts w:ascii="Calibri" w:cs="Calibri" w:eastAsia="Calibri" w:hAnsi="Calibri"/>
          <w:b/>
          <w:bCs/>
          <w:color w:val="1E1B4B"/>
          <w:sz w:val="21"/>
          <w:szCs w:val="21"/>
        </w:rPr>
        <w:t xml:space="preserve">How to use it. </w:t>
      </w:r>
      <w:r>
        <w:rPr>
          <w:rFonts w:ascii="Calibri" w:cs="Calibri" w:eastAsia="Calibri" w:hAnsi="Calibri"/>
          <w:color w:val="4B5563"/>
          <w:sz w:val="21"/>
          <w:szCs w:val="21"/>
        </w:rPr>
        <w:t xml:space="preserve">Choose an endpoint and paste a dataset as JSON rows or CSV. Placeholders in the endpoint are filled from each row; add an expectedStatus column to assert per row. Then run.</w:t>
      </w:r>
    </w:p>
    <w:p>
      <w:pPr>
        <w:spacing w:after="140" w:before="0" w:line="276"/>
      </w:pPr>
      <w:r>
        <w:rPr>
          <w:rFonts w:ascii="Calibri" w:cs="Calibri" w:eastAsia="Calibri" w:hAnsi="Calibri"/>
          <w:b/>
          <w:bCs/>
          <w:color w:val="1E1B4B"/>
          <w:sz w:val="21"/>
          <w:szCs w:val="21"/>
        </w:rPr>
        <w:t xml:space="preserve">What you get. </w:t>
      </w:r>
      <w:r>
        <w:rPr>
          <w:rFonts w:ascii="Calibri" w:cs="Calibri" w:eastAsia="Calibri" w:hAnsi="Calibri"/>
          <w:color w:val="4B5563"/>
          <w:sz w:val="21"/>
          <w:szCs w:val="21"/>
        </w:rPr>
        <w:t xml:space="preserve">Pass/fail counts, average latency and a per-row results table.</w:t>
      </w:r>
    </w:p>
    <w:tbl>
      <w:tblPr>
        <w:tblW w:type="dxa" w:w="10080"/>
        <w:jc w:val="center"/>
        <w:tblBorders>
          <w:top w:val="single" w:color="C7C3DE" w:sz="6"/>
          <w:left w:val="single" w:color="C7C3DE" w:sz="6"/>
          <w:bottom w:val="single" w:color="C7C3DE" w:sz="6"/>
          <w:right w:val="single" w:color="C7C3DE" w:sz="6"/>
          <w:insideH w:val="single" w:color="C7C3DE" w:sz="6"/>
          <w:insideV w:val="single" w:color="C7C3DE" w:sz="6"/>
        </w:tblBorders>
      </w:tblPr>
      <w:tblGrid>
        <w:gridCol w:w="10080"/>
      </w:tblGrid>
      <w:tr>
        <w:tc>
          <w:tcPr>
            <w:tcW w:type="dxa" w:w="10080"/>
            <w:tcMar>
              <w:top w:type="dxa" w:w="60"/>
              <w:left w:type="dxa" w:w="60"/>
              <w:bottom w:type="dxa" w:w="60"/>
              <w:right w:type="dxa" w:w="60"/>
            </w:tcMar>
          </w:tcPr>
          <w:p>
            <w:pPr>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895725"/>
                          </a:xfrm>
                          <a:prstGeom prst="rect">
                            <a:avLst/>
                          </a:prstGeom>
                        </pic:spPr>
                      </pic:pic>
                    </a:graphicData>
                  </a:graphic>
                </wp:inline>
              </w:drawing>
            </w:r>
          </w:p>
        </w:tc>
      </w:tr>
    </w:tbl>
    <w:p>
      <w:pPr>
        <w:spacing w:after="240" w:before="70"/>
        <w:jc w:val="center"/>
      </w:pPr>
      <w:r>
        <w:rPr>
          <w:rFonts w:ascii="Calibri" w:cs="Calibri" w:eastAsia="Calibri" w:hAnsi="Calibri"/>
          <w:i/>
          <w:iCs/>
          <w:color w:val="6B7280"/>
          <w:sz w:val="18"/>
          <w:szCs w:val="18"/>
        </w:rPr>
        <w:t xml:space="preserve">Figure 22. Data-driven testing.</w:t>
      </w:r>
    </w:p>
    <w:p>
      <w:pPr>
        <w:pStyle w:val="Heading2"/>
        <w:spacing w:after="100" w:before="260"/>
      </w:pPr>
      <w:r>
        <w:rPr>
          <w:rFonts w:ascii="Calibri" w:cs="Calibri" w:eastAsia="Calibri" w:hAnsi="Calibri"/>
          <w:b/>
          <w:bCs/>
          <w:color w:val="1E1B4B"/>
          <w:sz w:val="26"/>
          <w:szCs w:val="26"/>
        </w:rPr>
        <w:t xml:space="preserve">7.10 Async &amp; streaming</w:t>
      </w:r>
    </w:p>
    <w:p>
      <w:pPr>
        <w:spacing w:after="140" w:before="0" w:line="276"/>
      </w:pPr>
      <w:r>
        <w:rPr>
          <w:rFonts w:ascii="Calibri" w:cs="Calibri" w:eastAsia="Calibri" w:hAnsi="Calibri"/>
          <w:b/>
          <w:bCs/>
          <w:color w:val="1E1B4B"/>
          <w:sz w:val="21"/>
          <w:szCs w:val="21"/>
        </w:rPr>
        <w:t xml:space="preserve">What it is for. </w:t>
      </w:r>
      <w:r>
        <w:rPr>
          <w:rFonts w:ascii="Calibri" w:cs="Calibri" w:eastAsia="Calibri" w:hAnsi="Calibri"/>
          <w:color w:val="4B5563"/>
          <w:sz w:val="21"/>
          <w:szCs w:val="21"/>
        </w:rPr>
        <w:t xml:space="preserve">Tests streaming endpoints that a normal request/response cannot express — WebSocket and Server-Sent Events (SSE).</w:t>
      </w:r>
    </w:p>
    <w:p>
      <w:pPr>
        <w:spacing w:after="140" w:before="0" w:line="276"/>
      </w:pPr>
      <w:r>
        <w:rPr>
          <w:rFonts w:ascii="Calibri" w:cs="Calibri" w:eastAsia="Calibri" w:hAnsi="Calibri"/>
          <w:b/>
          <w:bCs/>
          <w:color w:val="1E1B4B"/>
          <w:sz w:val="21"/>
          <w:szCs w:val="21"/>
        </w:rPr>
        <w:t xml:space="preserve">How to use it. </w:t>
      </w:r>
      <w:r>
        <w:rPr>
          <w:rFonts w:ascii="Calibri" w:cs="Calibri" w:eastAsia="Calibri" w:hAnsi="Calibri"/>
          <w:color w:val="4B5563"/>
          <w:sz w:val="21"/>
          <w:szCs w:val="21"/>
        </w:rPr>
        <w:t xml:space="preserve">Enter the endpoint URL (it auto-detects WS vs SSE), optionally a message to send and an expected substring, choose how long to listen, and connect.</w:t>
      </w:r>
    </w:p>
    <w:p>
      <w:pPr>
        <w:spacing w:after="140" w:before="0" w:line="276"/>
      </w:pPr>
      <w:r>
        <w:rPr>
          <w:rFonts w:ascii="Calibri" w:cs="Calibri" w:eastAsia="Calibri" w:hAnsi="Calibri"/>
          <w:b/>
          <w:bCs/>
          <w:color w:val="1E1B4B"/>
          <w:sz w:val="21"/>
          <w:szCs w:val="21"/>
        </w:rPr>
        <w:t xml:space="preserve">What you get. </w:t>
      </w:r>
      <w:r>
        <w:rPr>
          <w:rFonts w:ascii="Calibri" w:cs="Calibri" w:eastAsia="Calibri" w:hAnsi="Calibri"/>
          <w:color w:val="4B5563"/>
          <w:sz w:val="21"/>
          <w:szCs w:val="21"/>
        </w:rPr>
        <w:t xml:space="preserve">Whether it connected, how many frames/events arrived, the time to first byte, the duration and whether your expected content was seen.</w:t>
      </w:r>
    </w:p>
    <w:tbl>
      <w:tblPr>
        <w:tblW w:type="dxa" w:w="10080"/>
        <w:jc w:val="center"/>
        <w:tblBorders>
          <w:top w:val="single" w:color="C7C3DE" w:sz="6"/>
          <w:left w:val="single" w:color="C7C3DE" w:sz="6"/>
          <w:bottom w:val="single" w:color="C7C3DE" w:sz="6"/>
          <w:right w:val="single" w:color="C7C3DE" w:sz="6"/>
          <w:insideH w:val="single" w:color="C7C3DE" w:sz="6"/>
          <w:insideV w:val="single" w:color="C7C3DE" w:sz="6"/>
        </w:tblBorders>
      </w:tblPr>
      <w:tblGrid>
        <w:gridCol w:w="10080"/>
      </w:tblGrid>
      <w:tr>
        <w:tc>
          <w:tcPr>
            <w:tcW w:type="dxa" w:w="10080"/>
            <w:tcMar>
              <w:top w:type="dxa" w:w="60"/>
              <w:left w:type="dxa" w:w="60"/>
              <w:bottom w:type="dxa" w:w="60"/>
              <w:right w:type="dxa" w:w="60"/>
            </w:tcMar>
          </w:tcPr>
          <w:p>
            <w:pPr>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895725"/>
                          </a:xfrm>
                          <a:prstGeom prst="rect">
                            <a:avLst/>
                          </a:prstGeom>
                        </pic:spPr>
                      </pic:pic>
                    </a:graphicData>
                  </a:graphic>
                </wp:inline>
              </w:drawing>
            </w:r>
          </w:p>
        </w:tc>
      </w:tr>
    </w:tbl>
    <w:p>
      <w:pPr>
        <w:spacing w:after="240" w:before="70"/>
        <w:jc w:val="center"/>
      </w:pPr>
      <w:r>
        <w:rPr>
          <w:rFonts w:ascii="Calibri" w:cs="Calibri" w:eastAsia="Calibri" w:hAnsi="Calibri"/>
          <w:i/>
          <w:iCs/>
          <w:color w:val="6B7280"/>
          <w:sz w:val="18"/>
          <w:szCs w:val="18"/>
        </w:rPr>
        <w:t xml:space="preserve">Figure 23. Async &amp; streaming.</w:t>
      </w:r>
    </w:p>
    <w:p>
      <w:pPr>
        <w:pStyle w:val="Heading2"/>
        <w:spacing w:after="100" w:before="260"/>
      </w:pPr>
      <w:r>
        <w:rPr>
          <w:rFonts w:ascii="Calibri" w:cs="Calibri" w:eastAsia="Calibri" w:hAnsi="Calibri"/>
          <w:b/>
          <w:bCs/>
          <w:color w:val="1E1B4B"/>
          <w:sz w:val="26"/>
          <w:szCs w:val="26"/>
        </w:rPr>
        <w:t xml:space="preserve">7.11 Schedules &amp; webhooks</w:t>
      </w:r>
    </w:p>
    <w:p>
      <w:pPr>
        <w:spacing w:after="140" w:before="0" w:line="276"/>
      </w:pPr>
      <w:r>
        <w:rPr>
          <w:rFonts w:ascii="Calibri" w:cs="Calibri" w:eastAsia="Calibri" w:hAnsi="Calibri"/>
          <w:b/>
          <w:bCs/>
          <w:color w:val="1E1B4B"/>
          <w:sz w:val="21"/>
          <w:szCs w:val="21"/>
        </w:rPr>
        <w:t xml:space="preserve">What it is for. </w:t>
      </w:r>
      <w:r>
        <w:rPr>
          <w:rFonts w:ascii="Calibri" w:cs="Calibri" w:eastAsia="Calibri" w:hAnsi="Calibri"/>
          <w:color w:val="4B5563"/>
          <w:sz w:val="21"/>
          <w:szCs w:val="21"/>
        </w:rPr>
        <w:t xml:space="preserve">Runs the suite unattended on a recurring schedule (for example, a nightly smoke run) and notifies your team when a run finishes.</w:t>
      </w:r>
    </w:p>
    <w:p>
      <w:pPr>
        <w:spacing w:after="140" w:before="0" w:line="276"/>
      </w:pPr>
      <w:r>
        <w:rPr>
          <w:rFonts w:ascii="Calibri" w:cs="Calibri" w:eastAsia="Calibri" w:hAnsi="Calibri"/>
          <w:b/>
          <w:bCs/>
          <w:color w:val="1E1B4B"/>
          <w:sz w:val="21"/>
          <w:szCs w:val="21"/>
        </w:rPr>
        <w:t xml:space="preserve">How to use it. </w:t>
      </w:r>
      <w:r>
        <w:rPr>
          <w:rFonts w:ascii="Calibri" w:cs="Calibri" w:eastAsia="Calibri" w:hAnsi="Calibri"/>
          <w:color w:val="4B5563"/>
          <w:sz w:val="21"/>
          <w:szCs w:val="21"/>
        </w:rPr>
        <w:t xml:space="preserve">On the Schedules tab, name a schedule, pick an interval and optionally enable self-healing, then create it. On the Webhooks tab, add a Slack, Microsoft Teams or generic JSON webhook.</w:t>
      </w:r>
    </w:p>
    <w:p>
      <w:pPr>
        <w:spacing w:after="140" w:before="0" w:line="276"/>
      </w:pPr>
      <w:r>
        <w:rPr>
          <w:rFonts w:ascii="Calibri" w:cs="Calibri" w:eastAsia="Calibri" w:hAnsi="Calibri"/>
          <w:b/>
          <w:bCs/>
          <w:color w:val="1E1B4B"/>
          <w:sz w:val="21"/>
          <w:szCs w:val="21"/>
        </w:rPr>
        <w:t xml:space="preserve">What you get. </w:t>
      </w:r>
      <w:r>
        <w:rPr>
          <w:rFonts w:ascii="Calibri" w:cs="Calibri" w:eastAsia="Calibri" w:hAnsi="Calibri"/>
          <w:color w:val="4B5563"/>
          <w:sz w:val="21"/>
          <w:szCs w:val="21"/>
        </w:rPr>
        <w:t xml:space="preserve">Recurring runs that use the same headless pipeline as the workspace, with last-status recorded; and automatic notifications (with a pass/fail summary) sent to your channels. Existing schedules can be run now, paused or deleted.</w:t>
      </w:r>
    </w:p>
    <w:tbl>
      <w:tblPr>
        <w:tblW w:type="dxa" w:w="10080"/>
        <w:jc w:val="center"/>
        <w:tblBorders>
          <w:top w:val="single" w:color="C7C3DE" w:sz="6"/>
          <w:left w:val="single" w:color="C7C3DE" w:sz="6"/>
          <w:bottom w:val="single" w:color="C7C3DE" w:sz="6"/>
          <w:right w:val="single" w:color="C7C3DE" w:sz="6"/>
          <w:insideH w:val="single" w:color="C7C3DE" w:sz="6"/>
          <w:insideV w:val="single" w:color="C7C3DE" w:sz="6"/>
        </w:tblBorders>
      </w:tblPr>
      <w:tblGrid>
        <w:gridCol w:w="10080"/>
      </w:tblGrid>
      <w:tr>
        <w:tc>
          <w:tcPr>
            <w:tcW w:type="dxa" w:w="10080"/>
            <w:tcMar>
              <w:top w:type="dxa" w:w="60"/>
              <w:left w:type="dxa" w:w="60"/>
              <w:bottom w:type="dxa" w:w="60"/>
              <w:right w:type="dxa" w:w="60"/>
            </w:tcMar>
          </w:tcPr>
          <w:p>
            <w:pPr>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895725"/>
                          </a:xfrm>
                          <a:prstGeom prst="rect">
                            <a:avLst/>
                          </a:prstGeom>
                        </pic:spPr>
                      </pic:pic>
                    </a:graphicData>
                  </a:graphic>
                </wp:inline>
              </w:drawing>
            </w:r>
          </w:p>
        </w:tc>
      </w:tr>
    </w:tbl>
    <w:p>
      <w:pPr>
        <w:spacing w:after="240" w:before="70"/>
        <w:jc w:val="center"/>
      </w:pPr>
      <w:r>
        <w:rPr>
          <w:rFonts w:ascii="Calibri" w:cs="Calibri" w:eastAsia="Calibri" w:hAnsi="Calibri"/>
          <w:i/>
          <w:iCs/>
          <w:color w:val="6B7280"/>
          <w:sz w:val="18"/>
          <w:szCs w:val="18"/>
        </w:rPr>
        <w:t xml:space="preserve">Figure 24. Schedules &amp; webhooks — the Schedules tab.</w:t>
      </w:r>
    </w:p>
    <w:tbl>
      <w:tblPr>
        <w:tblW w:type="dxa" w:w="10080"/>
        <w:jc w:val="center"/>
        <w:tblBorders>
          <w:top w:val="single" w:color="C7C3DE" w:sz="6"/>
          <w:left w:val="single" w:color="C7C3DE" w:sz="6"/>
          <w:bottom w:val="single" w:color="C7C3DE" w:sz="6"/>
          <w:right w:val="single" w:color="C7C3DE" w:sz="6"/>
          <w:insideH w:val="single" w:color="C7C3DE" w:sz="6"/>
          <w:insideV w:val="single" w:color="C7C3DE" w:sz="6"/>
        </w:tblBorders>
      </w:tblPr>
      <w:tblGrid>
        <w:gridCol w:w="10080"/>
      </w:tblGrid>
      <w:tr>
        <w:tc>
          <w:tcPr>
            <w:tcW w:type="dxa" w:w="10080"/>
            <w:tcMar>
              <w:top w:type="dxa" w:w="60"/>
              <w:left w:type="dxa" w:w="60"/>
              <w:bottom w:type="dxa" w:w="60"/>
              <w:right w:type="dxa" w:w="60"/>
            </w:tcMar>
          </w:tcPr>
          <w:p>
            <w:pPr>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895725"/>
                          </a:xfrm>
                          <a:prstGeom prst="rect">
                            <a:avLst/>
                          </a:prstGeom>
                        </pic:spPr>
                      </pic:pic>
                    </a:graphicData>
                  </a:graphic>
                </wp:inline>
              </w:drawing>
            </w:r>
          </w:p>
        </w:tc>
      </w:tr>
    </w:tbl>
    <w:p>
      <w:pPr>
        <w:spacing w:after="240" w:before="70"/>
        <w:jc w:val="center"/>
      </w:pPr>
      <w:r>
        <w:rPr>
          <w:rFonts w:ascii="Calibri" w:cs="Calibri" w:eastAsia="Calibri" w:hAnsi="Calibri"/>
          <w:i/>
          <w:iCs/>
          <w:color w:val="6B7280"/>
          <w:sz w:val="18"/>
          <w:szCs w:val="18"/>
        </w:rPr>
        <w:t xml:space="preserve">Figure 25. Schedules &amp; webhooks — the Webhooks tab (Slack / Teams / generic).</w:t>
      </w:r>
    </w:p>
    <w:p>
      <w:pPr>
        <w:pStyle w:val="Heading2"/>
        <w:spacing w:after="100" w:before="260"/>
      </w:pPr>
      <w:r>
        <w:rPr>
          <w:rFonts w:ascii="Calibri" w:cs="Calibri" w:eastAsia="Calibri" w:hAnsi="Calibri"/>
          <w:b/>
          <w:bCs/>
          <w:color w:val="1E1B4B"/>
          <w:sz w:val="26"/>
          <w:szCs w:val="26"/>
        </w:rPr>
        <w:t xml:space="preserve">7.12 Root-cause analysis (Explain)</w:t>
      </w:r>
    </w:p>
    <w:p>
      <w:pPr>
        <w:spacing w:after="140" w:before="0" w:line="276"/>
      </w:pPr>
      <w:r>
        <w:rPr>
          <w:rFonts w:ascii="Calibri" w:cs="Calibri" w:eastAsia="Calibri" w:hAnsi="Calibri"/>
          <w:b/>
          <w:bCs/>
          <w:color w:val="1E1B4B"/>
          <w:sz w:val="21"/>
          <w:szCs w:val="21"/>
        </w:rPr>
        <w:t xml:space="preserve">What it is for. </w:t>
      </w:r>
      <w:r>
        <w:rPr>
          <w:rFonts w:ascii="Calibri" w:cs="Calibri" w:eastAsia="Calibri" w:hAnsi="Calibri"/>
          <w:color w:val="4B5563"/>
          <w:sz w:val="21"/>
          <w:szCs w:val="21"/>
        </w:rPr>
        <w:t xml:space="preserve">Explains, in plain English, why a single test failed — so no one has to read a raw stack trace. It diagnoses; it does not change anything.</w:t>
      </w:r>
    </w:p>
    <w:p>
      <w:pPr>
        <w:spacing w:after="140" w:before="0" w:line="276"/>
      </w:pPr>
      <w:r>
        <w:rPr>
          <w:rFonts w:ascii="Calibri" w:cs="Calibri" w:eastAsia="Calibri" w:hAnsi="Calibri"/>
          <w:b/>
          <w:bCs/>
          <w:color w:val="1E1B4B"/>
          <w:sz w:val="21"/>
          <w:szCs w:val="21"/>
        </w:rPr>
        <w:t xml:space="preserve">How to use it. </w:t>
      </w:r>
      <w:r>
        <w:rPr>
          <w:rFonts w:ascii="Calibri" w:cs="Calibri" w:eastAsia="Calibri" w:hAnsi="Calibri"/>
          <w:color w:val="4B5563"/>
          <w:sz w:val="21"/>
          <w:szCs w:val="21"/>
        </w:rPr>
        <w:t xml:space="preserve">On the Reports tab, in the "Needs attention" list, click Explain on any failed scenario.</w:t>
      </w:r>
    </w:p>
    <w:p>
      <w:pPr>
        <w:spacing w:after="140" w:before="0" w:line="276"/>
      </w:pPr>
      <w:r>
        <w:rPr>
          <w:rFonts w:ascii="Calibri" w:cs="Calibri" w:eastAsia="Calibri" w:hAnsi="Calibri"/>
          <w:b/>
          <w:bCs/>
          <w:color w:val="1E1B4B"/>
          <w:sz w:val="21"/>
          <w:szCs w:val="21"/>
        </w:rPr>
        <w:t xml:space="preserve">What you get. </w:t>
      </w:r>
      <w:r>
        <w:rPr>
          <w:rFonts w:ascii="Calibri" w:cs="Calibri" w:eastAsia="Calibri" w:hAnsi="Calibri"/>
          <w:color w:val="4B5563"/>
          <w:sz w:val="21"/>
          <w:szCs w:val="21"/>
        </w:rPr>
        <w:t xml:space="preserve">A failure category, a concise root cause and suggested fix with a confidence rating, plus a ready-to-paste reproduction command you can drop into the Bug Tracker.</w:t>
      </w:r>
    </w:p>
    <w:p>
      <w:pPr>
        <w:pStyle w:val="Heading2"/>
        <w:spacing w:after="100" w:before="260"/>
      </w:pPr>
      <w:r>
        <w:rPr>
          <w:rFonts w:ascii="Calibri" w:cs="Calibri" w:eastAsia="Calibri" w:hAnsi="Calibri"/>
          <w:b/>
          <w:bCs/>
          <w:color w:val="1E1B4B"/>
          <w:sz w:val="26"/>
          <w:szCs w:val="26"/>
        </w:rPr>
        <w:t xml:space="preserve">7.13 Run sign-off</w:t>
      </w:r>
    </w:p>
    <w:p>
      <w:pPr>
        <w:spacing w:after="140" w:before="0" w:line="276"/>
      </w:pPr>
      <w:r>
        <w:rPr>
          <w:rFonts w:ascii="Calibri" w:cs="Calibri" w:eastAsia="Calibri" w:hAnsi="Calibri"/>
          <w:b/>
          <w:bCs/>
          <w:color w:val="1E1B4B"/>
          <w:sz w:val="21"/>
          <w:szCs w:val="21"/>
        </w:rPr>
        <w:t xml:space="preserve">What it is for. </w:t>
      </w:r>
      <w:r>
        <w:rPr>
          <w:rFonts w:ascii="Calibri" w:cs="Calibri" w:eastAsia="Calibri" w:hAnsi="Calibri"/>
          <w:color w:val="4B5563"/>
          <w:sz w:val="21"/>
          <w:szCs w:val="21"/>
        </w:rPr>
        <w:t xml:space="preserve">Lightweight collaboration on a run — a teammate can approve, reject, request changes or comment, with an audit trail.</w:t>
      </w:r>
    </w:p>
    <w:p>
      <w:pPr>
        <w:spacing w:after="140" w:before="0" w:line="276"/>
      </w:pPr>
      <w:r>
        <w:rPr>
          <w:rFonts w:ascii="Calibri" w:cs="Calibri" w:eastAsia="Calibri" w:hAnsi="Calibri"/>
          <w:b/>
          <w:bCs/>
          <w:color w:val="1E1B4B"/>
          <w:sz w:val="21"/>
          <w:szCs w:val="21"/>
        </w:rPr>
        <w:t xml:space="preserve">How to use it. </w:t>
      </w:r>
      <w:r>
        <w:rPr>
          <w:rFonts w:ascii="Calibri" w:cs="Calibri" w:eastAsia="Calibri" w:hAnsi="Calibri"/>
          <w:color w:val="4B5563"/>
          <w:sz w:val="21"/>
          <w:szCs w:val="21"/>
        </w:rPr>
        <w:t xml:space="preserve">It appears at the bottom of the Reports tab for a saved run. Pick a decision, add an optional note and record it.</w:t>
      </w:r>
    </w:p>
    <w:p>
      <w:pPr>
        <w:spacing w:after="140" w:before="0" w:line="276"/>
      </w:pPr>
      <w:r>
        <w:rPr>
          <w:rFonts w:ascii="Calibri" w:cs="Calibri" w:eastAsia="Calibri" w:hAnsi="Calibri"/>
          <w:b/>
          <w:bCs/>
          <w:color w:val="1E1B4B"/>
          <w:sz w:val="21"/>
          <w:szCs w:val="21"/>
        </w:rPr>
        <w:t xml:space="preserve">What you get. </w:t>
      </w:r>
      <w:r>
        <w:rPr>
          <w:rFonts w:ascii="Calibri" w:cs="Calibri" w:eastAsia="Calibri" w:hAnsi="Calibri"/>
          <w:color w:val="4B5563"/>
          <w:sz w:val="21"/>
          <w:szCs w:val="21"/>
        </w:rPr>
        <w:t xml:space="preserve">The run’s current status reflects the latest decision, and a threaded history shows who decided what and when.</w:t>
      </w:r>
    </w:p>
    <w:p>
      <w:pPr>
        <w:pStyle w:val="Heading2"/>
        <w:spacing w:after="100" w:before="260"/>
      </w:pPr>
      <w:r>
        <w:rPr>
          <w:rFonts w:ascii="Calibri" w:cs="Calibri" w:eastAsia="Calibri" w:hAnsi="Calibri"/>
          <w:b/>
          <w:bCs/>
          <w:color w:val="1E1B4B"/>
          <w:sz w:val="26"/>
          <w:szCs w:val="26"/>
        </w:rPr>
        <w:t xml:space="preserve">7.14 Contract validation vs. baselines vs. drift</w:t>
      </w:r>
    </w:p>
    <w:p>
      <w:pPr>
        <w:spacing w:after="140" w:before="0" w:line="276"/>
      </w:pPr>
      <w:r>
        <w:rPr>
          <w:rFonts w:ascii="Calibri" w:cs="Calibri" w:eastAsia="Calibri" w:hAnsi="Calibri"/>
          <w:color w:val="4B5563"/>
          <w:sz w:val="21"/>
          <w:szCs w:val="21"/>
        </w:rPr>
        <w:t xml:space="preserve">These three tools sound similar but answer different questions:</w:t>
      </w:r>
    </w:p>
    <w:tbl>
      <w:tblPr>
        <w:tblW w:type="dxa" w:w="10080"/>
        <w:tblBorders>
          <w:top w:val="single" w:color="D8D5E8" w:sz="6"/>
          <w:left w:val="single" w:color="D8D5E8" w:sz="6"/>
          <w:bottom w:val="single" w:color="D8D5E8" w:sz="6"/>
          <w:right w:val="single" w:color="D8D5E8" w:sz="6"/>
          <w:insideH w:val="single" w:color="D8D5E8" w:sz="6"/>
          <w:insideV w:val="single" w:color="D8D5E8" w:sz="6"/>
        </w:tblBorders>
      </w:tblPr>
      <w:tblGrid>
        <w:gridCol w:w="2419"/>
        <w:gridCol w:w="5242"/>
        <w:gridCol w:w="2419"/>
      </w:tblGrid>
      <w:tr>
        <w:trPr>
          <w:tblHeader/>
        </w:trPr>
        <w:tc>
          <w:tcPr>
            <w:tcW w:type="dxa" w:w="2419"/>
            <w:shd w:fill="6D28D9"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Tool</w:t>
            </w:r>
          </w:p>
        </w:tc>
        <w:tc>
          <w:tcPr>
            <w:tcW w:type="dxa" w:w="5242"/>
            <w:shd w:fill="6D28D9"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Question it answers</w:t>
            </w:r>
          </w:p>
        </w:tc>
        <w:tc>
          <w:tcPr>
            <w:tcW w:type="dxa" w:w="2419"/>
            <w:shd w:fill="6D28D9"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Acts on</w:t>
            </w:r>
          </w:p>
        </w:tc>
      </w:tr>
      <w:tr>
        <w:tc>
          <w:tcPr>
            <w:tcW w:type="dxa" w:w="2419"/>
            <w:shd w:fill="FAF9FE" w:val="clear"/>
            <w:tcMar>
              <w:top w:type="dxa" w:w="60"/>
              <w:left w:type="dxa" w:w="110"/>
              <w:bottom w:type="dxa" w:w="60"/>
              <w:right w:type="dxa" w:w="110"/>
            </w:tcMar>
            <w:vAlign w:val="center"/>
          </w:tcPr>
          <w:p>
            <w:r>
              <w:rPr>
                <w:rFonts w:ascii="Calibri" w:cs="Calibri" w:eastAsia="Calibri" w:hAnsi="Calibri"/>
                <w:color w:val="4B5563"/>
                <w:sz w:val="19"/>
                <w:szCs w:val="19"/>
              </w:rPr>
              <w:t xml:space="preserve">Contract validation</w:t>
            </w:r>
          </w:p>
        </w:tc>
        <w:tc>
          <w:tcPr>
            <w:tcW w:type="dxa" w:w="5242"/>
            <w:shd w:fill="FAF9FE" w:val="clear"/>
            <w:tcMar>
              <w:top w:type="dxa" w:w="60"/>
              <w:left w:type="dxa" w:w="110"/>
              <w:bottom w:type="dxa" w:w="60"/>
              <w:right w:type="dxa" w:w="110"/>
            </w:tcMar>
            <w:vAlign w:val="center"/>
          </w:tcPr>
          <w:p>
            <w:r>
              <w:rPr>
                <w:rFonts w:ascii="Calibri" w:cs="Calibri" w:eastAsia="Calibri" w:hAnsi="Calibri"/>
                <w:color w:val="4B5563"/>
                <w:sz w:val="19"/>
                <w:szCs w:val="19"/>
              </w:rPr>
              <w:t xml:space="preserve">Is the live endpoint healthy right now (status, content-type, schema)?</w:t>
            </w:r>
          </w:p>
        </w:tc>
        <w:tc>
          <w:tcPr>
            <w:tcW w:type="dxa" w:w="2419"/>
            <w:shd w:fill="FAF9FE" w:val="clear"/>
            <w:tcMar>
              <w:top w:type="dxa" w:w="60"/>
              <w:left w:type="dxa" w:w="110"/>
              <w:bottom w:type="dxa" w:w="60"/>
              <w:right w:type="dxa" w:w="110"/>
            </w:tcMar>
            <w:vAlign w:val="center"/>
          </w:tcPr>
          <w:p>
            <w:r>
              <w:rPr>
                <w:rFonts w:ascii="Calibri" w:cs="Calibri" w:eastAsia="Calibri" w:hAnsi="Calibri"/>
                <w:color w:val="4B5563"/>
                <w:sz w:val="19"/>
                <w:szCs w:val="19"/>
              </w:rPr>
              <w:t xml:space="preserve">Nothing — a pass/fail health check.</w:t>
            </w:r>
          </w:p>
        </w:tc>
      </w:tr>
      <w:tr>
        <w:tc>
          <w:tcPr>
            <w:tcW w:type="dxa" w:w="2419"/>
            <w:shd w:fill="FFFFFF" w:val="clear"/>
            <w:tcMar>
              <w:top w:type="dxa" w:w="60"/>
              <w:left w:type="dxa" w:w="110"/>
              <w:bottom w:type="dxa" w:w="60"/>
              <w:right w:type="dxa" w:w="110"/>
            </w:tcMar>
            <w:vAlign w:val="center"/>
          </w:tcPr>
          <w:p>
            <w:r>
              <w:rPr>
                <w:rFonts w:ascii="Calibri" w:cs="Calibri" w:eastAsia="Calibri" w:hAnsi="Calibri"/>
                <w:color w:val="4B5563"/>
                <w:sz w:val="19"/>
                <w:szCs w:val="19"/>
              </w:rPr>
              <w:t xml:space="preserve">Regression baselines</w:t>
            </w:r>
          </w:p>
        </w:tc>
        <w:tc>
          <w:tcPr>
            <w:tcW w:type="dxa" w:w="5242"/>
            <w:shd w:fill="FFFFFF" w:val="clear"/>
            <w:tcMar>
              <w:top w:type="dxa" w:w="60"/>
              <w:left w:type="dxa" w:w="110"/>
              <w:bottom w:type="dxa" w:w="60"/>
              <w:right w:type="dxa" w:w="110"/>
            </w:tcMar>
            <w:vAlign w:val="center"/>
          </w:tcPr>
          <w:p>
            <w:r>
              <w:rPr>
                <w:rFonts w:ascii="Calibri" w:cs="Calibri" w:eastAsia="Calibri" w:hAnsi="Calibri"/>
                <w:color w:val="4B5563"/>
                <w:sz w:val="19"/>
                <w:szCs w:val="19"/>
              </w:rPr>
              <w:t xml:space="preserve">Has the response changed since I last snapshotted it?</w:t>
            </w:r>
          </w:p>
        </w:tc>
        <w:tc>
          <w:tcPr>
            <w:tcW w:type="dxa" w:w="2419"/>
            <w:shd w:fill="FFFFFF" w:val="clear"/>
            <w:tcMar>
              <w:top w:type="dxa" w:w="60"/>
              <w:left w:type="dxa" w:w="110"/>
              <w:bottom w:type="dxa" w:w="60"/>
              <w:right w:type="dxa" w:w="110"/>
            </w:tcMar>
            <w:vAlign w:val="center"/>
          </w:tcPr>
          <w:p>
            <w:r>
              <w:rPr>
                <w:rFonts w:ascii="Calibri" w:cs="Calibri" w:eastAsia="Calibri" w:hAnsi="Calibri"/>
                <w:color w:val="4B5563"/>
                <w:sz w:val="19"/>
                <w:szCs w:val="19"/>
              </w:rPr>
              <w:t xml:space="preserve">A stored snapshot in the database.</w:t>
            </w:r>
          </w:p>
        </w:tc>
      </w:tr>
      <w:tr>
        <w:tc>
          <w:tcPr>
            <w:tcW w:type="dxa" w:w="2419"/>
            <w:shd w:fill="FAF9FE" w:val="clear"/>
            <w:tcMar>
              <w:top w:type="dxa" w:w="60"/>
              <w:left w:type="dxa" w:w="110"/>
              <w:bottom w:type="dxa" w:w="60"/>
              <w:right w:type="dxa" w:w="110"/>
            </w:tcMar>
            <w:vAlign w:val="center"/>
          </w:tcPr>
          <w:p>
            <w:r>
              <w:rPr>
                <w:rFonts w:ascii="Calibri" w:cs="Calibri" w:eastAsia="Calibri" w:hAnsi="Calibri"/>
                <w:color w:val="4B5563"/>
                <w:sz w:val="19"/>
                <w:szCs w:val="19"/>
              </w:rPr>
              <w:t xml:space="preserve">Contract drift</w:t>
            </w:r>
          </w:p>
        </w:tc>
        <w:tc>
          <w:tcPr>
            <w:tcW w:type="dxa" w:w="5242"/>
            <w:shd w:fill="FAF9FE" w:val="clear"/>
            <w:tcMar>
              <w:top w:type="dxa" w:w="60"/>
              <w:left w:type="dxa" w:w="110"/>
              <w:bottom w:type="dxa" w:w="60"/>
              <w:right w:type="dxa" w:w="110"/>
            </w:tcMar>
            <w:vAlign w:val="center"/>
          </w:tcPr>
          <w:p>
            <w:r>
              <w:rPr>
                <w:rFonts w:ascii="Calibri" w:cs="Calibri" w:eastAsia="Calibri" w:hAnsi="Calibri"/>
                <w:color w:val="4B5563"/>
                <w:sz w:val="19"/>
                <w:szCs w:val="19"/>
              </w:rPr>
              <w:t xml:space="preserve">Does the live response still match what the catalogue expects?</w:t>
            </w:r>
          </w:p>
        </w:tc>
        <w:tc>
          <w:tcPr>
            <w:tcW w:type="dxa" w:w="2419"/>
            <w:shd w:fill="FAF9FE" w:val="clear"/>
            <w:tcMar>
              <w:top w:type="dxa" w:w="60"/>
              <w:left w:type="dxa" w:w="110"/>
              <w:bottom w:type="dxa" w:w="60"/>
              <w:right w:type="dxa" w:w="110"/>
            </w:tcMar>
            <w:vAlign w:val="center"/>
          </w:tcPr>
          <w:p>
            <w:r>
              <w:rPr>
                <w:rFonts w:ascii="Calibri" w:cs="Calibri" w:eastAsia="Calibri" w:hAnsi="Calibri"/>
                <w:color w:val="4B5563"/>
                <w:sz w:val="19"/>
                <w:szCs w:val="19"/>
              </w:rPr>
              <w:t xml:space="preserve">The catalogue — you can adopt the live shape.</w:t>
            </w:r>
          </w:p>
        </w:tc>
      </w:tr>
    </w:tbl>
    <w:p>
      <w:r>
        <w:br w:type="page"/>
      </w:r>
    </w:p>
    <w:p>
      <w:pPr>
        <w:pStyle w:val="Heading1"/>
        <w:spacing w:after="140" w:before="320"/>
      </w:pPr>
      <w:r>
        <w:rPr>
          <w:rFonts w:ascii="Calibri" w:cs="Calibri" w:eastAsia="Calibri" w:hAnsi="Calibri"/>
          <w:b/>
          <w:bCs/>
          <w:color w:val="6D28D9"/>
          <w:sz w:val="32"/>
          <w:szCs w:val="32"/>
        </w:rPr>
        <w:t xml:space="preserve">8. Developer access &amp; integrations</w:t>
      </w:r>
    </w:p>
    <w:p>
      <w:pPr>
        <w:spacing w:after="180" w:line="288"/>
      </w:pPr>
      <w:r>
        <w:rPr>
          <w:rFonts w:ascii="Calibri" w:cs="Calibri" w:eastAsia="Calibri" w:hAnsi="Calibri"/>
          <w:color w:val="4B5563"/>
          <w:sz w:val="22"/>
          <w:szCs w:val="22"/>
        </w:rPr>
        <w:t xml:space="preserve">Everything you can do in the workspace is also available programmatically. These screens live under System Configuration.</w:t>
      </w:r>
    </w:p>
    <w:p>
      <w:pPr>
        <w:pStyle w:val="Heading2"/>
        <w:spacing w:after="100" w:before="260"/>
      </w:pPr>
      <w:r>
        <w:rPr>
          <w:rFonts w:ascii="Calibri" w:cs="Calibri" w:eastAsia="Calibri" w:hAnsi="Calibri"/>
          <w:b/>
          <w:bCs/>
          <w:color w:val="1E1B4B"/>
          <w:sz w:val="26"/>
          <w:szCs w:val="26"/>
        </w:rPr>
        <w:t xml:space="preserve">8.1 Developer &amp; API access</w:t>
      </w:r>
    </w:p>
    <w:p>
      <w:pPr>
        <w:spacing w:after="140" w:before="0" w:line="276"/>
      </w:pPr>
      <w:r>
        <w:rPr>
          <w:rFonts w:ascii="Calibri" w:cs="Calibri" w:eastAsia="Calibri" w:hAnsi="Calibri"/>
          <w:color w:val="4B5563"/>
          <w:sz w:val="21"/>
          <w:szCs w:val="21"/>
        </w:rPr>
        <w:t xml:space="preserve">For administrators, this page provides a RESTful API and a command-line tool (intelliqe-api) so runs can be triggered from anywhere — including CI/CD. It shows your API token (masked, with copy warnings), the full list of REST endpoints with sample requests, a copy-ready example to start a run, the CLI usage, and the custom-connector manifest schema.</w:t>
      </w:r>
    </w:p>
    <w:tbl>
      <w:tblPr>
        <w:tblW w:type="dxa" w:w="10080"/>
        <w:jc w:val="center"/>
        <w:tblBorders>
          <w:top w:val="single" w:color="C7C3DE" w:sz="6"/>
          <w:left w:val="single" w:color="C7C3DE" w:sz="6"/>
          <w:bottom w:val="single" w:color="C7C3DE" w:sz="6"/>
          <w:right w:val="single" w:color="C7C3DE" w:sz="6"/>
          <w:insideH w:val="single" w:color="C7C3DE" w:sz="6"/>
          <w:insideV w:val="single" w:color="C7C3DE" w:sz="6"/>
        </w:tblBorders>
      </w:tblPr>
      <w:tblGrid>
        <w:gridCol w:w="10080"/>
      </w:tblGrid>
      <w:tr>
        <w:tc>
          <w:tcPr>
            <w:tcW w:type="dxa" w:w="10080"/>
            <w:tcMar>
              <w:top w:type="dxa" w:w="60"/>
              <w:left w:type="dxa" w:w="60"/>
              <w:bottom w:type="dxa" w:w="60"/>
              <w:right w:type="dxa" w:w="60"/>
            </w:tcMar>
          </w:tcPr>
          <w:p>
            <w:pPr>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895725"/>
                          </a:xfrm>
                          <a:prstGeom prst="rect">
                            <a:avLst/>
                          </a:prstGeom>
                        </pic:spPr>
                      </pic:pic>
                    </a:graphicData>
                  </a:graphic>
                </wp:inline>
              </w:drawing>
            </w:r>
          </w:p>
        </w:tc>
      </w:tr>
    </w:tbl>
    <w:p>
      <w:pPr>
        <w:spacing w:after="240" w:before="70"/>
        <w:jc w:val="center"/>
      </w:pPr>
      <w:r>
        <w:rPr>
          <w:rFonts w:ascii="Calibri" w:cs="Calibri" w:eastAsia="Calibri" w:hAnsi="Calibri"/>
          <w:i/>
          <w:iCs/>
          <w:color w:val="6B7280"/>
          <w:sz w:val="18"/>
          <w:szCs w:val="18"/>
        </w:rPr>
        <w:t xml:space="preserve">Figure 26. Developer &amp; API access: your token and the REST API reference.</w:t>
      </w:r>
    </w:p>
    <w:tbl>
      <w:tblPr>
        <w:tblW w:type="dxa" w:w="10080"/>
        <w:jc w:val="center"/>
        <w:tblBorders>
          <w:top w:val="single" w:color="C7C3DE" w:sz="6"/>
          <w:left w:val="single" w:color="C7C3DE" w:sz="6"/>
          <w:bottom w:val="single" w:color="C7C3DE" w:sz="6"/>
          <w:right w:val="single" w:color="C7C3DE" w:sz="6"/>
          <w:insideH w:val="single" w:color="C7C3DE" w:sz="6"/>
          <w:insideV w:val="single" w:color="C7C3DE" w:sz="6"/>
        </w:tblBorders>
      </w:tblPr>
      <w:tblGrid>
        <w:gridCol w:w="10080"/>
      </w:tblGrid>
      <w:tr>
        <w:tc>
          <w:tcPr>
            <w:tcW w:type="dxa" w:w="10080"/>
            <w:tcMar>
              <w:top w:type="dxa" w:w="60"/>
              <w:left w:type="dxa" w:w="60"/>
              <w:bottom w:type="dxa" w:w="60"/>
              <w:right w:type="dxa" w:w="60"/>
            </w:tcMar>
          </w:tcPr>
          <w:p>
            <w:pPr>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895725"/>
                          </a:xfrm>
                          <a:prstGeom prst="rect">
                            <a:avLst/>
                          </a:prstGeom>
                        </pic:spPr>
                      </pic:pic>
                    </a:graphicData>
                  </a:graphic>
                </wp:inline>
              </w:drawing>
            </w:r>
          </w:p>
        </w:tc>
      </w:tr>
    </w:tbl>
    <w:p>
      <w:pPr>
        <w:spacing w:after="240" w:before="70"/>
        <w:jc w:val="center"/>
      </w:pPr>
      <w:r>
        <w:rPr>
          <w:rFonts w:ascii="Calibri" w:cs="Calibri" w:eastAsia="Calibri" w:hAnsi="Calibri"/>
          <w:i/>
          <w:iCs/>
          <w:color w:val="6B7280"/>
          <w:sz w:val="18"/>
          <w:szCs w:val="18"/>
        </w:rPr>
        <w:t xml:space="preserve">Figure 27. Developer &amp; API access: the command-line tool and connector manifest.</w:t>
      </w:r>
    </w:p>
    <w:p>
      <w:pPr>
        <w:pStyle w:val="Heading2"/>
        <w:spacing w:after="100" w:before="260"/>
      </w:pPr>
      <w:r>
        <w:rPr>
          <w:rFonts w:ascii="Calibri" w:cs="Calibri" w:eastAsia="Calibri" w:hAnsi="Calibri"/>
          <w:b/>
          <w:bCs/>
          <w:color w:val="1E1B4B"/>
          <w:sz w:val="26"/>
          <w:szCs w:val="26"/>
        </w:rPr>
        <w:t xml:space="preserve">8.2 Integrations</w:t>
      </w:r>
    </w:p>
    <w:p>
      <w:pPr>
        <w:spacing w:after="140" w:before="0" w:line="276"/>
      </w:pPr>
      <w:r>
        <w:rPr>
          <w:rFonts w:ascii="Calibri" w:cs="Calibri" w:eastAsia="Calibri" w:hAnsi="Calibri"/>
          <w:color w:val="4B5563"/>
          <w:sz w:val="21"/>
          <w:szCs w:val="21"/>
        </w:rPr>
        <w:t xml:space="preserve">The Integrations directory lists the testing tools across test management, API testing, automation, performance, device clouds and CI/CD that the platform is designed to work alongside. (Your existing sources — such as JIRA, Azure DevOps, Confluence and SharePoint — are configured on the Code Repositories and Requirement Sources tabs.)</w:t>
      </w:r>
    </w:p>
    <w:tbl>
      <w:tblPr>
        <w:tblW w:type="dxa" w:w="10080"/>
        <w:jc w:val="center"/>
        <w:tblBorders>
          <w:top w:val="single" w:color="C7C3DE" w:sz="6"/>
          <w:left w:val="single" w:color="C7C3DE" w:sz="6"/>
          <w:bottom w:val="single" w:color="C7C3DE" w:sz="6"/>
          <w:right w:val="single" w:color="C7C3DE" w:sz="6"/>
          <w:insideH w:val="single" w:color="C7C3DE" w:sz="6"/>
          <w:insideV w:val="single" w:color="C7C3DE" w:sz="6"/>
        </w:tblBorders>
      </w:tblPr>
      <w:tblGrid>
        <w:gridCol w:w="10080"/>
      </w:tblGrid>
      <w:tr>
        <w:tc>
          <w:tcPr>
            <w:tcW w:type="dxa" w:w="10080"/>
            <w:tcMar>
              <w:top w:type="dxa" w:w="60"/>
              <w:left w:type="dxa" w:w="60"/>
              <w:bottom w:type="dxa" w:w="60"/>
              <w:right w:type="dxa" w:w="60"/>
            </w:tcMar>
          </w:tcPr>
          <w:p>
            <w:pPr>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895725"/>
                          </a:xfrm>
                          <a:prstGeom prst="rect">
                            <a:avLst/>
                          </a:prstGeom>
                        </pic:spPr>
                      </pic:pic>
                    </a:graphicData>
                  </a:graphic>
                </wp:inline>
              </w:drawing>
            </w:r>
          </w:p>
        </w:tc>
      </w:tr>
    </w:tbl>
    <w:p>
      <w:pPr>
        <w:spacing w:after="240" w:before="70"/>
        <w:jc w:val="center"/>
      </w:pPr>
      <w:r>
        <w:rPr>
          <w:rFonts w:ascii="Calibri" w:cs="Calibri" w:eastAsia="Calibri" w:hAnsi="Calibri"/>
          <w:i/>
          <w:iCs/>
          <w:color w:val="6B7280"/>
          <w:sz w:val="18"/>
          <w:szCs w:val="18"/>
        </w:rPr>
        <w:t xml:space="preserve">Figure 28. The Integrations directory.</w:t>
      </w:r>
    </w:p>
    <w:p>
      <w:r>
        <w:br w:type="page"/>
      </w:r>
    </w:p>
    <w:p>
      <w:pPr>
        <w:pStyle w:val="Heading1"/>
        <w:spacing w:after="140" w:before="320"/>
      </w:pPr>
      <w:r>
        <w:rPr>
          <w:rFonts w:ascii="Calibri" w:cs="Calibri" w:eastAsia="Calibri" w:hAnsi="Calibri"/>
          <w:b/>
          <w:bCs/>
          <w:color w:val="6D28D9"/>
          <w:sz w:val="32"/>
          <w:szCs w:val="32"/>
        </w:rPr>
        <w:t xml:space="preserve">9. Exporting, repository push &amp; CI/CD</w:t>
      </w:r>
    </w:p>
    <w:p>
      <w:pPr>
        <w:pStyle w:val="ListParagraph"/>
        <w:numPr>
          <w:ilvl w:val="0"/>
          <w:numId w:val="2"/>
        </w:numPr>
        <w:spacing w:after="70" w:line="272"/>
      </w:pPr>
      <w:r>
        <w:rPr>
          <w:rFonts w:ascii="Calibri" w:cs="Calibri" w:eastAsia="Calibri" w:hAnsi="Calibri"/>
          <w:b/>
          <w:bCs/>
          <w:color w:val="1E1B4B"/>
          <w:sz w:val="21"/>
          <w:szCs w:val="21"/>
        </w:rPr>
        <w:t xml:space="preserve">Export scenarios — </w:t>
      </w:r>
      <w:r>
        <w:rPr>
          <w:rFonts w:ascii="Calibri" w:cs="Calibri" w:eastAsia="Calibri" w:hAnsi="Calibri"/>
          <w:color w:val="4B5563"/>
          <w:sz w:val="21"/>
          <w:szCs w:val="21"/>
        </w:rPr>
        <w:t xml:space="preserve">download your generated test cases as CSV or JSON from the report.</w:t>
      </w:r>
    </w:p>
    <w:p>
      <w:pPr>
        <w:pStyle w:val="ListParagraph"/>
        <w:numPr>
          <w:ilvl w:val="0"/>
          <w:numId w:val="2"/>
        </w:numPr>
        <w:spacing w:after="70" w:line="272"/>
      </w:pPr>
      <w:r>
        <w:rPr>
          <w:rFonts w:ascii="Calibri" w:cs="Calibri" w:eastAsia="Calibri" w:hAnsi="Calibri"/>
          <w:b/>
          <w:bCs/>
          <w:color w:val="1E1B4B"/>
          <w:sz w:val="21"/>
          <w:szCs w:val="21"/>
        </w:rPr>
        <w:t xml:space="preserve">Push to repository — </w:t>
      </w:r>
      <w:r>
        <w:rPr>
          <w:rFonts w:ascii="Calibri" w:cs="Calibri" w:eastAsia="Calibri" w:hAnsi="Calibri"/>
          <w:color w:val="4B5563"/>
          <w:sz w:val="21"/>
          <w:szCs w:val="21"/>
        </w:rPr>
        <w:t xml:space="preserve">commit the generated tests and supporting files to a connected GitHub, GitLab or Bitbucket repository — as a pull request or a direct commit — from the report or the run stage rail.</w:t>
      </w:r>
    </w:p>
    <w:p>
      <w:pPr>
        <w:pStyle w:val="ListParagraph"/>
        <w:numPr>
          <w:ilvl w:val="0"/>
          <w:numId w:val="2"/>
        </w:numPr>
        <w:spacing w:after="70" w:line="272"/>
      </w:pPr>
      <w:r>
        <w:rPr>
          <w:rFonts w:ascii="Calibri" w:cs="Calibri" w:eastAsia="Calibri" w:hAnsi="Calibri"/>
          <w:b/>
          <w:bCs/>
          <w:color w:val="1E1B4B"/>
          <w:sz w:val="21"/>
          <w:szCs w:val="21"/>
        </w:rPr>
        <w:t xml:space="preserve">Portable artifacts — </w:t>
      </w:r>
      <w:r>
        <w:rPr>
          <w:rFonts w:ascii="Calibri" w:cs="Calibri" w:eastAsia="Calibri" w:hAnsi="Calibri"/>
          <w:color w:val="4B5563"/>
          <w:sz w:val="21"/>
          <w:szCs w:val="21"/>
        </w:rPr>
        <w:t xml:space="preserve">from the Endpoints tab, export an OpenAPI 3 spec, a connector manifest (which re-imports into IntelliQE), a runnable zero-dependency mock server, or a Pact consumer contract.</w:t>
      </w:r>
    </w:p>
    <w:p>
      <w:pPr>
        <w:pStyle w:val="ListParagraph"/>
        <w:numPr>
          <w:ilvl w:val="0"/>
          <w:numId w:val="2"/>
        </w:numPr>
        <w:spacing w:after="70" w:line="272"/>
      </w:pPr>
      <w:r>
        <w:rPr>
          <w:rFonts w:ascii="Calibri" w:cs="Calibri" w:eastAsia="Calibri" w:hAnsi="Calibri"/>
          <w:b/>
          <w:bCs/>
          <w:color w:val="1E1B4B"/>
          <w:sz w:val="21"/>
          <w:szCs w:val="21"/>
        </w:rPr>
        <w:t xml:space="preserve">Run from CI — </w:t>
      </w:r>
      <w:r>
        <w:rPr>
          <w:rFonts w:ascii="Calibri" w:cs="Calibri" w:eastAsia="Calibri" w:hAnsi="Calibri"/>
          <w:color w:val="4B5563"/>
          <w:sz w:val="21"/>
          <w:szCs w:val="21"/>
        </w:rPr>
        <w:t xml:space="preserve">trigger the full import → generate → execute → heal → report pipeline over the REST API or the intelliqe-api command-line tool, so API tests run on every build.</w:t>
      </w:r>
    </w:p>
    <w:tbl>
      <w:tblPr>
        <w:tblW w:type="dxa" w:w="10080"/>
        <w:jc w:val="center"/>
        <w:tblBorders>
          <w:top w:val="single" w:color="C7C3DE" w:sz="6"/>
          <w:left w:val="single" w:color="C7C3DE" w:sz="6"/>
          <w:bottom w:val="single" w:color="C7C3DE" w:sz="6"/>
          <w:right w:val="single" w:color="C7C3DE" w:sz="6"/>
          <w:insideH w:val="single" w:color="C7C3DE" w:sz="6"/>
          <w:insideV w:val="single" w:color="C7C3DE" w:sz="6"/>
        </w:tblBorders>
      </w:tblPr>
      <w:tblGrid>
        <w:gridCol w:w="10080"/>
      </w:tblGrid>
      <w:tr>
        <w:tc>
          <w:tcPr>
            <w:tcW w:type="dxa" w:w="10080"/>
            <w:tcMar>
              <w:top w:type="dxa" w:w="60"/>
              <w:left w:type="dxa" w:w="60"/>
              <w:bottom w:type="dxa" w:w="60"/>
              <w:right w:type="dxa" w:w="60"/>
            </w:tcMar>
          </w:tcPr>
          <w:p>
            <w:pPr>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895725"/>
                          </a:xfrm>
                          <a:prstGeom prst="rect">
                            <a:avLst/>
                          </a:prstGeom>
                        </pic:spPr>
                      </pic:pic>
                    </a:graphicData>
                  </a:graphic>
                </wp:inline>
              </w:drawing>
            </w:r>
          </w:p>
        </w:tc>
      </w:tr>
    </w:tbl>
    <w:p>
      <w:pPr>
        <w:spacing w:after="240" w:before="70"/>
        <w:jc w:val="center"/>
      </w:pPr>
      <w:r>
        <w:rPr>
          <w:rFonts w:ascii="Calibri" w:cs="Calibri" w:eastAsia="Calibri" w:hAnsi="Calibri"/>
          <w:i/>
          <w:iCs/>
          <w:color w:val="6B7280"/>
          <w:sz w:val="18"/>
          <w:szCs w:val="18"/>
        </w:rPr>
        <w:t xml:space="preserve">Figure 29. The Export menu: portable artifacts generated from your catalogue.</w:t>
      </w:r>
    </w:p>
    <w:p>
      <w:r>
        <w:br w:type="page"/>
      </w:r>
    </w:p>
    <w:p>
      <w:pPr>
        <w:pStyle w:val="Heading1"/>
        <w:spacing w:after="140" w:before="320"/>
      </w:pPr>
      <w:r>
        <w:rPr>
          <w:rFonts w:ascii="Calibri" w:cs="Calibri" w:eastAsia="Calibri" w:hAnsi="Calibri"/>
          <w:b/>
          <w:bCs/>
          <w:color w:val="6D28D9"/>
          <w:sz w:val="32"/>
          <w:szCs w:val="32"/>
        </w:rPr>
        <w:t xml:space="preserve">10. Glossary</w:t>
      </w:r>
    </w:p>
    <w:tbl>
      <w:tblPr>
        <w:tblW w:type="dxa" w:w="10080"/>
        <w:tblBorders>
          <w:top w:val="single" w:color="D8D5E8" w:sz="6"/>
          <w:left w:val="single" w:color="D8D5E8" w:sz="6"/>
          <w:bottom w:val="single" w:color="D8D5E8" w:sz="6"/>
          <w:right w:val="single" w:color="D8D5E8" w:sz="6"/>
          <w:insideH w:val="single" w:color="D8D5E8" w:sz="6"/>
          <w:insideV w:val="single" w:color="D8D5E8" w:sz="6"/>
        </w:tblBorders>
      </w:tblPr>
      <w:tblGrid>
        <w:gridCol w:w="2218"/>
        <w:gridCol w:w="7862"/>
      </w:tblGrid>
      <w:tr>
        <w:trPr>
          <w:tblHeader/>
        </w:trPr>
        <w:tc>
          <w:tcPr>
            <w:tcW w:type="dxa" w:w="2218"/>
            <w:shd w:fill="6D28D9"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Term</w:t>
            </w:r>
          </w:p>
        </w:tc>
        <w:tc>
          <w:tcPr>
            <w:tcW w:type="dxa" w:w="7862"/>
            <w:shd w:fill="6D28D9"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Meaning</w:t>
            </w:r>
          </w:p>
        </w:tc>
      </w:tr>
      <w:tr>
        <w:tc>
          <w:tcPr>
            <w:tcW w:type="dxa" w:w="2218"/>
            <w:shd w:fill="FAF9FE" w:val="clear"/>
            <w:tcMar>
              <w:top w:type="dxa" w:w="60"/>
              <w:left w:type="dxa" w:w="110"/>
              <w:bottom w:type="dxa" w:w="60"/>
              <w:right w:type="dxa" w:w="110"/>
            </w:tcMar>
            <w:vAlign w:val="center"/>
          </w:tcPr>
          <w:p>
            <w:r>
              <w:rPr>
                <w:rFonts w:ascii="Calibri" w:cs="Calibri" w:eastAsia="Calibri" w:hAnsi="Calibri"/>
                <w:color w:val="4B5563"/>
                <w:sz w:val="19"/>
                <w:szCs w:val="19"/>
              </w:rPr>
              <w:t xml:space="preserve">Catalogue</w:t>
            </w:r>
          </w:p>
        </w:tc>
        <w:tc>
          <w:tcPr>
            <w:tcW w:type="dxa" w:w="7862"/>
            <w:shd w:fill="FAF9FE" w:val="clear"/>
            <w:tcMar>
              <w:top w:type="dxa" w:w="60"/>
              <w:left w:type="dxa" w:w="110"/>
              <w:bottom w:type="dxa" w:w="60"/>
              <w:right w:type="dxa" w:w="110"/>
            </w:tcMar>
            <w:vAlign w:val="center"/>
          </w:tcPr>
          <w:p>
            <w:r>
              <w:rPr>
                <w:rFonts w:ascii="Calibri" w:cs="Calibri" w:eastAsia="Calibri" w:hAnsi="Calibri"/>
                <w:color w:val="4B5563"/>
                <w:sz w:val="19"/>
                <w:szCs w:val="19"/>
              </w:rPr>
              <w:t xml:space="preserve">The collection of imported endpoints in your workspace.</w:t>
            </w:r>
          </w:p>
        </w:tc>
      </w:tr>
      <w:tr>
        <w:tc>
          <w:tcPr>
            <w:tcW w:type="dxa" w:w="2218"/>
            <w:shd w:fill="FFFFFF" w:val="clear"/>
            <w:tcMar>
              <w:top w:type="dxa" w:w="60"/>
              <w:left w:type="dxa" w:w="110"/>
              <w:bottom w:type="dxa" w:w="60"/>
              <w:right w:type="dxa" w:w="110"/>
            </w:tcMar>
            <w:vAlign w:val="center"/>
          </w:tcPr>
          <w:p>
            <w:r>
              <w:rPr>
                <w:rFonts w:ascii="Calibri" w:cs="Calibri" w:eastAsia="Calibri" w:hAnsi="Calibri"/>
                <w:color w:val="4B5563"/>
                <w:sz w:val="19"/>
                <w:szCs w:val="19"/>
              </w:rPr>
              <w:t xml:space="preserve">Endpoint</w:t>
            </w:r>
          </w:p>
        </w:tc>
        <w:tc>
          <w:tcPr>
            <w:tcW w:type="dxa" w:w="7862"/>
            <w:shd w:fill="FFFFFF" w:val="clear"/>
            <w:tcMar>
              <w:top w:type="dxa" w:w="60"/>
              <w:left w:type="dxa" w:w="110"/>
              <w:bottom w:type="dxa" w:w="60"/>
              <w:right w:type="dxa" w:w="110"/>
            </w:tcMar>
            <w:vAlign w:val="center"/>
          </w:tcPr>
          <w:p>
            <w:r>
              <w:rPr>
                <w:rFonts w:ascii="Calibri" w:cs="Calibri" w:eastAsia="Calibri" w:hAnsi="Calibri"/>
                <w:color w:val="4B5563"/>
                <w:sz w:val="19"/>
                <w:szCs w:val="19"/>
              </w:rPr>
              <w:t xml:space="preserve">A single API operation — a method and URL, with its headers, auth, body and expected response.</w:t>
            </w:r>
          </w:p>
        </w:tc>
      </w:tr>
      <w:tr>
        <w:tc>
          <w:tcPr>
            <w:tcW w:type="dxa" w:w="2218"/>
            <w:shd w:fill="FAF9FE" w:val="clear"/>
            <w:tcMar>
              <w:top w:type="dxa" w:w="60"/>
              <w:left w:type="dxa" w:w="110"/>
              <w:bottom w:type="dxa" w:w="60"/>
              <w:right w:type="dxa" w:w="110"/>
            </w:tcMar>
            <w:vAlign w:val="center"/>
          </w:tcPr>
          <w:p>
            <w:r>
              <w:rPr>
                <w:rFonts w:ascii="Calibri" w:cs="Calibri" w:eastAsia="Calibri" w:hAnsi="Calibri"/>
                <w:color w:val="4B5563"/>
                <w:sz w:val="19"/>
                <w:szCs w:val="19"/>
              </w:rPr>
              <w:t xml:space="preserve">Profile</w:t>
            </w:r>
          </w:p>
        </w:tc>
        <w:tc>
          <w:tcPr>
            <w:tcW w:type="dxa" w:w="7862"/>
            <w:shd w:fill="FAF9FE" w:val="clear"/>
            <w:tcMar>
              <w:top w:type="dxa" w:w="60"/>
              <w:left w:type="dxa" w:w="110"/>
              <w:bottom w:type="dxa" w:w="60"/>
              <w:right w:type="dxa" w:w="110"/>
            </w:tcMar>
            <w:vAlign w:val="center"/>
          </w:tcPr>
          <w:p>
            <w:r>
              <w:rPr>
                <w:rFonts w:ascii="Calibri" w:cs="Calibri" w:eastAsia="Calibri" w:hAnsi="Calibri"/>
                <w:color w:val="4B5563"/>
                <w:sz w:val="19"/>
                <w:szCs w:val="19"/>
              </w:rPr>
              <w:t xml:space="preserve">The platform’s automatic understanding of an imported API (resources, auth, dependencies, risks).</w:t>
            </w:r>
          </w:p>
        </w:tc>
      </w:tr>
      <w:tr>
        <w:tc>
          <w:tcPr>
            <w:tcW w:type="dxa" w:w="2218"/>
            <w:shd w:fill="FFFFFF" w:val="clear"/>
            <w:tcMar>
              <w:top w:type="dxa" w:w="60"/>
              <w:left w:type="dxa" w:w="110"/>
              <w:bottom w:type="dxa" w:w="60"/>
              <w:right w:type="dxa" w:w="110"/>
            </w:tcMar>
            <w:vAlign w:val="center"/>
          </w:tcPr>
          <w:p>
            <w:r>
              <w:rPr>
                <w:rFonts w:ascii="Calibri" w:cs="Calibri" w:eastAsia="Calibri" w:hAnsi="Calibri"/>
                <w:color w:val="4B5563"/>
                <w:sz w:val="19"/>
                <w:szCs w:val="19"/>
              </w:rPr>
              <w:t xml:space="preserve">Strategy</w:t>
            </w:r>
          </w:p>
        </w:tc>
        <w:tc>
          <w:tcPr>
            <w:tcW w:type="dxa" w:w="7862"/>
            <w:shd w:fill="FFFFFF" w:val="clear"/>
            <w:tcMar>
              <w:top w:type="dxa" w:w="60"/>
              <w:left w:type="dxa" w:w="110"/>
              <w:bottom w:type="dxa" w:w="60"/>
              <w:right w:type="dxa" w:w="110"/>
            </w:tcMar>
            <w:vAlign w:val="center"/>
          </w:tcPr>
          <w:p>
            <w:r>
              <w:rPr>
                <w:rFonts w:ascii="Calibri" w:cs="Calibri" w:eastAsia="Calibri" w:hAnsi="Calibri"/>
                <w:color w:val="4B5563"/>
                <w:sz w:val="19"/>
                <w:szCs w:val="19"/>
              </w:rPr>
              <w:t xml:space="preserve">Your choices of coverage depth and test layers that steer scenario generation.</w:t>
            </w:r>
          </w:p>
        </w:tc>
      </w:tr>
      <w:tr>
        <w:tc>
          <w:tcPr>
            <w:tcW w:type="dxa" w:w="2218"/>
            <w:shd w:fill="FAF9FE" w:val="clear"/>
            <w:tcMar>
              <w:top w:type="dxa" w:w="60"/>
              <w:left w:type="dxa" w:w="110"/>
              <w:bottom w:type="dxa" w:w="60"/>
              <w:right w:type="dxa" w:w="110"/>
            </w:tcMar>
            <w:vAlign w:val="center"/>
          </w:tcPr>
          <w:p>
            <w:r>
              <w:rPr>
                <w:rFonts w:ascii="Calibri" w:cs="Calibri" w:eastAsia="Calibri" w:hAnsi="Calibri"/>
                <w:color w:val="4B5563"/>
                <w:sz w:val="19"/>
                <w:szCs w:val="19"/>
              </w:rPr>
              <w:t xml:space="preserve">Scenario</w:t>
            </w:r>
          </w:p>
        </w:tc>
        <w:tc>
          <w:tcPr>
            <w:tcW w:type="dxa" w:w="7862"/>
            <w:shd w:fill="FAF9FE" w:val="clear"/>
            <w:tcMar>
              <w:top w:type="dxa" w:w="60"/>
              <w:left w:type="dxa" w:w="110"/>
              <w:bottom w:type="dxa" w:w="60"/>
              <w:right w:type="dxa" w:w="110"/>
            </w:tcMar>
            <w:vAlign w:val="center"/>
          </w:tcPr>
          <w:p>
            <w:r>
              <w:rPr>
                <w:rFonts w:ascii="Calibri" w:cs="Calibri" w:eastAsia="Calibri" w:hAnsi="Calibri"/>
                <w:color w:val="4B5563"/>
                <w:sz w:val="19"/>
                <w:szCs w:val="19"/>
              </w:rPr>
              <w:t xml:space="preserve">One designed test case, with its request, steps and expected result.</w:t>
            </w:r>
          </w:p>
        </w:tc>
      </w:tr>
      <w:tr>
        <w:tc>
          <w:tcPr>
            <w:tcW w:type="dxa" w:w="2218"/>
            <w:shd w:fill="FFFFFF" w:val="clear"/>
            <w:tcMar>
              <w:top w:type="dxa" w:w="60"/>
              <w:left w:type="dxa" w:w="110"/>
              <w:bottom w:type="dxa" w:w="60"/>
              <w:right w:type="dxa" w:w="110"/>
            </w:tcMar>
            <w:vAlign w:val="center"/>
          </w:tcPr>
          <w:p>
            <w:r>
              <w:rPr>
                <w:rFonts w:ascii="Calibri" w:cs="Calibri" w:eastAsia="Calibri" w:hAnsi="Calibri"/>
                <w:color w:val="4B5563"/>
                <w:sz w:val="19"/>
                <w:szCs w:val="19"/>
              </w:rPr>
              <w:t xml:space="preserve">Layer</w:t>
            </w:r>
          </w:p>
        </w:tc>
        <w:tc>
          <w:tcPr>
            <w:tcW w:type="dxa" w:w="7862"/>
            <w:shd w:fill="FFFFFF" w:val="clear"/>
            <w:tcMar>
              <w:top w:type="dxa" w:w="60"/>
              <w:left w:type="dxa" w:w="110"/>
              <w:bottom w:type="dxa" w:w="60"/>
              <w:right w:type="dxa" w:w="110"/>
            </w:tcMar>
            <w:vAlign w:val="center"/>
          </w:tcPr>
          <w:p>
            <w:r>
              <w:rPr>
                <w:rFonts w:ascii="Calibri" w:cs="Calibri" w:eastAsia="Calibri" w:hAnsi="Calibri"/>
                <w:color w:val="4B5563"/>
                <w:sz w:val="19"/>
                <w:szCs w:val="19"/>
              </w:rPr>
              <w:t xml:space="preserve">A kind of test — smoke, contract, schema, negative, auth, security, performance or flow.</w:t>
            </w:r>
          </w:p>
        </w:tc>
      </w:tr>
      <w:tr>
        <w:tc>
          <w:tcPr>
            <w:tcW w:type="dxa" w:w="2218"/>
            <w:shd w:fill="FAF9FE" w:val="clear"/>
            <w:tcMar>
              <w:top w:type="dxa" w:w="60"/>
              <w:left w:type="dxa" w:w="110"/>
              <w:bottom w:type="dxa" w:w="60"/>
              <w:right w:type="dxa" w:w="110"/>
            </w:tcMar>
            <w:vAlign w:val="center"/>
          </w:tcPr>
          <w:p>
            <w:r>
              <w:rPr>
                <w:rFonts w:ascii="Calibri" w:cs="Calibri" w:eastAsia="Calibri" w:hAnsi="Calibri"/>
                <w:color w:val="4B5563"/>
                <w:sz w:val="19"/>
                <w:szCs w:val="19"/>
              </w:rPr>
              <w:t xml:space="preserve">Automate / Execute / Heal</w:t>
            </w:r>
          </w:p>
        </w:tc>
        <w:tc>
          <w:tcPr>
            <w:tcW w:type="dxa" w:w="7862"/>
            <w:shd w:fill="FAF9FE" w:val="clear"/>
            <w:tcMar>
              <w:top w:type="dxa" w:w="60"/>
              <w:left w:type="dxa" w:w="110"/>
              <w:bottom w:type="dxa" w:w="60"/>
              <w:right w:type="dxa" w:w="110"/>
            </w:tcMar>
            <w:vAlign w:val="center"/>
          </w:tcPr>
          <w:p>
            <w:r>
              <w:rPr>
                <w:rFonts w:ascii="Calibri" w:cs="Calibri" w:eastAsia="Calibri" w:hAnsi="Calibri"/>
                <w:color w:val="4B5563"/>
                <w:sz w:val="19"/>
                <w:szCs w:val="19"/>
              </w:rPr>
              <w:t xml:space="preserve">Turning scenarios into runnable tests, running them live, and auto-repairing wrong tests.</w:t>
            </w:r>
          </w:p>
        </w:tc>
      </w:tr>
      <w:tr>
        <w:tc>
          <w:tcPr>
            <w:tcW w:type="dxa" w:w="2218"/>
            <w:shd w:fill="FFFFFF" w:val="clear"/>
            <w:tcMar>
              <w:top w:type="dxa" w:w="60"/>
              <w:left w:type="dxa" w:w="110"/>
              <w:bottom w:type="dxa" w:w="60"/>
              <w:right w:type="dxa" w:w="110"/>
            </w:tcMar>
            <w:vAlign w:val="center"/>
          </w:tcPr>
          <w:p>
            <w:r>
              <w:rPr>
                <w:rFonts w:ascii="Calibri" w:cs="Calibri" w:eastAsia="Calibri" w:hAnsi="Calibri"/>
                <w:color w:val="4B5563"/>
                <w:sz w:val="19"/>
                <w:szCs w:val="19"/>
              </w:rPr>
              <w:t xml:space="preserve">Environment</w:t>
            </w:r>
          </w:p>
        </w:tc>
        <w:tc>
          <w:tcPr>
            <w:tcW w:type="dxa" w:w="7862"/>
            <w:shd w:fill="FFFFFF" w:val="clear"/>
            <w:tcMar>
              <w:top w:type="dxa" w:w="60"/>
              <w:left w:type="dxa" w:w="110"/>
              <w:bottom w:type="dxa" w:w="60"/>
              <w:right w:type="dxa" w:w="110"/>
            </w:tcMar>
            <w:vAlign w:val="center"/>
          </w:tcPr>
          <w:p>
            <w:r>
              <w:rPr>
                <w:rFonts w:ascii="Calibri" w:cs="Calibri" w:eastAsia="Calibri" w:hAnsi="Calibri"/>
                <w:color w:val="4B5563"/>
                <w:sz w:val="19"/>
                <w:szCs w:val="19"/>
              </w:rPr>
              <w:t xml:space="preserve">A named target (base URL + variables) the suite can run against.</w:t>
            </w:r>
          </w:p>
        </w:tc>
      </w:tr>
      <w:tr>
        <w:tc>
          <w:tcPr>
            <w:tcW w:type="dxa" w:w="2218"/>
            <w:shd w:fill="FAF9FE" w:val="clear"/>
            <w:tcMar>
              <w:top w:type="dxa" w:w="60"/>
              <w:left w:type="dxa" w:w="110"/>
              <w:bottom w:type="dxa" w:w="60"/>
              <w:right w:type="dxa" w:w="110"/>
            </w:tcMar>
            <w:vAlign w:val="center"/>
          </w:tcPr>
          <w:p>
            <w:r>
              <w:rPr>
                <w:rFonts w:ascii="Calibri" w:cs="Calibri" w:eastAsia="Calibri" w:hAnsi="Calibri"/>
                <w:color w:val="4B5563"/>
                <w:sz w:val="19"/>
                <w:szCs w:val="19"/>
              </w:rPr>
              <w:t xml:space="preserve">Run</w:t>
            </w:r>
          </w:p>
        </w:tc>
        <w:tc>
          <w:tcPr>
            <w:tcW w:type="dxa" w:w="7862"/>
            <w:shd w:fill="FAF9FE" w:val="clear"/>
            <w:tcMar>
              <w:top w:type="dxa" w:w="60"/>
              <w:left w:type="dxa" w:w="110"/>
              <w:bottom w:type="dxa" w:w="60"/>
              <w:right w:type="dxa" w:w="110"/>
            </w:tcMar>
            <w:vAlign w:val="center"/>
          </w:tcPr>
          <w:p>
            <w:r>
              <w:rPr>
                <w:rFonts w:ascii="Calibri" w:cs="Calibri" w:eastAsia="Calibri" w:hAnsi="Calibri"/>
                <w:color w:val="4B5563"/>
                <w:sz w:val="19"/>
                <w:szCs w:val="19"/>
              </w:rPr>
              <w:t xml:space="preserve">One pass of the pipeline that produces an executed, reported suite.</w:t>
            </w:r>
          </w:p>
        </w:tc>
      </w:tr>
    </w:tbl>
    <w:p>
      <w:r>
        <w:br w:type="page"/>
      </w:r>
    </w:p>
    <w:p>
      <w:pPr>
        <w:pStyle w:val="Heading1"/>
        <w:spacing w:after="140" w:before="320"/>
      </w:pPr>
      <w:r>
        <w:rPr>
          <w:rFonts w:ascii="Calibri" w:cs="Calibri" w:eastAsia="Calibri" w:hAnsi="Calibri"/>
          <w:b/>
          <w:bCs/>
          <w:color w:val="6D28D9"/>
          <w:sz w:val="32"/>
          <w:szCs w:val="32"/>
        </w:rPr>
        <w:t xml:space="preserve">11. Appendix — the sample API used in this guide</w:t>
      </w:r>
    </w:p>
    <w:p>
      <w:pPr>
        <w:spacing w:after="140" w:before="0" w:line="276"/>
      </w:pPr>
      <w:r>
        <w:rPr>
          <w:rFonts w:ascii="Calibri" w:cs="Calibri" w:eastAsia="Calibri" w:hAnsi="Calibri"/>
          <w:color w:val="4B5563"/>
          <w:sz w:val="21"/>
          <w:szCs w:val="21"/>
        </w:rPr>
        <w:t xml:space="preserve">To make every screen show real results, this guide uses JSONPlaceholder (https://jsonplaceholder.typicode.com), a free public REST API, imported as a connector with the following endpoints:</w:t>
      </w:r>
    </w:p>
    <w:p>
      <w:pPr>
        <w:pStyle w:val="ListParagraph"/>
        <w:numPr>
          <w:ilvl w:val="0"/>
          <w:numId w:val="2"/>
        </w:numPr>
        <w:spacing w:after="70" w:line="272"/>
      </w:pPr>
      <w:r>
        <w:rPr>
          <w:rFonts w:ascii="Calibri" w:cs="Calibri" w:eastAsia="Calibri" w:hAnsi="Calibri"/>
          <w:color w:val="4B5563"/>
          <w:sz w:val="21"/>
          <w:szCs w:val="21"/>
        </w:rPr>
        <w:t xml:space="preserve">GET /posts, POST /posts, GET /posts/1, PUT /posts/1, PATCH /posts/1, DELETE /posts/1</w:t>
      </w:r>
    </w:p>
    <w:p>
      <w:pPr>
        <w:pStyle w:val="ListParagraph"/>
        <w:numPr>
          <w:ilvl w:val="0"/>
          <w:numId w:val="2"/>
        </w:numPr>
        <w:spacing w:after="70" w:line="272"/>
      </w:pPr>
      <w:r>
        <w:rPr>
          <w:rFonts w:ascii="Calibri" w:cs="Calibri" w:eastAsia="Calibri" w:hAnsi="Calibri"/>
          <w:color w:val="4B5563"/>
          <w:sz w:val="21"/>
          <w:szCs w:val="21"/>
        </w:rPr>
        <w:t xml:space="preserve">GET /posts/1/comments, GET /comments</w:t>
      </w:r>
    </w:p>
    <w:p>
      <w:pPr>
        <w:pStyle w:val="ListParagraph"/>
        <w:numPr>
          <w:ilvl w:val="0"/>
          <w:numId w:val="2"/>
        </w:numPr>
        <w:spacing w:after="70" w:line="272"/>
      </w:pPr>
      <w:r>
        <w:rPr>
          <w:rFonts w:ascii="Calibri" w:cs="Calibri" w:eastAsia="Calibri" w:hAnsi="Calibri"/>
          <w:color w:val="4B5563"/>
          <w:sz w:val="21"/>
          <w:szCs w:val="21"/>
        </w:rPr>
        <w:t xml:space="preserve">GET /users, GET /users/1, GET /users/1/albums, GET /todos</w:t>
      </w:r>
    </w:p>
    <w:p>
      <w:pPr>
        <w:spacing w:after="200"/>
      </w:pPr>
      <w:r>
        <w:rPr>
          <w:rFonts w:ascii="Calibri" w:cs="Calibri" w:eastAsia="Calibri" w:hAnsi="Calibri"/>
          <w:color w:val="4B5563"/>
          <w:sz w:val="21"/>
          <w:szCs w:val="21"/>
        </w:rPr>
        <w:t xml:space="preserve"/>
      </w:r>
    </w:p>
    <w:p>
      <w:pPr>
        <w:pBdr>
          <w:top w:val="single" w:color="D8D5E8" w:sz="12"/>
        </w:pBdr>
        <w:spacing w:after="60" w:before="240"/>
        <w:jc w:val="center"/>
      </w:pPr>
      <w:r>
        <w:rPr>
          <w:rFonts w:ascii="Calibri" w:cs="Calibri" w:eastAsia="Calibri" w:hAnsi="Calibri"/>
          <w:color w:val="6B7280"/>
          <w:sz w:val="18"/>
          <w:szCs w:val="18"/>
        </w:rPr>
        <w:t xml:space="preserve">IntelliQE API Automation — End-to-End User Guide</w:t>
      </w:r>
    </w:p>
    <w:p>
      <w:pPr>
        <w:jc w:val="center"/>
      </w:pPr>
      <w:r>
        <w:rPr>
          <w:rFonts w:ascii="Calibri" w:cs="Calibri" w:eastAsia="Calibri" w:hAnsi="Calibri"/>
          <w:color w:val="6B7280"/>
          <w:sz w:val="18"/>
          <w:szCs w:val="18"/>
        </w:rPr>
        <w:t xml:space="preserve">© 2026 Jade Business Solutions. All rights reserved.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5E8" w:sz="4"/>
      </w:pBdr>
      <w:spacing w:before="80"/>
      <w:jc w:val="center"/>
    </w:pPr>
    <w:r>
      <w:rPr>
        <w:rFonts w:ascii="Calibri" w:cs="Calibri" w:eastAsia="Calibri" w:hAnsi="Calibri"/>
        <w:color w:val="6B7280"/>
        <w:sz w:val="16"/>
        <w:szCs w:val="16"/>
      </w:rPr>
      <w:t xml:space="preserve">IntelliQE API Automation  ·  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color w:val="6D28D9"/>
      </w:rPr>
    </w:lvl>
  </w:abstractNum>
  <w:abstractNum w:abstractNumId="3" w15:restartNumberingAfterBreak="0">
    <w:multiLevelType w:val="hybridMultilevel"/>
    <w:lvl w:ilvl="0" w15:tentative="1">
      <w:start w:val="1"/>
      <w:numFmt w:val="decimal"/>
      <w:lvlText w:val="%1."/>
      <w:lvlJc w:val="left"/>
      <w:pPr>
        <w:ind w:left="380" w:hanging="240"/>
      </w:pPr>
      <w:rPr>
        <w:b/>
        <w:bCs/>
        <w:color w:val="6D28D9"/>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B556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d99017da304f47d189593f8956bb20719783fa7.png"/><Relationship Id="rId9" Type="http://schemas.openxmlformats.org/officeDocument/2006/relationships/image" Target="media/9ed731a435eb8c6803fc258af7f0b5b635b1bdff.png"/><Relationship Id="rId10" Type="http://schemas.openxmlformats.org/officeDocument/2006/relationships/image" Target="media/8bc6ff24adfbd38aa17aab04e220e6504c24f928.png"/><Relationship Id="rId11" Type="http://schemas.openxmlformats.org/officeDocument/2006/relationships/image" Target="media/7140e68a806abe46589475a8f5c8f7cde03f9410.png"/><Relationship Id="rId12" Type="http://schemas.openxmlformats.org/officeDocument/2006/relationships/image" Target="media/1ab43f686b179ce2c00324600055b0b0c0209bbf.png"/><Relationship Id="rId13" Type="http://schemas.openxmlformats.org/officeDocument/2006/relationships/image" Target="media/121596359b13239d8c373f00964624f323c296b1.png"/><Relationship Id="rId14" Type="http://schemas.openxmlformats.org/officeDocument/2006/relationships/image" Target="media/31f879469a9b831896ed46ea4c656c1bff6c68b2.png"/><Relationship Id="rId15" Type="http://schemas.openxmlformats.org/officeDocument/2006/relationships/image" Target="media/52e6e467c91f59614a50c3be5a68451608e7adf0.png"/><Relationship Id="rId16" Type="http://schemas.openxmlformats.org/officeDocument/2006/relationships/image" Target="media/faa28f2b53047dc72e6a60e69ad3ea9713ba26bd.png"/><Relationship Id="rId17" Type="http://schemas.openxmlformats.org/officeDocument/2006/relationships/image" Target="media/db66f7d36c13132bfd2a01b14a6f5535e0abe29f.png"/><Relationship Id="rId18" Type="http://schemas.openxmlformats.org/officeDocument/2006/relationships/image" Target="media/0bafe776b30c900f29d60fbe998876e9a39e1972.png"/><Relationship Id="rId19" Type="http://schemas.openxmlformats.org/officeDocument/2006/relationships/image" Target="media/f2180bde6b577c593efa9fb536667773a301e40b.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IntelliQE API Automation — User Guide</dc:title>
  <dc:creator>IntelliQE</dc:creator>
  <dc:description>End-to-end user guide and functional documentation for IntelliQE API Automation.</dc:description>
  <cp:lastModifiedBy>Un-named</cp:lastModifiedBy>
  <cp:revision>1</cp:revision>
  <dcterms:created xsi:type="dcterms:W3CDTF">2026-09-25T09:30:29.218Z</dcterms:created>
  <dcterms:modified xsi:type="dcterms:W3CDTF">2026-09-25T09:30:29.219Z</dcterms:modified>
</cp:coreProperties>
</file>

<file path=docProps/custom.xml><?xml version="1.0" encoding="utf-8"?>
<Properties xmlns="http://schemas.openxmlformats.org/officeDocument/2006/custom-properties" xmlns:vt="http://schemas.openxmlformats.org/officeDocument/2006/docPropsVTypes"/>
</file>