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C1D95"/>
          <w:sz w:val="40"/>
        </w:rPr>
        <w:t>API Automation — competitor analysis, gap analysis &amp; rebuilt feature list (2026)</w:t>
      </w:r>
    </w:p>
    <w:p>
      <w:pPr>
        <w:spacing w:after="120"/>
      </w:pPr>
      <w:r>
        <w:t xml:space="preserve">Fresh web research (2026), ranked, with a gap analysis, used to </w:t>
      </w:r>
      <w:r>
        <w:rPr>
          <w:b/>
        </w:rPr>
        <w:t>rebuild and re-prioritize</w:t>
      </w:r>
      <w:r>
        <w:t xml:space="preserve"> the 88-tool feature list. The reprioritization has been applied to the Tools gallery in code (new group order + "EDGE" white-space tags) — see </w:t>
      </w:r>
      <w:r>
        <w:rPr>
          <w:i/>
        </w:rPr>
        <w:t>§5 Applied to the product</w:t>
      </w:r>
      <w:r>
        <w:t>.</w:t>
      </w:r>
    </w:p>
    <w:p>
      <w:pPr>
        <w:spacing w:after="120"/>
        <w:ind w:left="360"/>
      </w:pPr>
      <w:r>
        <w:rPr>
          <w:b/>
          <w:i/>
          <w:color w:val="555555"/>
        </w:rPr>
        <w:t>Methodology &amp; caveat.</w:t>
      </w:r>
      <w:r>
        <w:rPr>
          <w:i/>
          <w:color w:val="555555"/>
        </w:rPr>
        <w:t xml:space="preserve"> Ranking blends market presence and capability breadth. Most 2026 source material is vendor-published or competitor-written "best-of" content; autonomy / self-healing / coverage claims are largely unverified marketing and are </w:t>
      </w:r>
      <w:r>
        <w:rPr>
          <w:b/>
          <w:i/>
          <w:color w:val="555555"/>
        </w:rPr>
        <w:t>directional, not benchmarks</w:t>
      </w:r>
      <w:r>
        <w:rPr>
          <w:i/>
          <w:color w:val="555555"/>
        </w:rPr>
        <w:t xml:space="preserve">. Confirm pricing/claims against primary docs before external use. Market size: API + MCP testing tools ≈ </w:t>
      </w:r>
      <w:r>
        <w:rPr>
          <w:b/>
          <w:i/>
          <w:color w:val="555555"/>
        </w:rPr>
        <w:t>$582M (2026) → $760M (2029)</w:t>
      </w:r>
      <w:r>
        <w:rPr>
          <w:i/>
          <w:color w:val="555555"/>
        </w:rPr>
        <w:t xml:space="preserve"> (</w:t>
      </w:r>
      <w:hyperlink r:id="rId9">
        <w:r>
          <w:rPr>
            <w:color w:val="2563EB"/>
            <w:u w:val="single"/>
          </w:rPr>
          <w:t xml:space="preserve">Qyrus/Gartner</w:t>
        </w:r>
      </w:hyperlink>
      <w:r>
        <w:rPr>
          <w:i/>
          <w:color w:val="555555"/>
        </w:rPr>
        <w:t>).</w:t>
      </w:r>
    </w:p>
    <w:p>
      <w:pPr>
        <w:pBdr>
          <w:bottom w:val="single" w:sz="6" w:space="1" w:color="C7BAF5"/>
        </w:pBdr>
      </w:pPr>
    </w:p>
    <w:p>
      <w:r>
        <w:rPr>
          <w:b/>
          <w:color w:val="4C1D95"/>
          <w:sz w:val="30"/>
        </w:rPr>
        <w:t>1. The field splits into three camps</w:t>
      </w:r>
    </w:p>
    <w:p>
      <w:pPr>
        <w:spacing w:after="120"/>
      </w:pPr>
      <w:r>
        <w:t xml:space="preserve">No single competitor spans all 8 of our capability areas — most are strong in 2–4. That split </w:t>
      </w:r>
      <w:r>
        <w:rPr>
          <w:b/>
        </w:rPr>
        <w:t>is the strategic headline</w:t>
      </w:r>
      <w:r>
        <w:t>:</w:t>
      </w:r>
    </w:p>
    <w:p>
      <w:pPr>
        <w:pStyle w:val="ListBullet"/>
        <w:spacing w:after="40"/>
        <w:ind w:left="432"/>
      </w:pPr>
      <w:r>
        <w:rPr>
          <w:b/>
        </w:rPr>
        <w:t>API dev/test platforms</w:t>
      </w:r>
      <w:r>
        <w:t xml:space="preserve"> — Postman, SmartBear, Katalon</w:t>
      </w:r>
    </w:p>
    <w:p>
      <w:pPr>
        <w:pStyle w:val="ListBullet"/>
        <w:spacing w:after="40"/>
        <w:ind w:left="432"/>
      </w:pPr>
      <w:r>
        <w:rPr>
          <w:b/>
        </w:rPr>
        <w:t>Enterprise test suites</w:t>
      </w:r>
      <w:r>
        <w:t xml:space="preserve"> — Tricentis, Parasoft, ACCELQ</w:t>
      </w:r>
    </w:p>
    <w:p>
      <w:pPr>
        <w:pStyle w:val="ListBullet"/>
        <w:spacing w:after="40"/>
        <w:ind w:left="432"/>
      </w:pPr>
      <w:r>
        <w:rPr>
          <w:b/>
        </w:rPr>
        <w:t>API-security / AI-native specialists</w:t>
      </w:r>
      <w:r>
        <w:t xml:space="preserve"> — Akto, APIsec, StackHawk, Keploy, KushoAI, Qodex</w:t>
      </w:r>
    </w:p>
    <w:p>
      <w:pPr>
        <w:pBdr>
          <w:bottom w:val="single" w:sz="6" w:space="1" w:color="C7BAF5"/>
        </w:pBdr>
      </w:pPr>
    </w:p>
    <w:p>
      <w:r>
        <w:rPr>
          <w:b/>
          <w:color w:val="4C1D95"/>
          <w:sz w:val="30"/>
        </w:rPr>
        <w:t>2. Ranked competitors (14)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656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Competitor</w:t>
            </w:r>
          </w:p>
        </w:tc>
        <w:tc>
          <w:tcPr>
            <w:tcW w:type="dxa" w:w="1656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Positioning</w:t>
            </w:r>
          </w:p>
        </w:tc>
        <w:tc>
          <w:tcPr>
            <w:tcW w:type="dxa" w:w="1656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Deploy</w:t>
            </w:r>
          </w:p>
        </w:tc>
        <w:tc>
          <w:tcPr>
            <w:tcW w:type="dxa" w:w="1656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Licensing</w:t>
            </w:r>
          </w:p>
        </w:tc>
        <w:tc>
          <w:tcPr>
            <w:tcW w:type="dxa" w:w="1656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Standout / weakness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Postman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Industry-standard API dev + collaboration; pushing into agent/MCP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SaaS-primary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Freemium → per-user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Postbot AI, Agent Mode, Insights+Repro replay, MCP request type / MCP-server gen · </w:t>
            </w:r>
            <w:r>
              <w:rPr>
                <w:i/>
                <w:sz w:val="17"/>
              </w:rPr>
              <w:t>weak authz/BOLA; SaaS lock-in drives defections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SmartBear</w:t>
            </w:r>
            <w:r>
              <w:rPr>
                <w:sz w:val="17"/>
              </w:rPr>
              <w:t xml:space="preserve"> (ReadyAPI/SoapUI + Pactflow + Stoplight)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Enterprise API quality suite: functional, contract, virtualization, governance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SaaS + self-host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SoapUI OSS; ReadyAPI ~$659+/seat; Pactflow free→paid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Deep SOAP/REST/GraphQL/MQ; Pactflow bi-directional contracts + </w:t>
            </w:r>
            <w:r>
              <w:rPr>
                <w:b/>
                <w:sz w:val="17"/>
              </w:rPr>
              <w:t>Drift</w:t>
            </w:r>
            <w:r>
              <w:rPr>
                <w:sz w:val="17"/>
              </w:rPr>
              <w:t xml:space="preserve">; Stoplight governance · </w:t>
            </w:r>
            <w:r>
              <w:rPr>
                <w:i/>
                <w:sz w:val="17"/>
              </w:rPr>
              <w:t>fragmented, dated UX, weak AI-native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Tricentis</w:t>
            </w:r>
            <w:r>
              <w:rPr>
                <w:sz w:val="17"/>
              </w:rPr>
              <w:t xml:space="preserve"> (Tosca/Testim)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Enterprise model-based, risk-based automation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Self-host + SaaS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Custom/enterprise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Risk-based optimization AI, model-based self-healing, MCP bridge · </w:t>
            </w:r>
            <w:r>
              <w:rPr>
                <w:i/>
                <w:sz w:val="17"/>
              </w:rPr>
              <w:t>expensive, API not headline, little security/LLM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Katalon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Low-code unified (API+web+mobile+desktop) + AI assists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SaaS + desktop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→ per-seat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One platform across layers, AI self-heal · </w:t>
            </w:r>
            <w:r>
              <w:rPr>
                <w:i/>
                <w:sz w:val="17"/>
              </w:rPr>
              <w:t>shallow security/contract/LLM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Parasoft</w:t>
            </w:r>
            <w:r>
              <w:rPr>
                <w:sz w:val="17"/>
              </w:rPr>
              <w:t xml:space="preserve"> (SOAtest/Virtualize)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Enterprise API + microservices with </w:t>
            </w:r>
            <w:r>
              <w:rPr>
                <w:b/>
                <w:sz w:val="17"/>
              </w:rPr>
              <w:t>bundled</w:t>
            </w:r>
            <w:r>
              <w:rPr>
                <w:sz w:val="17"/>
              </w:rPr>
              <w:t xml:space="preserve"> virtualization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Self-host + CI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Enterprise/quote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Deepest virtualization; CTP 2026.1 </w:t>
            </w:r>
            <w:r>
              <w:rPr>
                <w:b/>
                <w:sz w:val="17"/>
              </w:rPr>
              <w:t>Virtualize MCP server</w:t>
            </w:r>
            <w:r>
              <w:rPr>
                <w:sz w:val="17"/>
              </w:rPr>
              <w:t xml:space="preserve"> + NL test gen; regulated-industry fit · </w:t>
            </w:r>
            <w:r>
              <w:rPr>
                <w:i/>
                <w:sz w:val="17"/>
              </w:rPr>
              <w:t>steep, dated UI, weak autonomous security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ACCELQ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AI codeless continuous functional + API (Forrester Wave claim)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Cloud SaaS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Quote; trial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One platform web/mobile/API/SAP, codeless self-heal · </w:t>
            </w:r>
            <w:r>
              <w:rPr>
                <w:i/>
                <w:sz w:val="17"/>
              </w:rPr>
              <w:t>thin security/contract/LLM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testRigor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Generative-AI plain-English authoring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SaaS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Flat-rate/mo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NL authoring, strong self-heal reputation · </w:t>
            </w:r>
            <w:r>
              <w:rPr>
                <w:i/>
                <w:sz w:val="17"/>
              </w:rPr>
              <w:t>UI-test heritage, API secondary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Akto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AI-native </w:t>
            </w:r>
            <w:r>
              <w:rPr>
                <w:b/>
                <w:sz w:val="17"/>
              </w:rPr>
              <w:t>API + AI-agent/MCP security</w:t>
            </w:r>
            <w:r>
              <w:rPr>
                <w:sz w:val="17"/>
              </w:rPr>
              <w:t xml:space="preserve"> (DAST + runtime)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SaaS + self-host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Freemium/OSS → enterprise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1,000+ security tests, API discovery, </w:t>
            </w:r>
            <w:r>
              <w:rPr>
                <w:b/>
                <w:sz w:val="17"/>
              </w:rPr>
              <w:t>MCP/agent discovery+guardrails</w:t>
            </w:r>
            <w:r>
              <w:rPr>
                <w:sz w:val="17"/>
              </w:rPr>
              <w:t xml:space="preserve">, OWASP LLM Top-10 · </w:t>
            </w:r>
            <w:r>
              <w:rPr>
                <w:i/>
                <w:sz w:val="17"/>
              </w:rPr>
              <w:t>security-only, no functional/contract/perf breadth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APIsec.ai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Autonomous API </w:t>
            </w:r>
            <w:r>
              <w:rPr>
                <w:b/>
                <w:sz w:val="17"/>
              </w:rPr>
              <w:t>security</w:t>
            </w:r>
            <w:r>
              <w:rPr>
                <w:sz w:val="17"/>
              </w:rPr>
              <w:t xml:space="preserve"> (auto-generated attacks, business-logic/authz)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SaaS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Enterprise/quote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Continuous CI security, strong BOLA/authz · </w:t>
            </w:r>
            <w:r>
              <w:rPr>
                <w:i/>
                <w:sz w:val="17"/>
              </w:rPr>
              <w:t>pure security scope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StackHawk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Developer-first DAST in CI/CD (HawkScan)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SaaS + CLI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Freemium → per-app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Shift-left DAST, </w:t>
            </w:r>
            <w:r>
              <w:rPr>
                <w:b/>
                <w:sz w:val="17"/>
              </w:rPr>
              <w:t>cross-profile BOLA/BFLA</w:t>
            </w:r>
            <w:r>
              <w:rPr>
                <w:sz w:val="17"/>
              </w:rPr>
              <w:t xml:space="preserve"> · </w:t>
            </w:r>
            <w:r>
              <w:rPr>
                <w:i/>
                <w:sz w:val="17"/>
              </w:rPr>
              <w:t>security-only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Keploy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OSS </w:t>
            </w:r>
            <w:r>
              <w:rPr>
                <w:b/>
                <w:sz w:val="17"/>
              </w:rPr>
              <w:t>record-and-replay</w:t>
            </w:r>
            <w:r>
              <w:rPr>
                <w:sz w:val="17"/>
              </w:rPr>
              <w:t xml:space="preserve"> (eBPF traffic → deterministic tests + mocks)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OSS (Apache-2.0) + enterprise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OSS free + enterprise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Zero-code deterministic tests, mocks DB/queue/API · </w:t>
            </w:r>
            <w:r>
              <w:rPr>
                <w:i/>
                <w:sz w:val="17"/>
              </w:rPr>
              <w:t>replay-centric, Linux/eBPF, no security/contract/perf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Bruno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Git-first, offline, OSS API client (anti-SaaS Postman)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Local/OSS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 + "Golden Edition"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No-lock-in / test-as-code</w:t>
            </w:r>
            <w:r>
              <w:rPr>
                <w:sz w:val="17"/>
              </w:rPr>
              <w:t xml:space="preserve">, Git-native, CLI · </w:t>
            </w:r>
            <w:r>
              <w:rPr>
                <w:i/>
                <w:sz w:val="17"/>
              </w:rPr>
              <w:t>client not platform — no AI/security/perf/virt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Schemathesis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OSS property-based / spec-fuzzing from OpenAPI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OSS CLI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Free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Auto-cases from spec, stateful via links · </w:t>
            </w:r>
            <w:r>
              <w:rPr>
                <w:i/>
                <w:sz w:val="17"/>
              </w:rPr>
              <w:t>narrow: spec-fuzzing only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AI-native up-and-comers</w:t>
            </w:r>
            <w:r>
              <w:rPr>
                <w:sz w:val="17"/>
              </w:rPr>
              <w:t xml:space="preserve"> — KushoAI, Qodex.ai (+ Momentic, BlinqIO, Qyrus)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Agentic API test generation / deterministic replay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SaaS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Varies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KushoAI: spec→suite in ~2 min, APIEval-20 benchmark; Qodex: author-once then </w:t>
            </w:r>
            <w:r>
              <w:rPr>
                <w:b/>
                <w:sz w:val="17"/>
              </w:rPr>
              <w:t>deterministic replay (no LLM in loop)</w:t>
            </w:r>
            <w:r>
              <w:rPr>
                <w:sz w:val="17"/>
              </w:rPr>
              <w:t xml:space="preserve">, runs OWASP in the functional suite · </w:t>
            </w:r>
            <w:r>
              <w:rPr>
                <w:i/>
                <w:sz w:val="17"/>
              </w:rPr>
              <w:t>early-stage, unproven enterprise depth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Sources: </w:t>
      </w:r>
      <w:hyperlink r:id="rId10">
        <w:r>
          <w:rPr>
            <w:color w:val="2563EB"/>
            <w:u w:val="single"/>
          </w:rPr>
          <w:t xml:space="preserve">testsprite</w:t>
        </w:r>
      </w:hyperlink>
      <w:r>
        <w:t xml:space="preserve">, </w:t>
      </w:r>
      <w:hyperlink r:id="rId11">
        <w:r>
          <w:rPr>
            <w:color w:val="2563EB"/>
            <w:u w:val="single"/>
          </w:rPr>
          <w:t xml:space="preserve">Business Wire</w:t>
        </w:r>
      </w:hyperlink>
      <w:r>
        <w:t xml:space="preserve">, </w:t>
      </w:r>
      <w:hyperlink r:id="rId12">
        <w:r>
          <w:rPr>
            <w:color w:val="2563EB"/>
            <w:u w:val="single"/>
          </w:rPr>
          <w:t xml:space="preserve">pactflow</w:t>
        </w:r>
      </w:hyperlink>
      <w:r>
        <w:t xml:space="preserve">, </w:t>
      </w:r>
      <w:hyperlink r:id="rId13">
        <w:r>
          <w:rPr>
            <w:color w:val="2563EB"/>
            <w:u w:val="single"/>
          </w:rPr>
          <w:t xml:space="preserve">Parasoft</w:t>
        </w:r>
      </w:hyperlink>
      <w:r>
        <w:t xml:space="preserve">, </w:t>
      </w:r>
      <w:hyperlink r:id="rId14">
        <w:r>
          <w:rPr>
            <w:color w:val="2563EB"/>
            <w:u w:val="single"/>
          </w:rPr>
          <w:t xml:space="preserve">akto</w:t>
        </w:r>
      </w:hyperlink>
      <w:r>
        <w:t xml:space="preserve">, </w:t>
      </w:r>
      <w:hyperlink r:id="rId15">
        <w:r>
          <w:rPr>
            <w:color w:val="2563EB"/>
            <w:u w:val="single"/>
          </w:rPr>
          <w:t xml:space="preserve">stackhawk</w:t>
        </w:r>
      </w:hyperlink>
      <w:r>
        <w:t xml:space="preserve">, </w:t>
      </w:r>
      <w:hyperlink r:id="rId16">
        <w:r>
          <w:rPr>
            <w:color w:val="2563EB"/>
            <w:u w:val="single"/>
          </w:rPr>
          <w:t xml:space="preserve">keploy</w:t>
        </w:r>
      </w:hyperlink>
      <w:r>
        <w:t xml:space="preserve">, </w:t>
      </w:r>
      <w:hyperlink r:id="rId17">
        <w:r>
          <w:rPr>
            <w:color w:val="2563EB"/>
            <w:u w:val="single"/>
          </w:rPr>
          <w:t xml:space="preserve">youngju.dev</w:t>
        </w:r>
      </w:hyperlink>
      <w:r>
        <w:t xml:space="preserve">, </w:t>
      </w:r>
      <w:hyperlink r:id="rId18">
        <w:r>
          <w:rPr>
            <w:color w:val="2563EB"/>
            <w:u w:val="single"/>
          </w:rPr>
          <w:t xml:space="preserve">KushoAI</w:t>
        </w:r>
      </w:hyperlink>
      <w:r>
        <w:t xml:space="preserve">, </w:t>
      </w:r>
      <w:hyperlink r:id="rId19">
        <w:r>
          <w:rPr>
            <w:color w:val="2563EB"/>
            <w:u w:val="single"/>
          </w:rPr>
          <w:t xml:space="preserve">qodex</w:t>
        </w:r>
      </w:hyperlink>
      <w:r>
        <w:t>.</w:t>
      </w:r>
    </w:p>
    <w:p>
      <w:pPr>
        <w:pBdr>
          <w:bottom w:val="single" w:sz="6" w:space="1" w:color="C7BAF5"/>
        </w:pBdr>
      </w:pPr>
    </w:p>
    <w:p>
      <w:r>
        <w:rPr>
          <w:b/>
          <w:color w:val="4C1D95"/>
          <w:sz w:val="30"/>
        </w:rPr>
        <w:t>3. Capability-coverage matrix</w:t>
      </w:r>
    </w:p>
    <w:p>
      <w:pPr>
        <w:spacing w:after="120"/>
      </w:pPr>
      <w:r>
        <w:t>Rows = our 8 areas · cells = Strong / Partial / None.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Area</w:t>
            </w:r>
          </w:p>
        </w:tc>
        <w:tc>
          <w:tcPr>
            <w:tcW w:type="dxa" w:w="110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Postman</w:t>
            </w:r>
          </w:p>
        </w:tc>
        <w:tc>
          <w:tcPr>
            <w:tcW w:type="dxa" w:w="110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SmartBear</w:t>
            </w:r>
          </w:p>
        </w:tc>
        <w:tc>
          <w:tcPr>
            <w:tcW w:type="dxa" w:w="110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Tricentis</w:t>
            </w:r>
          </w:p>
        </w:tc>
        <w:tc>
          <w:tcPr>
            <w:tcW w:type="dxa" w:w="110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Katalon</w:t>
            </w:r>
          </w:p>
        </w:tc>
        <w:tc>
          <w:tcPr>
            <w:tcW w:type="dxa" w:w="110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Parasoft</w:t>
            </w:r>
          </w:p>
        </w:tc>
        <w:tc>
          <w:tcPr>
            <w:tcW w:type="dxa" w:w="110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Akto</w:t>
            </w:r>
          </w:p>
        </w:tc>
        <w:tc>
          <w:tcPr>
            <w:tcW w:type="dxa" w:w="110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APIsec</w:t>
            </w:r>
          </w:p>
        </w:tc>
        <w:tc>
          <w:tcPr>
            <w:tcW w:type="dxa" w:w="1104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StackHawk</w:t>
            </w:r>
          </w:p>
        </w:tc>
      </w:tr>
      <w:tr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1. Generate &amp; author (AI/autonomous)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2. Security &amp; authz (OWASP, BOLA/BFLA)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Strong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Strong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Strong</w:t>
            </w:r>
          </w:p>
        </w:tc>
      </w:tr>
      <w:tr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3. Performance &amp; resilience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4. Contracts &amp; virtualization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Strong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Strong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5. Coverage &amp; intelligence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Strong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</w:tr>
      <w:tr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6. Protocols, data &amp; AI (LLM/MCP)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Strong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7. Governance &amp; compliance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None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</w:tr>
      <w:tr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8. Execution, CI &amp; lifecycle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Strong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Strong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Strong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Strong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Strong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110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Takeaway:</w:t>
      </w:r>
      <w:r>
        <w:t xml:space="preserve"> incumbents own execution/CI/lifecycle + contracts; security specialists own authz/OWASP/MCP-security; </w:t>
      </w:r>
      <w:r>
        <w:rPr>
          <w:b/>
        </w:rPr>
        <w:t>nobody is Strong across all eight.</w:t>
      </w:r>
    </w:p>
    <w:p>
      <w:pPr>
        <w:pBdr>
          <w:bottom w:val="single" w:sz="6" w:space="1" w:color="C7BAF5"/>
        </w:pBdr>
      </w:pPr>
    </w:p>
    <w:p>
      <w:r>
        <w:rPr>
          <w:b/>
          <w:color w:val="4C1D95"/>
          <w:sz w:val="30"/>
        </w:rPr>
        <w:t>4. Gap analysis</w:t>
      </w:r>
    </w:p>
    <w:p>
      <w:r>
        <w:rPr>
          <w:b/>
          <w:color w:val="372A6B"/>
          <w:sz w:val="25"/>
        </w:rPr>
        <w:t>4a. Table stakes — must match to be credible (competitors collectively lead)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Capability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 sets the bar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Our position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Execution/CI/lifecycle + TM (TestRail/Xray/Zephyr/qTest)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Postman, SmartBear, Tricentis, Parasoft, Katalon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✓ Have it (group 8) — </w:t>
            </w:r>
            <w:r>
              <w:rPr>
                <w:b/>
                <w:sz w:val="17"/>
              </w:rPr>
              <w:t>now the TM connectors are live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Contract testing + virtualization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SmartBear/Pactflow (Drift), Parasoft (bundled virt)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✓ Have it (group 4) — harden drift + bi-directional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Dedicated API-security depth (OWASP API + BOLA/BFLA)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Akto, APIsec, StackHawk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✓ Have it (group 2) — keep parity on test breadth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AI authoring / NL test generation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Postbot, testRigor, Katalon, ACCELQ, KushoAI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✓ Have it — </w:t>
            </w:r>
            <w:r>
              <w:rPr>
                <w:b/>
                <w:sz w:val="17"/>
              </w:rPr>
              <w:t>but now commodity, no longer differentiating</w:t>
            </w:r>
          </w:p>
        </w:tc>
      </w:tr>
    </w:tbl>
    <w:p>
      <w:pPr>
        <w:spacing w:after="80"/>
      </w:pPr>
    </w:p>
    <w:p>
      <w:r>
        <w:rPr>
          <w:b/>
          <w:color w:val="372A6B"/>
          <w:sz w:val="25"/>
        </w:rPr>
        <w:t>4b. White-space — defensible differentiation (few/none compete)</w:t>
      </w:r>
    </w:p>
    <w:p>
      <w:pPr>
        <w:spacing w:after="120"/>
      </w:pPr>
      <w:r>
        <w:t xml:space="preserve">These are tagged </w:t>
      </w:r>
      <w:r>
        <w:rPr>
          <w:b/>
        </w:rPr>
        <w:t>EDGE</w:t>
      </w:r>
      <w:r>
        <w:t xml:space="preserve"> in the gallery:</w:t>
      </w:r>
    </w:p>
    <w:p>
      <w:pPr>
        <w:pStyle w:val="ListNumber"/>
        <w:spacing w:after="40"/>
        <w:ind w:left="432"/>
      </w:pPr>
      <w:r>
        <w:rPr>
          <w:b/>
        </w:rPr>
        <w:t>End-to-end breadth in one product</w:t>
      </w:r>
      <w:r>
        <w:t xml:space="preserve"> — no rival spans all 8 areas; we replace a Postman + Pactflow + Akto + k6 + TMS stack.</w:t>
      </w:r>
    </w:p>
    <w:p>
      <w:pPr>
        <w:pStyle w:val="ListNumber"/>
        <w:spacing w:after="40"/>
        <w:ind w:left="432"/>
      </w:pPr>
      <w:r>
        <w:t>*</w:t>
      </w:r>
      <w:r>
        <w:rPr>
          <w:i/>
        </w:rPr>
        <w:t xml:space="preserve">AI/LLM &amp; MCP </w:t>
      </w:r>
      <w:r>
        <w:t>testing + security</w:t>
      </w:r>
      <w:r>
        <w:rPr>
          <w:i/>
        </w:rPr>
        <w:t xml:space="preserve"> combined</w:t>
      </w:r>
      <w:r>
        <w:t>* — Akto leads MCP security, others do MCP plumbing; almost nobody offers LLM eval + LLM-provider testing + MCP functional + MCP security together (</w:t>
      </w:r>
      <w:hyperlink r:id="rId18">
        <w:r>
          <w:rPr>
            <w:color w:val="2563EB"/>
            <w:u w:val="single"/>
          </w:rPr>
          <w:t xml:space="preserve">KushoAI</w:t>
        </w:r>
      </w:hyperlink>
      <w:r>
        <w:t>).</w:t>
      </w:r>
    </w:p>
    <w:p>
      <w:pPr>
        <w:pStyle w:val="ListNumber"/>
        <w:spacing w:after="40"/>
        <w:ind w:left="432"/>
      </w:pPr>
      <w:r>
        <w:rPr>
          <w:b/>
        </w:rPr>
        <w:t>Agentic/autonomous loop</w:t>
      </w:r>
      <w:r>
        <w:t xml:space="preserve"> (autopilot + self-healing + failure→fix PR) — Qyrus/KushoAI early; incumbents bolt AI onto scripted flows.</w:t>
      </w:r>
    </w:p>
    <w:p>
      <w:pPr>
        <w:pStyle w:val="ListNumber"/>
        <w:spacing w:after="40"/>
        <w:ind w:left="432"/>
      </w:pPr>
      <w:r>
        <w:t>*</w:t>
      </w:r>
      <w:r>
        <w:rPr>
          <w:i/>
        </w:rPr>
        <w:t xml:space="preserve">BOLA/BFLA depth </w:t>
      </w:r>
      <w:r>
        <w:t>inside a functional QA platform*** — specialists own it standalone; no functional platform embeds deep authz + mutation-graded assertions.</w:t>
      </w:r>
    </w:p>
    <w:p>
      <w:pPr>
        <w:pStyle w:val="ListNumber"/>
        <w:spacing w:after="40"/>
        <w:ind w:left="432"/>
      </w:pPr>
      <w:r>
        <w:rPr>
          <w:b/>
        </w:rPr>
        <w:t>Spec-diff / breaking-change gate</w:t>
      </w:r>
      <w:r>
        <w:t xml:space="preserve"> — only emerging (Pactflow Drift, Bruno) (</w:t>
      </w:r>
      <w:hyperlink r:id="rId12">
        <w:r>
          <w:rPr>
            <w:color w:val="2563EB"/>
            <w:u w:val="single"/>
          </w:rPr>
          <w:t xml:space="preserve">pactflow</w:t>
        </w:r>
      </w:hyperlink>
      <w:r>
        <w:t>).</w:t>
      </w:r>
    </w:p>
    <w:p>
      <w:pPr>
        <w:pStyle w:val="ListNumber"/>
        <w:spacing w:after="40"/>
        <w:ind w:left="432"/>
      </w:pPr>
      <w:r>
        <w:rPr>
          <w:b/>
        </w:rPr>
        <w:t>Deterministic record &amp; replay</w:t>
      </w:r>
      <w:r>
        <w:t xml:space="preserve"> — essentially Keploy alone; unoccupied inside a broad AI QA platform (</w:t>
      </w:r>
      <w:hyperlink r:id="rId16">
        <w:r>
          <w:rPr>
            <w:color w:val="2563EB"/>
            <w:u w:val="single"/>
          </w:rPr>
          <w:t xml:space="preserve">keploy</w:t>
        </w:r>
      </w:hyperlink>
      <w:r>
        <w:t>).</w:t>
      </w:r>
    </w:p>
    <w:p>
      <w:pPr>
        <w:pStyle w:val="ListNumber"/>
        <w:spacing w:after="40"/>
        <w:ind w:left="432"/>
      </w:pPr>
      <w:r>
        <w:rPr>
          <w:b/>
        </w:rPr>
        <w:t>Synthetic monitoring tied to the test suite</w:t>
      </w:r>
      <w:r>
        <w:t xml:space="preserve"> — owned by observability vendors, not test platforms; "one suite, shift-left + shift-right" is open (</w:t>
      </w:r>
      <w:hyperlink r:id="rId20">
        <w:r>
          <w:rPr>
            <w:color w:val="2563EB"/>
            <w:u w:val="single"/>
          </w:rPr>
          <w:t xml:space="preserve">Datadog</w:t>
        </w:r>
      </w:hyperlink>
      <w:r>
        <w:t>).</w:t>
      </w:r>
    </w:p>
    <w:p>
      <w:pPr>
        <w:pStyle w:val="ListNumber"/>
        <w:spacing w:after="40"/>
        <w:ind w:left="432"/>
      </w:pPr>
      <w:r>
        <w:rPr>
          <w:b/>
        </w:rPr>
        <w:t>Governance-as-code + compliance packs</w:t>
      </w:r>
      <w:r>
        <w:t xml:space="preserve"> (PCI/HIPAA/GDPR/</w:t>
      </w:r>
      <w:r>
        <w:rPr>
          <w:b/>
        </w:rPr>
        <w:t>EU AI Act/DORA</w:t>
      </w:r>
      <w:r>
        <w:t>) — only SmartBear/Stoplight touch governance; regulatory + AI-Act packs near-empty.</w:t>
      </w:r>
    </w:p>
    <w:p>
      <w:pPr>
        <w:pStyle w:val="ListNumber"/>
        <w:spacing w:after="40"/>
        <w:ind w:left="432"/>
      </w:pPr>
      <w:r>
        <w:rPr>
          <w:b/>
        </w:rPr>
        <w:t>On-prem/air-gapped + full-code export / no-lock-in</w:t>
      </w:r>
      <w:r>
        <w:t xml:space="preserve"> — Parasoft/Akto self-host, Bruno/Qodex code-ownership, but combining air-gapped + full-code in an AI platform is rare; Postman's SaaS-only stance drives defections (</w:t>
      </w:r>
      <w:hyperlink r:id="rId17">
        <w:r>
          <w:rPr>
            <w:color w:val="2563EB"/>
            <w:u w:val="single"/>
          </w:rPr>
          <w:t xml:space="preserve">youngju.dev</w:t>
        </w:r>
      </w:hyperlink>
      <w:r>
        <w:t>).</w:t>
      </w:r>
    </w:p>
    <w:p>
      <w:r>
        <w:rPr>
          <w:b/>
          <w:color w:val="372A6B"/>
          <w:sz w:val="25"/>
        </w:rPr>
        <w:t>4c. 2026 trends (where the market is heading)</w:t>
      </w:r>
    </w:p>
    <w:p>
      <w:pPr>
        <w:pStyle w:val="ListBullet"/>
        <w:spacing w:after="40"/>
        <w:ind w:left="432"/>
      </w:pPr>
      <w:r>
        <w:rPr>
          <w:b/>
        </w:rPr>
        <w:t>Agentic/autonomous testing</w:t>
      </w:r>
      <w:r>
        <w:t xml:space="preserve"> is the dominant narrative — API testing as "the first autonomous QA layer."</w:t>
      </w:r>
    </w:p>
    <w:p>
      <w:pPr>
        <w:pStyle w:val="ListBullet"/>
        <w:spacing w:after="40"/>
        <w:ind w:left="432"/>
      </w:pPr>
      <w:r>
        <w:rPr>
          <w:b/>
        </w:rPr>
        <w:t>Testing the AI itself</w:t>
      </w:r>
      <w:r>
        <w:t xml:space="preserve"> — LLM &amp; MCP as a new API surface (prompt injection, tool poisoning, authz/confused-deputy); everyone shipped MCP features in 2025–26.</w:t>
      </w:r>
    </w:p>
    <w:p>
      <w:pPr>
        <w:pStyle w:val="ListBullet"/>
        <w:spacing w:after="40"/>
        <w:ind w:left="432"/>
      </w:pPr>
      <w:r>
        <w:rPr>
          <w:b/>
        </w:rPr>
        <w:t>Security shifts left and merges with functional</w:t>
      </w:r>
      <w:r>
        <w:t xml:space="preserve"> — OWASP API Top-10 + BOLA/BFLA in CI, "attack blocked = pass."</w:t>
      </w:r>
    </w:p>
    <w:p>
      <w:pPr>
        <w:pStyle w:val="ListBullet"/>
        <w:spacing w:after="40"/>
        <w:ind w:left="432"/>
      </w:pPr>
      <w:r>
        <w:rPr>
          <w:b/>
        </w:rPr>
        <w:t>Shift-left + shift-right convergence</w:t>
      </w:r>
      <w:r>
        <w:t xml:space="preserve"> — one suite across pre-release gates and production synthetic monitoring.</w:t>
      </w:r>
    </w:p>
    <w:p>
      <w:pPr>
        <w:pStyle w:val="ListBullet"/>
        <w:spacing w:after="40"/>
        <w:ind w:left="432"/>
      </w:pPr>
      <w:r>
        <w:rPr>
          <w:b/>
        </w:rPr>
        <w:t>Spec-driven / contract-first in CI</w:t>
      </w:r>
      <w:r>
        <w:t xml:space="preserve"> — breaking-change &amp; drift gates against OpenAPI.</w:t>
      </w:r>
    </w:p>
    <w:p>
      <w:pPr>
        <w:pStyle w:val="ListBullet"/>
        <w:spacing w:after="40"/>
        <w:ind w:left="432"/>
      </w:pPr>
      <w:r>
        <w:rPr>
          <w:b/>
        </w:rPr>
        <w:t>No-lock-in / data-residency backlash</w:t>
      </w:r>
      <w:r>
        <w:t xml:space="preserve"> against SaaS-only — OSS, Git-first, code-export tools gaining enterprise traction.</w:t>
      </w:r>
    </w:p>
    <w:p>
      <w:pPr>
        <w:pBdr>
          <w:bottom w:val="single" w:sz="6" w:space="1" w:color="C7BAF5"/>
        </w:pBdr>
      </w:pPr>
    </w:p>
    <w:p>
      <w:r>
        <w:rPr>
          <w:b/>
          <w:color w:val="4C1D95"/>
          <w:sz w:val="30"/>
        </w:rPr>
        <w:t>5. Rebuilt &amp; re-prioritized feature list</w:t>
      </w:r>
    </w:p>
    <w:p>
      <w:r>
        <w:rPr>
          <w:b/>
          <w:color w:val="372A6B"/>
          <w:sz w:val="25"/>
        </w:rPr>
        <w:t>5a. New group order (applied to the gallery) — lead with what wins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New order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Group</w:t>
            </w:r>
          </w:p>
        </w:tc>
        <w:tc>
          <w:tcPr>
            <w:tcW w:type="dxa" w:w="3312"/>
            <w:shd w:val="clear" w:fill="EDE9FE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here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Generate &amp; author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Agentic authoring is the 2026 narrative + our autopilot/self-heal lead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Security &amp; authorization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BOLA/BFLA depth in a QA platform = white-space + security-shift-left trend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Protocols, data &amp; AI</w:t>
            </w:r>
            <w:r>
              <w:rPr>
                <w:sz w:val="17"/>
              </w:rPr>
              <w:t xml:space="preserve"> ↑ (was 6)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LLM/MCP testing+security = top white-space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Coverage &amp; intelligence</w:t>
            </w:r>
            <w:r>
              <w:rPr>
                <w:sz w:val="17"/>
              </w:rPr>
              <w:t xml:space="preserve"> ↑ (was 5)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Self-healing + change impact = differentiators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Contracts &amp; virtualization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Spec-diff gate, record&amp;replay, virtualization — edge + table stakes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Performance &amp; resilience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Solid parity; not a differentiator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Governance &amp; compliance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Governance-as-code + regulatory packs = white-space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Execution, CI &amp; lifecycle</w:t>
            </w:r>
            <w:r>
              <w:rPr>
                <w:sz w:val="17"/>
              </w:rPr>
              <w:t xml:space="preserve"> ↓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Necessary table stakes everyone ships — closes the list</w:t>
            </w:r>
          </w:p>
        </w:tc>
      </w:tr>
    </w:tbl>
    <w:p>
      <w:pPr>
        <w:spacing w:after="80"/>
      </w:pPr>
    </w:p>
    <w:p>
      <w:r>
        <w:rPr>
          <w:b/>
          <w:color w:val="372A6B"/>
          <w:sz w:val="25"/>
        </w:rPr>
        <w:t>5b. EDGE tools (competitive white-space — tagged in the gallery)</w:t>
      </w:r>
    </w:p>
    <w:p>
      <w:pPr>
        <w:spacing w:after="120"/>
      </w:pPr>
      <w:r>
        <w:t xml:space="preserve">Agentic loop: </w:t>
      </w:r>
      <w:r>
        <w:rPr>
          <w:i/>
        </w:rPr>
        <w:t>AI coworker (Atto), Autopilot, Autonomous maintenance, Semantic self-healing, Failure→fix workflow</w:t>
      </w:r>
      <w:r>
        <w:t xml:space="preserve"> · Authz depth: </w:t>
      </w:r>
      <w:r>
        <w:rPr>
          <w:i/>
        </w:rPr>
        <w:t>Authorization (BOLA/BFLA), Deep authorization &amp; data exposure, Assertion strength (mutation)</w:t>
      </w:r>
      <w:r>
        <w:t xml:space="preserve"> · AI/LLM/MCP: </w:t>
      </w:r>
      <w:r>
        <w:rPr>
          <w:i/>
        </w:rPr>
        <w:t>AI/LLM &amp; MCP testing, LLM eval harness, MCP server, LLM providers</w:t>
      </w:r>
      <w:r>
        <w:t xml:space="preserve"> · Contracts/replay/virt: </w:t>
      </w:r>
      <w:r>
        <w:rPr>
          <w:i/>
        </w:rPr>
        <w:t>Breaking-change gate, Record &amp; replay, Service virtualization</w:t>
      </w:r>
      <w:r>
        <w:t xml:space="preserve"> · Governance: </w:t>
      </w:r>
      <w:r>
        <w:rPr>
          <w:i/>
        </w:rPr>
        <w:t>API governance, Compliance packs, AI-era compliance</w:t>
      </w:r>
      <w:r>
        <w:t xml:space="preserve"> · No-lock-in: </w:t>
      </w:r>
      <w:r>
        <w:rPr>
          <w:i/>
        </w:rPr>
        <w:t>On-prem/air-gapped, Full-code &amp; Monitoring-as-Code</w:t>
      </w:r>
      <w:r>
        <w:t xml:space="preserve"> · Cross-layer &amp; shift-right: </w:t>
      </w:r>
      <w:r>
        <w:rPr>
          <w:i/>
        </w:rPr>
        <w:t>Unified cross-layer test, API+UI hybrid test, Monitoring, Public status page</w:t>
      </w:r>
      <w:r>
        <w:t>.</w:t>
      </w:r>
    </w:p>
    <w:p>
      <w:r>
        <w:rPr>
          <w:b/>
          <w:color w:val="372A6B"/>
          <w:sz w:val="25"/>
        </w:rPr>
        <w:t>5c. Roadmap priorities (from the gaps)</w:t>
      </w:r>
    </w:p>
    <w:p>
      <w:pPr>
        <w:spacing w:after="120"/>
      </w:pPr>
      <w:r>
        <w:rPr>
          <w:b/>
        </w:rPr>
        <w:t>P0 — defend &amp; deepen the white-space (our moat):</w:t>
      </w:r>
    </w:p>
    <w:p>
      <w:pPr>
        <w:pStyle w:val="ListBullet"/>
        <w:spacing w:after="40"/>
        <w:ind w:left="432"/>
      </w:pPr>
      <w:r>
        <w:t>LLM/MCP testing suite (functional + security + eval) — press the lead before Akto/KushoAI generalize.</w:t>
      </w:r>
    </w:p>
    <w:p>
      <w:pPr>
        <w:pStyle w:val="ListBullet"/>
        <w:spacing w:after="40"/>
        <w:ind w:left="432"/>
      </w:pPr>
      <w:r>
        <w:t>Agentic autopilot → self-heal → failure-fix PR as one visible closed loop (the headline demo).</w:t>
      </w:r>
    </w:p>
    <w:p>
      <w:pPr>
        <w:pStyle w:val="ListBullet"/>
        <w:spacing w:after="40"/>
        <w:ind w:left="432"/>
      </w:pPr>
      <w:r>
        <w:t>BOLA/BFLA + mutation-graded assertions — make it provably as deep as StackHawk/APIsec, but in-suite.</w:t>
      </w:r>
    </w:p>
    <w:p>
      <w:pPr>
        <w:spacing w:after="120"/>
      </w:pPr>
      <w:r>
        <w:rPr>
          <w:b/>
        </w:rPr>
        <w:t>P1 — harden table stakes so breadth is credible (not just broad):</w:t>
      </w:r>
    </w:p>
    <w:p>
      <w:pPr>
        <w:pStyle w:val="ListBullet"/>
        <w:spacing w:after="40"/>
        <w:ind w:left="432"/>
      </w:pPr>
      <w:r>
        <w:t xml:space="preserve">Contract drift + </w:t>
      </w:r>
      <w:r>
        <w:rPr>
          <w:b/>
        </w:rPr>
        <w:t>bi-directional</w:t>
      </w:r>
      <w:r>
        <w:t xml:space="preserve"> contracts to match Pactflow; make the breaking-change gate CI-native.</w:t>
      </w:r>
    </w:p>
    <w:p>
      <w:pPr>
        <w:pStyle w:val="ListBullet"/>
        <w:spacing w:after="40"/>
        <w:ind w:left="432"/>
      </w:pPr>
      <w:r>
        <w:t>Deterministic record &amp; replay to match Keploy's reliability story.</w:t>
      </w:r>
    </w:p>
    <w:p>
      <w:pPr>
        <w:pStyle w:val="ListBullet"/>
        <w:spacing w:after="40"/>
        <w:ind w:left="432"/>
      </w:pPr>
      <w:r>
        <w:t>Synthetic monitoring tied to the same suite (shift-right) — close the shift-left/right loop.</w:t>
      </w:r>
    </w:p>
    <w:p>
      <w:pPr>
        <w:spacing w:after="120"/>
      </w:pPr>
      <w:r>
        <w:rPr>
          <w:b/>
        </w:rPr>
        <w:t>P2 — lean into the no-lock-in narrative (market tailwind):</w:t>
      </w:r>
    </w:p>
    <w:p>
      <w:pPr>
        <w:pStyle w:val="ListBullet"/>
        <w:spacing w:after="40"/>
        <w:ind w:left="432"/>
      </w:pPr>
      <w:r>
        <w:t>Full-code export + on-prem/air-gapped + data-residency as a first-class selling story vs Postman SaaS-only.</w:t>
      </w:r>
    </w:p>
    <w:p>
      <w:pPr>
        <w:pStyle w:val="ListBullet"/>
        <w:spacing w:after="40"/>
        <w:ind w:left="432"/>
      </w:pPr>
      <w:r>
        <w:t>Governance-as-code + EU AI Act/DORA compliance packs — near-empty white-space, regulatory pull.</w:t>
      </w:r>
    </w:p>
    <w:p>
      <w:pPr>
        <w:spacing w:after="120"/>
      </w:pPr>
      <w:r>
        <w:rPr>
          <w:b/>
        </w:rPr>
        <w:t>Deprioritize as differentiators (keep at parity only):</w:t>
      </w:r>
      <w:r>
        <w:t xml:space="preserve"> standalone AI/NL authoring (commodity), generic performance/load (parity), basic execution/CI (table stakes).</w:t>
      </w:r>
    </w:p>
    <w:p>
      <w:pPr>
        <w:pBdr>
          <w:bottom w:val="single" w:sz="6" w:space="1" w:color="C7BAF5"/>
        </w:pBdr>
      </w:pPr>
    </w:p>
    <w:p>
      <w:r>
        <w:rPr>
          <w:b/>
          <w:color w:val="4C1D95"/>
          <w:sz w:val="30"/>
        </w:rPr>
        <w:t>6. Applied to the product</w:t>
      </w:r>
    </w:p>
    <w:p>
      <w:pPr>
        <w:pStyle w:val="ListBullet"/>
        <w:spacing w:after="40"/>
        <w:ind w:left="432"/>
      </w:pPr>
      <w:r>
        <w:rPr>
          <w:rFonts w:ascii="Consolas" w:hAnsi="Consolas"/>
          <w:sz w:val="19"/>
        </w:rPr>
        <w:t>frontend/src/components/api-studio/ApiToolsLauncher.tsx</w:t>
      </w:r>
      <w:r>
        <w:t xml:space="preserve">: </w:t>
      </w:r>
      <w:r>
        <w:rPr>
          <w:rFonts w:ascii="Consolas" w:hAnsi="Consolas"/>
          <w:sz w:val="19"/>
        </w:rPr>
        <w:t>GROUP_ORDER</w:t>
      </w:r>
      <w:r>
        <w:t xml:space="preserve"> reorders the gallery per §5a (group definitions unchanged — display order only); </w:t>
      </w:r>
      <w:r>
        <w:rPr>
          <w:rFonts w:ascii="Consolas" w:hAnsi="Consolas"/>
          <w:sz w:val="19"/>
        </w:rPr>
        <w:t>DIFFERENTIATORS</w:t>
      </w:r>
      <w:r>
        <w:t xml:space="preserve"> renders an </w:t>
      </w:r>
      <w:r>
        <w:rPr>
          <w:b/>
        </w:rPr>
        <w:t>EDGE</w:t>
      </w:r>
      <w:r>
        <w:t xml:space="preserve"> badge on the §5b white-space tools. No tool behaviour changed.</w:t>
      </w:r>
    </w:p>
    <w:p>
      <w:pPr>
        <w:pStyle w:val="ListBullet"/>
        <w:spacing w:after="40"/>
        <w:ind w:left="432"/>
      </w:pPr>
      <w:r>
        <w:t>Positioning should now read, top-to-bottom, the way this analysis ranks us: differentiation first, table stakes last.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qyrus.com/?p=20828" TargetMode="External"/><Relationship Id="rId10" Type="http://schemas.openxmlformats.org/officeDocument/2006/relationships/hyperlink" Target="https://www.testsprite.com/use-cases/en/the-best-api-testing-automation-tools" TargetMode="External"/><Relationship Id="rId11" Type="http://schemas.openxmlformats.org/officeDocument/2006/relationships/hyperlink" Target="https://www.businesswire.com/news/home/20250604664643/en" TargetMode="External"/><Relationship Id="rId12" Type="http://schemas.openxmlformats.org/officeDocument/2006/relationships/hyperlink" Target="https://pactflow.io/blog/tag/open-api-specification/" TargetMode="External"/><Relationship Id="rId13" Type="http://schemas.openxmlformats.org/officeDocument/2006/relationships/hyperlink" Target="https://forums.parasoft.com/discussion/6131/soatest-virtualize-ctp-2026-1-product-release-announcement" TargetMode="External"/><Relationship Id="rId14" Type="http://schemas.openxmlformats.org/officeDocument/2006/relationships/hyperlink" Target="https://www.akto.io/api-security-testing" TargetMode="External"/><Relationship Id="rId15" Type="http://schemas.openxmlformats.org/officeDocument/2006/relationships/hyperlink" Target="https://www.stackhawk.com/blog/api-security-testing-tools/" TargetMode="External"/><Relationship Id="rId16" Type="http://schemas.openxmlformats.org/officeDocument/2006/relationships/hyperlink" Target="https://keploy.io/docs/concepts/what-is-keploy.md" TargetMode="External"/><Relationship Id="rId17" Type="http://schemas.openxmlformats.org/officeDocument/2006/relationships/hyperlink" Target="https://www.youngju.dev/blog/culture/2026-05-25-api-contract-testing-pact-bruno-hoppscotch-msw-karate-schemathesis-2026-deep-dive" TargetMode="External"/><Relationship Id="rId18" Type="http://schemas.openxmlformats.org/officeDocument/2006/relationships/hyperlink" Target="https://images.g2crowd.com/uploads/attachment/file/1718383/KushoAI---State-of-Agentic-API-Testing-2026.pdf" TargetMode="External"/><Relationship Id="rId19" Type="http://schemas.openxmlformats.org/officeDocument/2006/relationships/hyperlink" Target="https://qodex.ai/qodex-vs-momentic" TargetMode="External"/><Relationship Id="rId20" Type="http://schemas.openxmlformats.org/officeDocument/2006/relationships/hyperlink" Target="https://datadoghq.com/blog/api-test-coverage-monitoring-datadog-synthe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