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i w:val="false"/>
          <w:iCs w:val="false"/>
          <w:color w:val="7C3AED"/>
          <w:sz w:val="40"/>
          <w:szCs w:val="40"/>
          <w:rFonts w:ascii="Calibri" w:cs="Calibri" w:eastAsia="Calibri" w:hAnsi="Calibri"/>
        </w:rPr>
        <w:t xml:space="preserve">API Automation</w:t>
      </w:r>
    </w:p>
    <w:p>
      <w:pPr>
        <w:spacing w:after="60"/>
      </w:pPr>
      <w:r>
        <w:rPr>
          <w:b/>
          <w:bCs/>
          <w:i w:val="false"/>
          <w:iCs w:val="false"/>
          <w:color w:val="1E1B4B"/>
          <w:sz w:val="26"/>
          <w:szCs w:val="26"/>
          <w:rFonts w:ascii="Calibri" w:cs="Calibri" w:eastAsia="Calibri" w:hAnsi="Calibri"/>
        </w:rPr>
        <w:t xml:space="preserve">Rebuilt Feature List — from ranked competitor analysis + gap analysis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6B7280"/>
          <w:sz w:val="18"/>
          <w:szCs w:val="18"/>
          <w:rFonts w:ascii="Calibri" w:cs="Calibri" w:eastAsia="Calibri" w:hAnsi="Calibri"/>
        </w:rPr>
        <w:t xml:space="preserve">October 2026  ·  </w:t>
      </w:r>
      <w:r>
        <w:rPr>
          <w:b w:val="false"/>
          <w:bCs w:val="false"/>
          <w:i w:val="false"/>
          <w:iCs w:val="false"/>
          <w:color w:val="6B7280"/>
          <w:sz w:val="18"/>
          <w:szCs w:val="18"/>
          <w:rFonts w:ascii="Calibri" w:cs="Calibri" w:eastAsia="Calibri" w:hAnsi="Calibri"/>
        </w:rPr>
        <w:t xml:space="preserve">88 tools across 8 capability groups  ·  24 tagged EDGE (competitive white-space)</w:t>
      </w:r>
    </w:p>
    <w:p>
      <w:pPr>
        <w:spacing w:before="120" w:after="60"/>
      </w:pPr>
      <w:r>
        <w:rPr>
          <w:b/>
          <w:bCs/>
          <w:i w:val="false"/>
          <w:iCs w:val="false"/>
          <w:color w:val="1E1B4B"/>
          <w:sz w:val="24"/>
          <w:szCs w:val="24"/>
          <w:rFonts w:ascii="Calibri" w:cs="Calibri" w:eastAsia="Calibri" w:hAnsi="Calibri"/>
        </w:rPr>
        <w:t xml:space="preserve">How this list was rebuilt</w:t>
      </w:r>
    </w:p>
    <w:p>
      <w:pPr>
        <w:spacing w:before="0" w:after="100"/>
      </w:pPr>
      <w:r>
        <w:rPr>
          <w:b w:val="false"/>
          <w:bCs w:val="false"/>
          <w:i w:val="false"/>
          <w:iCs w:val="false"/>
          <w:color w:val="374151"/>
          <w:sz w:val="20"/>
          <w:szCs w:val="20"/>
          <w:rFonts w:ascii="Calibri" w:cs="Calibri" w:eastAsia="Calibri" w:hAnsi="Calibri"/>
        </w:rPr>
        <w:t xml:space="preserve">Fresh 2026 web research ranked 14 competitors across three camps — API dev/test platforms (Postman, SmartBear, Katalon), enterprise test suites (Tricentis, Parasoft, ACCELQ) and AI-native / security specialists (Akto, APIsec, StackHawk, Keploy, KushoAI). A capability-coverage matrix mapped each rival against our eight areas. The headline finding: no competitor is strong across all eight. That gap analysis drives the group order below — differentiation first, table stakes last.</w:t>
      </w:r>
    </w:p>
    <w:p>
      <w:pPr>
        <w:spacing w:before="0" w:after="160"/>
      </w:pPr>
      <w:r>
        <w:rPr>
          <w:b/>
          <w:bCs/>
          <w:i w:val="false"/>
          <w:iCs w:val="false"/>
          <w:color w:val="1E1B4B"/>
          <w:sz w:val="19"/>
          <w:szCs w:val="19"/>
          <w:rFonts w:ascii="Calibri" w:cs="Calibri" w:eastAsia="Calibri" w:hAnsi="Calibri"/>
        </w:rPr>
        <w:t xml:space="preserve">Type key:  </w:t>
      </w:r>
      <w:r>
        <w:rPr>
          <w:b/>
          <w:bCs/>
          <w:i w:val="false"/>
          <w:iCs w:val="false"/>
          <w:color w:val="B91C1C"/>
          <w:sz w:val="19"/>
          <w:szCs w:val="19"/>
          <w:rFonts w:ascii="Calibri" w:cs="Calibri" w:eastAsia="Calibri" w:hAnsi="Calibri"/>
        </w:rPr>
        <w:t xml:space="preserve">EDGE</w:t>
      </w:r>
      <w:r>
        <w:rPr>
          <w:b w:val="false"/>
          <w:bCs w:val="false"/>
          <w:i w:val="false"/>
          <w:iCs w:val="false"/>
          <w:color w:val="374151"/>
          <w:sz w:val="19"/>
          <w:szCs w:val="19"/>
          <w:rFonts w:ascii="Calibri" w:cs="Calibri" w:eastAsia="Calibri" w:hAnsi="Calibri"/>
        </w:rPr>
        <w:t xml:space="preserve"> = competitive white-space (few or no rivals cover it, or only standalone point-tools do while we offer it inside one platform).   </w:t>
      </w:r>
      <w:r>
        <w:rPr>
          <w:b/>
          <w:bCs/>
          <w:i w:val="false"/>
          <w:iCs w:val="false"/>
          <w:color w:val="6B7280"/>
          <w:sz w:val="19"/>
          <w:szCs w:val="19"/>
          <w:rFonts w:ascii="Calibri" w:cs="Calibri" w:eastAsia="Calibri" w:hAnsi="Calibri"/>
        </w:rPr>
        <w:t xml:space="preserve">Core</w:t>
      </w:r>
      <w:r>
        <w:rPr>
          <w:b w:val="false"/>
          <w:bCs w:val="false"/>
          <w:i w:val="false"/>
          <w:iCs w:val="false"/>
          <w:color w:val="374151"/>
          <w:sz w:val="19"/>
          <w:szCs w:val="19"/>
          <w:rFonts w:ascii="Calibri" w:cs="Calibri" w:eastAsia="Calibri" w:hAnsi="Calibri"/>
        </w:rPr>
        <w:t xml:space="preserve"> = table-stakes / parity capability that keeps the breadth credible.</w:t>
      </w:r>
    </w:p>
    <w:p>
      <w:pPr>
        <w:spacing w:before="80" w:after="100"/>
      </w:pPr>
      <w:r>
        <w:rPr>
          <w:b/>
          <w:bCs/>
          <w:i w:val="false"/>
          <w:iCs w:val="false"/>
          <w:color w:val="1E1B4B"/>
          <w:sz w:val="24"/>
          <w:szCs w:val="24"/>
          <w:rFonts w:ascii="Calibri" w:cs="Calibri" w:eastAsia="Calibri" w:hAnsi="Calibri"/>
        </w:rPr>
        <w:t xml:space="preserve">Capability groups in rebuilt priority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1100"/>
        <w:gridCol w:w="4160"/>
      </w:tblGrid>
      <w:tr>
        <w:trPr>
          <w:tblHeader/>
        </w:trPr>
        <w:tc>
          <w:tcPr>
            <w:tcW w:type="dxa" w:w="9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4C1D9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Rank</w:t>
            </w:r>
          </w:p>
        </w:tc>
        <w:tc>
          <w:tcPr>
            <w:tcW w:type="dxa" w:w="32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4C1D9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Capability group</w:t>
            </w:r>
          </w:p>
        </w:tc>
        <w:tc>
          <w:tcPr>
            <w:tcW w:type="dxa" w:w="11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4C1D9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Tools</w:t>
            </w:r>
          </w:p>
        </w:tc>
        <w:tc>
          <w:tcPr>
            <w:tcW w:type="dxa" w:w="41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4C1D9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Why it ranks here</w:t>
            </w:r>
          </w:p>
        </w:tc>
      </w:tr>
      <w:tr>
        <w:tc>
          <w:tcPr>
            <w:tcW w:type="dxa" w:w="9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7C3AED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2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Generate &amp; author</w:t>
            </w:r>
          </w:p>
        </w:tc>
        <w:tc>
          <w:tcPr>
            <w:tcW w:type="dxa" w:w="11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14</w:t>
            </w:r>
          </w:p>
        </w:tc>
        <w:tc>
          <w:tcPr>
            <w:tcW w:type="dxa" w:w="41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  <w:rFonts w:ascii="Calibri" w:cs="Calibri" w:eastAsia="Calibri" w:hAnsi="Calibri"/>
              </w:rPr>
              <w:t xml:space="preserve">Agentic authoring is the 2026 narrative; our autopilot/self-heal is the lead.</w:t>
            </w:r>
          </w:p>
        </w:tc>
      </w:tr>
      <w:tr>
        <w:tc>
          <w:tcPr>
            <w:tcW w:type="dxa" w:w="9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7C3AED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2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Security &amp; authorization</w:t>
            </w:r>
          </w:p>
        </w:tc>
        <w:tc>
          <w:tcPr>
            <w:tcW w:type="dxa" w:w="11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12</w:t>
            </w:r>
          </w:p>
        </w:tc>
        <w:tc>
          <w:tcPr>
            <w:tcW w:type="dxa" w:w="41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  <w:rFonts w:ascii="Calibri" w:cs="Calibri" w:eastAsia="Calibri" w:hAnsi="Calibri"/>
              </w:rPr>
              <w:t xml:space="preserve">BOLA/BFLA depth inside a QA platform = white-space + security-shift-left.</w:t>
            </w:r>
          </w:p>
        </w:tc>
      </w:tr>
      <w:tr>
        <w:tc>
          <w:tcPr>
            <w:tcW w:type="dxa" w:w="9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7C3AED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2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Protocols, data &amp; AI</w:t>
            </w:r>
          </w:p>
        </w:tc>
        <w:tc>
          <w:tcPr>
            <w:tcW w:type="dxa" w:w="11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13</w:t>
            </w:r>
          </w:p>
        </w:tc>
        <w:tc>
          <w:tcPr>
            <w:tcW w:type="dxa" w:w="41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  <w:rFonts w:ascii="Calibri" w:cs="Calibri" w:eastAsia="Calibri" w:hAnsi="Calibri"/>
              </w:rPr>
              <w:t xml:space="preserve">LLM/MCP testing + security combined is our top white-space.</w:t>
            </w:r>
          </w:p>
        </w:tc>
      </w:tr>
      <w:tr>
        <w:tc>
          <w:tcPr>
            <w:tcW w:type="dxa" w:w="9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7C3AED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32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Coverage &amp; intelligence</w:t>
            </w:r>
          </w:p>
        </w:tc>
        <w:tc>
          <w:tcPr>
            <w:tcW w:type="dxa" w:w="11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41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  <w:rFonts w:ascii="Calibri" w:cs="Calibri" w:eastAsia="Calibri" w:hAnsi="Calibri"/>
              </w:rPr>
              <w:t xml:space="preserve">Self-healing + change impact are real differentiators.</w:t>
            </w:r>
          </w:p>
        </w:tc>
      </w:tr>
      <w:tr>
        <w:tc>
          <w:tcPr>
            <w:tcW w:type="dxa" w:w="9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7C3AED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32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Contracts &amp; virtualization</w:t>
            </w:r>
          </w:p>
        </w:tc>
        <w:tc>
          <w:tcPr>
            <w:tcW w:type="dxa" w:w="11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41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  <w:rFonts w:ascii="Calibri" w:cs="Calibri" w:eastAsia="Calibri" w:hAnsi="Calibri"/>
              </w:rPr>
              <w:t xml:space="preserve">Spec-diff gate, record &amp; replay, virtualization — edge + table stakes.</w:t>
            </w:r>
          </w:p>
        </w:tc>
      </w:tr>
      <w:tr>
        <w:tc>
          <w:tcPr>
            <w:tcW w:type="dxa" w:w="9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7C3AED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32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Performance &amp; resilience</w:t>
            </w:r>
          </w:p>
        </w:tc>
        <w:tc>
          <w:tcPr>
            <w:tcW w:type="dxa" w:w="11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41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  <w:rFonts w:ascii="Calibri" w:cs="Calibri" w:eastAsia="Calibri" w:hAnsi="Calibri"/>
              </w:rPr>
              <w:t xml:space="preserve">Solid parity with incumbents; not a differentiator.</w:t>
            </w:r>
          </w:p>
        </w:tc>
      </w:tr>
      <w:tr>
        <w:tc>
          <w:tcPr>
            <w:tcW w:type="dxa" w:w="9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7C3AED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32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Governance &amp; compliance</w:t>
            </w:r>
          </w:p>
        </w:tc>
        <w:tc>
          <w:tcPr>
            <w:tcW w:type="dxa" w:w="11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41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  <w:rFonts w:ascii="Calibri" w:cs="Calibri" w:eastAsia="Calibri" w:hAnsi="Calibri"/>
              </w:rPr>
              <w:t xml:space="preserve">Governance-as-code + regulatory packs (EU AI Act/DORA) = white-space.</w:t>
            </w:r>
          </w:p>
        </w:tc>
      </w:tr>
      <w:tr>
        <w:tc>
          <w:tcPr>
            <w:tcW w:type="dxa" w:w="9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7C3AED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2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Execution, CI &amp; lifecycle</w:t>
            </w:r>
          </w:p>
        </w:tc>
        <w:tc>
          <w:tcPr>
            <w:tcW w:type="dxa" w:w="11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19</w:t>
            </w:r>
          </w:p>
        </w:tc>
        <w:tc>
          <w:tcPr>
            <w:tcW w:type="dxa" w:w="41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  <w:rFonts w:ascii="Calibri" w:cs="Calibri" w:eastAsia="Calibri" w:hAnsi="Calibri"/>
              </w:rPr>
              <w:t xml:space="preserve">Necessary table stakes everyone ships — closes the list.</w:t>
            </w:r>
          </w:p>
        </w:tc>
      </w:tr>
    </w:tbl>
    <w:p>
      <w:r>
        <w:br w:type="page"/>
      </w:r>
    </w:p>
    <w:p>
      <w:pPr>
        <w:spacing w:after="100"/>
      </w:pPr>
      <w:r>
        <w:rPr>
          <w:b/>
          <w:bCs/>
          <w:i w:val="false"/>
          <w:iCs w:val="false"/>
          <w:color w:val="1E1B4B"/>
          <w:sz w:val="24"/>
          <w:szCs w:val="24"/>
          <w:rFonts w:ascii="Calibri" w:cs="Calibri" w:eastAsia="Calibri" w:hAnsi="Calibri"/>
        </w:rPr>
        <w:t xml:space="preserve">Full feature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4C1D9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4C1D9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4C1D9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Type</w:t>
            </w:r>
          </w:p>
        </w:tc>
      </w:tr>
      <w:tr>
        <w:tc>
          <w:tcPr>
            <w:tcW w:type="dxa" w:w="9360"/>
            <w:gridSpan w:val="3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EDE9F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7C3AED"/>
                <w:sz w:val="22"/>
                <w:szCs w:val="22"/>
                <w:rFonts w:ascii="Calibri" w:cs="Calibri" w:eastAsia="Calibri" w:hAnsi="Calibri"/>
              </w:rPr>
              <w:t xml:space="preserve">1. Generate &amp; author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   ·   14 tools</w:t>
            </w:r>
          </w:p>
          <w:p>
            <w:pPr>
              <w:spacing w:before="0" w:after="0"/>
            </w:pPr>
            <w:r>
              <w:rPr>
                <w:b w:val="false"/>
                <w:bCs w:val="false"/>
                <w:i/>
                <w:iCs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Agentic authoring is the 2026 narrative; our autopilot/self-heal is the lead.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AI coworker (Atto)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Chat + autonomy across the lifecycle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Autopilot (autonomous loop)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Discover → generate → run → heal → reviewed PR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Story-driven generation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Jira story / PRD → a test plan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Multimodal inputs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Screenshot / Figma / recording → a plan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Author in plain English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Describe tests → a run strategy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Chat-to-test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Refine a test in plain English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Coverage-guided generation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Probe branches → generate toward the gaps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Stateful / white-box generation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Producer → consumer CRUD sequences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Model-based generation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Learn the state machine → long business sequences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Synthetic data factory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Realistic, seeded test data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Flow builder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Assemble a multi-step journey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Step groups library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Reusable login / token / teardown sequences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Unified cross-layer test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One test: API + DB + UI steps, shared vars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Autonomous maintenance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Drift + gaps → a changeset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9360"/>
            <w:gridSpan w:val="3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EDE9F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7C3AED"/>
                <w:sz w:val="22"/>
                <w:szCs w:val="22"/>
                <w:rFonts w:ascii="Calibri" w:cs="Calibri" w:eastAsia="Calibri" w:hAnsi="Calibri"/>
              </w:rPr>
              <w:t xml:space="preserve">2. Security &amp; authorization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   ·   12 tools</w:t>
            </w:r>
          </w:p>
          <w:p>
            <w:pPr>
              <w:spacing w:before="0" w:after="0"/>
            </w:pPr>
            <w:r>
              <w:rPr>
                <w:b w:val="false"/>
                <w:bCs w:val="false"/>
                <w:i/>
                <w:iCs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BOLA/BFLA depth inside a QA platform = white-space + security-shift-left.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Security scan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Broken auth, injection, headers, CORS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OWASP API Top-10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Compliance posture across the 2023 categories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Fuzz / property test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Boundary &amp; malformed inputs → crashes, leaks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Sequence fuzzing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Stateful CRUD-chain fuzzing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Authorization (BOLA/BFLA)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Multi-role cross-user &amp; privileged access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Deep authorization &amp; data exposure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Multi-role excessive-data, mass-assignment, more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Assertion strength (mutation)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Grade assertions against a live response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Semantic assertion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Judge AI responses by intent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Data classification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PII/secrets + shadow APIs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OpenAPI security audit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42Crunch-style spec scoring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OAuth &amp; secrets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OAuth2 tokens · Vault/AWS/Azure/GCP secrets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Access control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RBAC · SSO (OIDC) · SCIM provisioning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9360"/>
            <w:gridSpan w:val="3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EDE9F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7C3AED"/>
                <w:sz w:val="22"/>
                <w:szCs w:val="22"/>
                <w:rFonts w:ascii="Calibri" w:cs="Calibri" w:eastAsia="Calibri" w:hAnsi="Calibri"/>
              </w:rPr>
              <w:t xml:space="preserve">3. Protocols, data &amp; AI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   ·   13 tools</w:t>
            </w:r>
          </w:p>
          <w:p>
            <w:pPr>
              <w:spacing w:before="0" w:after="0"/>
            </w:pPr>
            <w:r>
              <w:rPr>
                <w:b w:val="false"/>
                <w:bCs w:val="false"/>
                <w:i/>
                <w:iCs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LLM/MCP testing + security combined is our top white-space.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Async &amp; streaming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Test WebSocket and SSE endpoints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Events &amp; gRPC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Kafka topics and gRPC services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Callback verification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Capture &amp; assert async webhooks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Data-driven testing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Run one endpoint over a data table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Test data profiles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Named datasets → run a flow per row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Database validation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Read-only SELECT assertions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Traffic capture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Record real API calls → endpoints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Browser recorder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Record traffic from DevTools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Trace correlation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Assert spans in Jaeger / Zipkin / Tempo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LLM providers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OpenAI, Azure, Gemini or compatible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MCP server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Expose IntelliQE tools to AI agents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AI / LLM &amp; MCP testing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Quality eval · LLM Top-10 · MCP security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LLM eval harness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Promptfoo-style scoring · LLM judge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9360"/>
            <w:gridSpan w:val="3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EDE9F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7C3AED"/>
                <w:sz w:val="22"/>
                <w:szCs w:val="22"/>
                <w:rFonts w:ascii="Calibri" w:cs="Calibri" w:eastAsia="Calibri" w:hAnsi="Calibri"/>
              </w:rPr>
              <w:t xml:space="preserve">4. Coverage &amp; intelligence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   ·   7 tools</w:t>
            </w:r>
          </w:p>
          <w:p>
            <w:pPr>
              <w:spacing w:before="0" w:after="0"/>
            </w:pPr>
            <w:r>
              <w:rPr>
                <w:b w:val="false"/>
                <w:bCs w:val="false"/>
                <w:i/>
                <w:iCs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Self-healing + change impact are real differentiators.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Test coverage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Which endpoints are tested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Traffic coverage gaps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Untested endpoints from real traffic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Test intelligence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Flaky detection, quarantine, change impact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Change impact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History- &amp; flow-aware test selection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Suite optimizer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Risk priority + redundancy pruning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Semantic self-healing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Intent-aware fixes for failing tests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Data-correctness verify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Assert a write propagated across services/DBs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9360"/>
            <w:gridSpan w:val="3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EDE9F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7C3AED"/>
                <w:sz w:val="22"/>
                <w:szCs w:val="22"/>
                <w:rFonts w:ascii="Calibri" w:cs="Calibri" w:eastAsia="Calibri" w:hAnsi="Calibri"/>
              </w:rPr>
              <w:t xml:space="preserve">5. Contracts &amp; virtualization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   ·   10 tools</w:t>
            </w:r>
          </w:p>
          <w:p>
            <w:pPr>
              <w:spacing w:before="0" w:after="0"/>
            </w:pPr>
            <w:r>
              <w:rPr>
                <w:b w:val="false"/>
                <w:bCs w:val="false"/>
                <w:i/>
                <w:iCs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Spec-diff gate, record &amp; replay, virtualization — edge + table stakes.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Contract validation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Live-check status, JSON &amp; schema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Contract drift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Adopt live changes into the catalogue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Regression baselines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Snapshot responses &amp; diff for drift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Breaking-change gate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Diff two OpenAPI specs → go / no-go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Record &amp; replay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Deterministic, zero-cost regression replay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Pact broker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Consumer-driven contracts &amp; verification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AsyncAPI contracts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Event channels &amp; message validation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Service virtualization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Stateful, fault-injecting virtual deps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Hosted mock server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Publish endpoints as a live stub URL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Contract proxy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Validate live traffic · simulate deps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9360"/>
            <w:gridSpan w:val="3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EDE9F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7C3AED"/>
                <w:sz w:val="22"/>
                <w:szCs w:val="22"/>
                <w:rFonts w:ascii="Calibri" w:cs="Calibri" w:eastAsia="Calibri" w:hAnsi="Calibri"/>
              </w:rPr>
              <w:t xml:space="preserve">6. Performance &amp; resilience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   ·   6 tools</w:t>
            </w:r>
          </w:p>
          <w:p>
            <w:pPr>
              <w:spacing w:before="0" w:after="0"/>
            </w:pPr>
            <w:r>
              <w:rPr>
                <w:b w:val="false"/>
                <w:bCs w:val="false"/>
                <w:i/>
                <w:iCs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Solid parity with incumbents; not a differentiator.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Load test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Latency, throughput, status mix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Load profile &amp; SLA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Ramp-up stages, p95/error gate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Geo / distributed load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Multi-region load + SLA gate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Distributed cloud load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Fan out to remote agents + SLA gate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Distributed load ramp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Staged high-RPS across registered agents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Chaos / resilience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Fault injection → graceful-degradation grade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9360"/>
            <w:gridSpan w:val="3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EDE9F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7C3AED"/>
                <w:sz w:val="22"/>
                <w:szCs w:val="22"/>
                <w:rFonts w:ascii="Calibri" w:cs="Calibri" w:eastAsia="Calibri" w:hAnsi="Calibri"/>
              </w:rPr>
              <w:t xml:space="preserve">7. Governance &amp; compliance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   ·   7 tools</w:t>
            </w:r>
          </w:p>
          <w:p>
            <w:pPr>
              <w:spacing w:before="0" w:after="0"/>
            </w:pPr>
            <w:r>
              <w:rPr>
                <w:b w:val="false"/>
                <w:bCs w:val="false"/>
                <w:i/>
                <w:iCs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Governance-as-code + regulatory packs (EU AI Act/DORA) = white-space.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API governance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Spectral-style rulesets · CI gate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Governance lint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API design smells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Compliance packs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PCI · HIPAA · GDPR · PSD2 posture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AI-era compliance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EU AI Act · DORA posture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AI cost / FinOps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Estimate &amp; cap token spend per run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On-prem / air-gapped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Self-host + data-residency policy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Full-code &amp; Monitoring-as-Code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Owned code · local-first · no lock-in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9360"/>
            <w:gridSpan w:val="3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EDE9F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7C3AED"/>
                <w:sz w:val="22"/>
                <w:szCs w:val="22"/>
                <w:rFonts w:ascii="Calibri" w:cs="Calibri" w:eastAsia="Calibri" w:hAnsi="Calibri"/>
              </w:rPr>
              <w:t xml:space="preserve">8. Execution, CI &amp; lifecycle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   ·   19 tools</w:t>
            </w:r>
          </w:p>
          <w:p>
            <w:pPr>
              <w:spacing w:before="0" w:after="0"/>
            </w:pPr>
            <w:r>
              <w:rPr>
                <w:b w:val="false"/>
                <w:bCs w:val="false"/>
                <w:i/>
                <w:iCs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Necessary table stakes everyone ships — closes the list.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Schedules &amp; webhooks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Recurring runs and Slack/Teams alerts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CI / GitHub Action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Trigger &amp; gate runs from your pipeline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Release gate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Score a run → go / no-go to deploy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Parallel run queue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Queue runs across concurrency slots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Cloud browser lab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Run UI checks on hosted browsers · matrix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API + UI hybrid test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Seed via API → verify in UI → cleanup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Monitoring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Always-on health / drift / coverage watcher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Public status page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Shareable uptime + SLO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Failure → fix workflow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Cluster → heal → PR, one guided flow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/>
                <w:bCs/>
                <w:i w:val="false"/>
                <w:iCs w:val="false"/>
                <w:color w:val="B91C1C"/>
                <w:sz w:val="18"/>
                <w:szCs w:val="18"/>
                <w:rFonts w:ascii="Calibri" w:cs="Calibri" w:eastAsia="Calibri" w:hAnsi="Calibri"/>
              </w:rPr>
              <w:t xml:space="preserve">EDGE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Bug report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Tracker-ready report from a failure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Remediation PR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Open a GitHub/GitLab PR with a changeset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Git-synced tests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Push / pull the catalogue as test-as-code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Evidence export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Compliance evidence → PDF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Audit log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Filter &amp; export recorded actions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Traceability matrix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Requirement → case → defect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Test management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Suites · plans · cycles · assignments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TM connectors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TestRail · Xray · Zephyr · qTest export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Approvals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Multi-stage release gating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5F3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  <w:tr>
        <w:tc>
          <w:tcPr>
            <w:tcW w:type="dxa" w:w="30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/>
                <w:bCs/>
                <w:i w:val="false"/>
                <w:iCs w:val="false"/>
                <w:color w:val="1E1B4B"/>
                <w:sz w:val="19"/>
                <w:szCs w:val="19"/>
                <w:rFonts w:ascii="Calibri" w:cs="Calibri" w:eastAsia="Calibri" w:hAnsi="Calibri"/>
              </w:rPr>
              <w:t xml:space="preserve">Collaboration</w:t>
            </w:r>
          </w:p>
        </w:tc>
        <w:tc>
          <w:tcPr>
            <w:tcW w:type="dxa" w:w="456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</w:pPr>
            <w:r>
              <w:rPr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  <w:rFonts w:ascii="Calibri" w:cs="Calibri" w:eastAsia="Calibri" w:hAnsi="Calibri"/>
              </w:rPr>
              <w:t xml:space="preserve">Comments &amp; version history</w:t>
            </w:r>
          </w:p>
        </w:tc>
        <w:tc>
          <w:tcPr>
            <w:tcW w:type="dxa" w:w="1800"/>
            <w:tcBorders>
              <w:top w:val="single" w:color="D1C7F0" w:sz="4"/>
              <w:left w:val="single" w:color="D1C7F0" w:sz="4"/>
              <w:bottom w:val="single" w:color="D1C7F0" w:sz="4"/>
              <w:right w:val="single" w:color="D1C7F0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before="0" w:after="4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8"/>
                <w:szCs w:val="18"/>
                <w:rFonts w:ascii="Calibri" w:cs="Calibri" w:eastAsia="Calibri" w:hAnsi="Calibri"/>
              </w:rPr>
              <w:t xml:space="preserve">Core</w:t>
            </w:r>
          </w:p>
        </w:tc>
      </w:tr>
    </w:tbl>
    <w:p>
      <w:pPr>
        <w:spacing w:before="200"/>
      </w:pPr>
      <w:r>
        <w:rPr>
          <w:b w:val="false"/>
          <w:bCs w:val="false"/>
          <w:i/>
          <w:iCs/>
          <w:color w:val="6B7280"/>
          <w:sz w:val="16"/>
          <w:szCs w:val="16"/>
          <w:rFonts w:ascii="Calibri" w:cs="Calibri" w:eastAsia="Calibri" w:hAnsi="Calibri"/>
        </w:rPr>
        <w:t xml:space="preserve">Source: docs/api-automation-competitor-gap-analysis.md. Reprioritization is applied in the product gallery (GROUP_ORDER + EDGE badges in ApiToolsLauncher.tsx). Autonomy / coverage claims in source material are directional vendor marketing, not benchmarks.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E1B4B"/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2026-10-15T13:46:13.074Z</dcterms:created>
  <dcterms:modified xsi:type="dcterms:W3CDTF">2026-10-15T13:46:13.075Z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