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Graphics API Terminology Cheat Sheet</w:t>
      </w:r>
    </w:p>
    <w:p>
      <w:pPr>
        <w:jc w:val="center"/>
      </w:pPr>
      <w:r>
        <w:rPr>
          <w:i/>
          <w:sz w:val="22"/>
        </w:rPr>
        <w:t>Vulkan &lt;-&gt; D3D12 &lt;-&gt; Metal</w:t>
      </w:r>
    </w:p>
    <w:p>
      <w:r>
        <w:rPr>
          <w:b/>
        </w:rPr>
        <w:t xml:space="preserve">Purpose: </w:t>
      </w:r>
      <w:r>
        <w:t>Quick translation map for common render-pipeline and resource-binding terms across the three APIs.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88"/>
            <w:shd w:fill="D9EAF7"/>
          </w:tcPr>
          <w:p>
            <w:pPr>
              <w:spacing w:after="0" w:line="240" w:lineRule="auto"/>
            </w:pPr>
            <w:r/>
            <w:r>
              <w:rPr>
                <w:b/>
                <w:sz w:val="19"/>
              </w:rPr>
              <w:t>Concept</w:t>
            </w:r>
          </w:p>
        </w:tc>
        <w:tc>
          <w:tcPr>
            <w:tcW w:type="dxa" w:w="1800"/>
            <w:shd w:fill="D9EAF7"/>
          </w:tcPr>
          <w:p>
            <w:pPr>
              <w:spacing w:after="0" w:line="240" w:lineRule="auto"/>
            </w:pPr>
            <w:r/>
            <w:r>
              <w:rPr>
                <w:b/>
                <w:sz w:val="19"/>
              </w:rPr>
              <w:t>Vulkan</w:t>
            </w:r>
          </w:p>
        </w:tc>
        <w:tc>
          <w:tcPr>
            <w:tcW w:type="dxa" w:w="1872"/>
            <w:shd w:fill="D9EAF7"/>
          </w:tcPr>
          <w:p>
            <w:pPr>
              <w:spacing w:after="0" w:line="240" w:lineRule="auto"/>
            </w:pPr>
            <w:r/>
            <w:r>
              <w:rPr>
                <w:b/>
                <w:sz w:val="19"/>
              </w:rPr>
              <w:t>D3D12</w:t>
            </w:r>
          </w:p>
        </w:tc>
        <w:tc>
          <w:tcPr>
            <w:tcW w:type="dxa" w:w="2664"/>
            <w:shd w:fill="D9EAF7"/>
          </w:tcPr>
          <w:p>
            <w:pPr>
              <w:spacing w:after="0" w:line="240" w:lineRule="auto"/>
            </w:pPr>
            <w:r/>
            <w:r>
              <w:rPr>
                <w:b/>
                <w:sz w:val="19"/>
              </w:rPr>
              <w:t>Metal</w:t>
            </w:r>
          </w:p>
        </w:tc>
        <w:tc>
          <w:tcPr>
            <w:tcW w:type="dxa" w:w="3528"/>
            <w:shd w:fill="D9EAF7"/>
          </w:tcPr>
          <w:p>
            <w:pPr>
              <w:spacing w:after="0" w:line="240" w:lineRule="auto"/>
            </w:pPr>
            <w:r/>
            <w:r>
              <w:rPr>
                <w:b/>
                <w:sz w:val="19"/>
              </w:rPr>
              <w:t>Notes</w:t>
            </w:r>
          </w:p>
        </w:tc>
      </w:tr>
      <w:tr>
        <w:tc>
          <w:tcPr>
            <w:tcW w:type="dxa" w:w="2088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  <w:t>Small CPU-set shader values</w:t>
            </w:r>
          </w:p>
        </w:tc>
        <w:tc>
          <w:tcPr>
            <w:tcW w:type="dxa" w:w="1800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  <w:t>Push constants</w:t>
            </w:r>
          </w:p>
        </w:tc>
        <w:tc>
          <w:tcPr>
            <w:tcW w:type="dxa" w:w="1872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  <w:t>Root constants</w:t>
            </w:r>
          </w:p>
        </w:tc>
        <w:tc>
          <w:tcPr>
            <w:tcW w:type="dxa" w:w="2664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  <w:t>Inline constant data via set*Bytes or a small buffer binding</w:t>
            </w:r>
          </w:p>
        </w:tc>
        <w:tc>
          <w:tcPr>
            <w:tcW w:type="dxa" w:w="3528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  <w:t>Closest cross-API alias: inline constants. Metal has no exact push-constant feature by name.</w:t>
            </w:r>
          </w:p>
        </w:tc>
      </w:tr>
      <w:tr>
        <w:tc>
          <w:tcPr>
            <w:tcW w:type="dxa" w:w="2088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  <w:t>Pipeline layout / binding schema</w:t>
            </w:r>
          </w:p>
        </w:tc>
        <w:tc>
          <w:tcPr>
            <w:tcW w:type="dxa" w:w="1800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  <w:t>Pipeline layout</w:t>
            </w:r>
          </w:p>
        </w:tc>
        <w:tc>
          <w:tcPr>
            <w:tcW w:type="dxa" w:w="1872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  <w:t>Root signature</w:t>
            </w:r>
          </w:p>
        </w:tc>
        <w:tc>
          <w:tcPr>
            <w:tcW w:type="dxa" w:w="2664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  <w:t>Argument table / resource layout implied by function args or argument buffers</w:t>
            </w:r>
          </w:p>
        </w:tc>
        <w:tc>
          <w:tcPr>
            <w:tcW w:type="dxa" w:w="3528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  <w:t>Defines how shader resources are organized and exposed.</w:t>
            </w:r>
          </w:p>
        </w:tc>
      </w:tr>
      <w:tr>
        <w:tc>
          <w:tcPr>
            <w:tcW w:type="dxa" w:w="2088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  <w:t>Resource group binding</w:t>
            </w:r>
          </w:p>
        </w:tc>
        <w:tc>
          <w:tcPr>
            <w:tcW w:type="dxa" w:w="1800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  <w:t>Descriptor set</w:t>
            </w:r>
          </w:p>
        </w:tc>
        <w:tc>
          <w:tcPr>
            <w:tcW w:type="dxa" w:w="1872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  <w:t>Descriptor table</w:t>
            </w:r>
          </w:p>
        </w:tc>
        <w:tc>
          <w:tcPr>
            <w:tcW w:type="dxa" w:w="2664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  <w:t>Argument buffer</w:t>
            </w:r>
          </w:p>
        </w:tc>
        <w:tc>
          <w:tcPr>
            <w:tcW w:type="dxa" w:w="3528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  <w:t>All three group resource references for shaders, but the model differs.</w:t>
            </w:r>
          </w:p>
        </w:tc>
      </w:tr>
      <w:tr>
        <w:tc>
          <w:tcPr>
            <w:tcW w:type="dxa" w:w="2088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  <w:t>Uniform / constant data buffer</w:t>
            </w:r>
          </w:p>
        </w:tc>
        <w:tc>
          <w:tcPr>
            <w:tcW w:type="dxa" w:w="1800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  <w:t>Uniform buffer</w:t>
            </w:r>
          </w:p>
        </w:tc>
        <w:tc>
          <w:tcPr>
            <w:tcW w:type="dxa" w:w="1872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  <w:t>Constant buffer (CBV)</w:t>
            </w:r>
          </w:p>
        </w:tc>
        <w:tc>
          <w:tcPr>
            <w:tcW w:type="dxa" w:w="2664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  <w:t>MTLBuffer bound as constant/uniform-style data</w:t>
            </w:r>
          </w:p>
        </w:tc>
        <w:tc>
          <w:tcPr>
            <w:tcW w:type="dxa" w:w="3528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  <w:t>Use for larger or reusable constant data.</w:t>
            </w:r>
          </w:p>
        </w:tc>
      </w:tr>
      <w:tr>
        <w:tc>
          <w:tcPr>
            <w:tcW w:type="dxa" w:w="2088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  <w:t>Read-only texture/buffer view</w:t>
            </w:r>
          </w:p>
        </w:tc>
        <w:tc>
          <w:tcPr>
            <w:tcW w:type="dxa" w:w="1800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  <w:t>Sampled image / sampled buffer</w:t>
            </w:r>
          </w:p>
        </w:tc>
        <w:tc>
          <w:tcPr>
            <w:tcW w:type="dxa" w:w="1872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  <w:t>SRV</w:t>
            </w:r>
          </w:p>
        </w:tc>
        <w:tc>
          <w:tcPr>
            <w:tcW w:type="dxa" w:w="2664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  <w:t>Texture / buffer argument</w:t>
            </w:r>
          </w:p>
        </w:tc>
        <w:tc>
          <w:tcPr>
            <w:tcW w:type="dxa" w:w="3528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  <w:t>Shader-readable resource.</w:t>
            </w:r>
          </w:p>
        </w:tc>
      </w:tr>
      <w:tr>
        <w:tc>
          <w:tcPr>
            <w:tcW w:type="dxa" w:w="2088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  <w:t>Read-write texture/buffer view</w:t>
            </w:r>
          </w:p>
        </w:tc>
        <w:tc>
          <w:tcPr>
            <w:tcW w:type="dxa" w:w="1800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  <w:t>Storage image / storage buffer</w:t>
            </w:r>
          </w:p>
        </w:tc>
        <w:tc>
          <w:tcPr>
            <w:tcW w:type="dxa" w:w="1872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  <w:t>UAV</w:t>
            </w:r>
          </w:p>
        </w:tc>
        <w:tc>
          <w:tcPr>
            <w:tcW w:type="dxa" w:w="2664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  <w:t>Read-write texture / buffer</w:t>
            </w:r>
          </w:p>
        </w:tc>
        <w:tc>
          <w:tcPr>
            <w:tcW w:type="dxa" w:w="3528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  <w:t>For unordered read-write access from shaders.</w:t>
            </w:r>
          </w:p>
        </w:tc>
      </w:tr>
      <w:tr>
        <w:tc>
          <w:tcPr>
            <w:tcW w:type="dxa" w:w="2088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  <w:t>Sampler object</w:t>
            </w:r>
          </w:p>
        </w:tc>
        <w:tc>
          <w:tcPr>
            <w:tcW w:type="dxa" w:w="1800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  <w:t>Sampler</w:t>
            </w:r>
          </w:p>
        </w:tc>
        <w:tc>
          <w:tcPr>
            <w:tcW w:type="dxa" w:w="1872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  <w:t>Sampler</w:t>
            </w:r>
          </w:p>
        </w:tc>
        <w:tc>
          <w:tcPr>
            <w:tcW w:type="dxa" w:w="2664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  <w:t>Sampler state</w:t>
            </w:r>
          </w:p>
        </w:tc>
        <w:tc>
          <w:tcPr>
            <w:tcW w:type="dxa" w:w="3528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  <w:t>Filtering, addressing, comparison, and LOD behavior.</w:t>
            </w:r>
          </w:p>
        </w:tc>
      </w:tr>
      <w:tr>
        <w:tc>
          <w:tcPr>
            <w:tcW w:type="dxa" w:w="2088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  <w:t>Shader stage binding point</w:t>
            </w:r>
          </w:p>
        </w:tc>
        <w:tc>
          <w:tcPr>
            <w:tcW w:type="dxa" w:w="1800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  <w:t>Set + binding</w:t>
            </w:r>
          </w:p>
        </w:tc>
        <w:tc>
          <w:tcPr>
            <w:tcW w:type="dxa" w:w="1872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  <w:t>Register space + register (for example t0, b0, u0, s0)</w:t>
            </w:r>
          </w:p>
        </w:tc>
        <w:tc>
          <w:tcPr>
            <w:tcW w:type="dxa" w:w="2664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  <w:t>Argument index</w:t>
            </w:r>
          </w:p>
        </w:tc>
        <w:tc>
          <w:tcPr>
            <w:tcW w:type="dxa" w:w="3528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  <w:t>Different syntaxes, same idea: identify a shader-visible slot.</w:t>
            </w:r>
          </w:p>
        </w:tc>
      </w:tr>
      <w:tr>
        <w:tc>
          <w:tcPr>
            <w:tcW w:type="dxa" w:w="2088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  <w:t>Graphics pipeline object</w:t>
            </w:r>
          </w:p>
        </w:tc>
        <w:tc>
          <w:tcPr>
            <w:tcW w:type="dxa" w:w="1800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  <w:t>VkPipeline</w:t>
            </w:r>
          </w:p>
        </w:tc>
        <w:tc>
          <w:tcPr>
            <w:tcW w:type="dxa" w:w="1872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  <w:t>PSO / Pipeline State Object</w:t>
            </w:r>
          </w:p>
        </w:tc>
        <w:tc>
          <w:tcPr>
            <w:tcW w:type="dxa" w:w="2664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  <w:t>MTLRenderPipelineState</w:t>
            </w:r>
          </w:p>
        </w:tc>
        <w:tc>
          <w:tcPr>
            <w:tcW w:type="dxa" w:w="3528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  <w:t>Compiled state for shaders and fixed-function configuration.</w:t>
            </w:r>
          </w:p>
        </w:tc>
      </w:tr>
      <w:tr>
        <w:tc>
          <w:tcPr>
            <w:tcW w:type="dxa" w:w="2088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  <w:t>Command list object</w:t>
            </w:r>
          </w:p>
        </w:tc>
        <w:tc>
          <w:tcPr>
            <w:tcW w:type="dxa" w:w="1800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  <w:t>Command buffer</w:t>
            </w:r>
          </w:p>
        </w:tc>
        <w:tc>
          <w:tcPr>
            <w:tcW w:type="dxa" w:w="1872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  <w:t>Graphics command list</w:t>
            </w:r>
          </w:p>
        </w:tc>
        <w:tc>
          <w:tcPr>
            <w:tcW w:type="dxa" w:w="2664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  <w:t>MTLCommandBuffer + encoder objects</w:t>
            </w:r>
          </w:p>
        </w:tc>
        <w:tc>
          <w:tcPr>
            <w:tcW w:type="dxa" w:w="3528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  <w:t>Metal splits encoding work into encoders inside a command buffer.</w:t>
            </w:r>
          </w:p>
        </w:tc>
      </w:tr>
      <w:tr>
        <w:tc>
          <w:tcPr>
            <w:tcW w:type="dxa" w:w="2088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  <w:t>Render pass style scope</w:t>
            </w:r>
          </w:p>
        </w:tc>
        <w:tc>
          <w:tcPr>
            <w:tcW w:type="dxa" w:w="1800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  <w:t>Render pass / subpass</w:t>
            </w:r>
          </w:p>
        </w:tc>
        <w:tc>
          <w:tcPr>
            <w:tcW w:type="dxa" w:w="1872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  <w:t>Render pass begins from RTV/DSV binding and barriers</w:t>
            </w:r>
          </w:p>
        </w:tc>
        <w:tc>
          <w:tcPr>
            <w:tcW w:type="dxa" w:w="2664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  <w:t>Render command encoder / render pass descriptor</w:t>
            </w:r>
          </w:p>
        </w:tc>
        <w:tc>
          <w:tcPr>
            <w:tcW w:type="dxa" w:w="3528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  <w:t>Metal and Vulkan model this more explicitly than D3D12.</w:t>
            </w:r>
          </w:p>
        </w:tc>
      </w:tr>
      <w:tr>
        <w:tc>
          <w:tcPr>
            <w:tcW w:type="dxa" w:w="2088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  <w:t>Framebuffer attachments</w:t>
            </w:r>
          </w:p>
        </w:tc>
        <w:tc>
          <w:tcPr>
            <w:tcW w:type="dxa" w:w="1800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  <w:t>Render pass attachments / framebuffer</w:t>
            </w:r>
          </w:p>
        </w:tc>
        <w:tc>
          <w:tcPr>
            <w:tcW w:type="dxa" w:w="1872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  <w:t>RTV / DSV descriptors</w:t>
            </w:r>
          </w:p>
        </w:tc>
        <w:tc>
          <w:tcPr>
            <w:tcW w:type="dxa" w:w="2664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  <w:t>Color/depth attachments in render pass descriptor</w:t>
            </w:r>
          </w:p>
        </w:tc>
        <w:tc>
          <w:tcPr>
            <w:tcW w:type="dxa" w:w="3528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  <w:t>Where color and depth-stencil outputs land.</w:t>
            </w:r>
          </w:p>
        </w:tc>
      </w:tr>
      <w:tr>
        <w:tc>
          <w:tcPr>
            <w:tcW w:type="dxa" w:w="2088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  <w:t>Descriptor heap memory</w:t>
            </w:r>
          </w:p>
        </w:tc>
        <w:tc>
          <w:tcPr>
            <w:tcW w:type="dxa" w:w="1800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  <w:t>Descriptor pool / descriptor set allocation</w:t>
            </w:r>
          </w:p>
        </w:tc>
        <w:tc>
          <w:tcPr>
            <w:tcW w:type="dxa" w:w="1872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  <w:t>Descriptor heap</w:t>
            </w:r>
          </w:p>
        </w:tc>
        <w:tc>
          <w:tcPr>
            <w:tcW w:type="dxa" w:w="2664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  <w:t>Argument buffer storage or direct binding model</w:t>
            </w:r>
          </w:p>
        </w:tc>
        <w:tc>
          <w:tcPr>
            <w:tcW w:type="dxa" w:w="3528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  <w:t>D3D12 makes descriptor heaps especially explicit.</w:t>
            </w:r>
          </w:p>
        </w:tc>
      </w:tr>
      <w:tr>
        <w:tc>
          <w:tcPr>
            <w:tcW w:type="dxa" w:w="2088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  <w:t>Synchronization barrier</w:t>
            </w:r>
          </w:p>
        </w:tc>
        <w:tc>
          <w:tcPr>
            <w:tcW w:type="dxa" w:w="1800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  <w:t>Pipeline barrier / image memory barrier</w:t>
            </w:r>
          </w:p>
        </w:tc>
        <w:tc>
          <w:tcPr>
            <w:tcW w:type="dxa" w:w="1872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  <w:t>Resource barrier</w:t>
            </w:r>
          </w:p>
        </w:tc>
        <w:tc>
          <w:tcPr>
            <w:tcW w:type="dxa" w:w="2664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  <w:t>Texture/buffer usage transitions and encoder boundaries</w:t>
            </w:r>
          </w:p>
        </w:tc>
        <w:tc>
          <w:tcPr>
            <w:tcW w:type="dxa" w:w="3528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  <w:t>Same problem domain, different APIs and granularity.</w:t>
            </w:r>
          </w:p>
        </w:tc>
      </w:tr>
    </w:tbl>
    <w:p>
      <w:pPr>
        <w:pStyle w:val="Heading1"/>
      </w:pPr>
      <w:r>
        <w:t>Fast equivalence notes</w:t>
      </w:r>
    </w:p>
    <w:p>
      <w:pPr>
        <w:ind w:left="288"/>
      </w:pPr>
      <w:r>
        <w:rPr>
          <w:b/>
        </w:rPr>
        <w:t xml:space="preserve">• Push constants &lt;-&gt; Root constants: </w:t>
      </w:r>
      <w:r>
        <w:t>Very small CPU-updated shader values with low binding overhead.</w:t>
      </w:r>
    </w:p>
    <w:p>
      <w:pPr>
        <w:ind w:left="288"/>
      </w:pPr>
      <w:r>
        <w:rPr>
          <w:b/>
        </w:rPr>
        <w:t xml:space="preserve">• Descriptor sets &lt;-&gt; Descriptor tables / descriptor heaps: </w:t>
      </w:r>
      <w:r>
        <w:t>Broadly similar purpose: binding collections of resources to shaders.</w:t>
      </w:r>
    </w:p>
    <w:p>
      <w:pPr>
        <w:ind w:left="288"/>
      </w:pPr>
      <w:r>
        <w:rPr>
          <w:b/>
        </w:rPr>
        <w:t xml:space="preserve">• Uniform buffer &lt;-&gt; CBV: </w:t>
      </w:r>
      <w:r>
        <w:t>The standard choice when the constant data is larger than inline/root/push data.</w:t>
      </w:r>
    </w:p>
    <w:p>
      <w:pPr>
        <w:ind w:left="288"/>
      </w:pPr>
      <w:r>
        <w:rPr>
          <w:b/>
        </w:rPr>
        <w:t xml:space="preserve">• Storage buffer or image &lt;-&gt; UAV: </w:t>
      </w:r>
      <w:r>
        <w:t>Used for read-write shader access.</w:t>
      </w:r>
    </w:p>
    <w:p>
      <w:pPr>
        <w:ind w:left="288"/>
      </w:pPr>
      <w:r>
        <w:rPr>
          <w:b/>
        </w:rPr>
        <w:t xml:space="preserve">• Pipeline layout &lt;-&gt; Root signature: </w:t>
      </w:r>
      <w:r>
        <w:t>Both describe shader-visible resource binding structure.</w:t>
      </w:r>
    </w:p>
    <w:p>
      <w:pPr>
        <w:pStyle w:val="Heading1"/>
      </w:pPr>
      <w:r>
        <w:t>Cautions</w:t>
      </w:r>
    </w:p>
    <w:p>
      <w:pPr>
        <w:ind w:left="288"/>
      </w:pPr>
      <w:r>
        <w:t>• Metal does not expose a feature literally named push constants. The nearest practical pattern is passing a small block of inline bytes to a stage or binding a tiny constant buffer.</w:t>
      </w:r>
    </w:p>
    <w:p>
      <w:pPr>
        <w:ind w:left="288"/>
      </w:pPr>
      <w:r>
        <w:t>• Vulkan set/binding syntax, D3D12 register/register-space syntax, and Metal argument indices are different spellings for shader-visible binding locations.</w:t>
      </w:r>
    </w:p>
    <w:p>
      <w:pPr>
        <w:ind w:left="288"/>
      </w:pPr>
      <w:r>
        <w:t>• Render-pass structure is most explicit in Vulkan and Metal. D3D12 exposes similar concepts more indirectly through attachment binding, barriers, and command-list operations.</w:t>
      </w:r>
    </w:p>
    <w:p>
      <w:pPr>
        <w:ind w:left="288"/>
      </w:pPr>
      <w:r>
        <w:t>• Terminology maps are approximate. Equivalent words do not always imply identical limits, lifetime rules, or performance behavior.</w:t>
      </w:r>
    </w:p>
    <w:p>
      <w:pPr>
        <w:pStyle w:val="Heading1"/>
      </w:pPr>
      <w:r>
        <w:t>Recommended umbrella wording</w:t>
      </w:r>
    </w:p>
    <w:p>
      <w:r>
        <w:t xml:space="preserve">When writing engine documentation for all three APIs, a safe generic term is </w:t>
      </w:r>
      <w:r>
        <w:rPr>
          <w:b/>
        </w:rPr>
        <w:t>inline constants</w:t>
      </w:r>
      <w:r>
        <w:t>, with API-specific naming in parentheses: push constants (Vulkan), root constants (D3D12), and inline constant data or small constant buffer bindings (Metal).</w:t>
      </w:r>
    </w:p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