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0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ЗВІТ СИНТЕТИЧНОГО ЕКСПЕРИМЕНТУ</w:t>
      </w:r>
    </w:p>
    <w:p>
      <w:pPr>
        <w:pBdr>
          <w:bottom w:val="single" w:color="1F3864" w:sz="12" w:space="8"/>
        </w:pBdr>
        <w:spacing w:after="0" w:before="60"/>
      </w:pPr>
    </w:p>
    <w:p>
      <w:pPr>
        <w:spacing w:after="120" w:before="260"/>
      </w:pPr>
      <w:r>
        <w:rPr>
          <w:rFonts w:ascii="Calibri" w:cs="Calibri" w:eastAsia="Calibri" w:hAnsi="Calibri"/>
          <w:b/>
          <w:bCs/>
          <w:color w:val="17224A"/>
          <w:sz w:val="40"/>
          <w:szCs w:val="40"/>
        </w:rPr>
        <w:t xml:space="preserve">Відтворення еталонного експерименту програмного цифрового двійника кіберполігону УМСФ</w:t>
      </w:r>
    </w:p>
    <w:p>
      <w:pPr>
        <w:spacing w:after="400"/>
      </w:pPr>
      <w:r>
        <w:rPr>
          <w:rFonts w:ascii="Calibri" w:cs="Calibri" w:eastAsia="Calibri" w:hAnsi="Calibri"/>
          <w:color w:val="444C60"/>
          <w:sz w:val="24"/>
          <w:szCs w:val="24"/>
        </w:rPr>
        <w:t xml:space="preserve">Модульна реалізація </w:t>
      </w:r>
      <w:r>
        <w:rPr>
          <w:rFonts w:ascii="Consolas" w:cs="Consolas" w:eastAsia="Consolas" w:hAnsi="Consolas"/>
          <w:color w:val="444C60"/>
          <w:sz w:val="24"/>
          <w:szCs w:val="24"/>
        </w:rPr>
        <w:t xml:space="preserve">umsf_twin</w:t>
      </w:r>
      <w:r>
        <w:rPr>
          <w:rFonts w:ascii="Calibri" w:cs="Calibri" w:eastAsia="Calibri" w:hAnsi="Calibri"/>
          <w:color w:val="444C60"/>
          <w:sz w:val="24"/>
          <w:szCs w:val="24"/>
        </w:rPr>
        <w:t xml:space="preserve"> версії 2.0.0 — повний цикл: збірка з специфікації, верифікація, кампанія сценаріїв, DOE, Monte Carlo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Поле</w:t>
            </w:r>
          </w:p>
        </w:tc>
        <w:tc>
          <w:tcPr>
            <w:tcW w:type="dxa" w:w="69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Значення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Предмет звіту</w:t>
            </w:r>
          </w:p>
        </w:tc>
        <w:tc>
          <w:tcPr>
            <w:tcW w:type="dxa" w:w="6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Відтворення експерименту за специфікацією UMSF_CyberRange_Digital_Twin_Modules_UA.md (версія 2.0)</w:t>
            </w:r>
          </w:p>
        </w:tc>
      </w:tr>
      <w:tr>
        <w:tc>
          <w:tcPr>
            <w:tcW w:type="dxa" w:w="2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Клас доказовості</w:t>
            </w:r>
          </w:p>
        </w:tc>
        <w:tc>
          <w:tcPr>
            <w:tcW w:type="dxa" w:w="69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synthetic / pre-experimental synthetic model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Режим виконання</w:t>
            </w:r>
          </w:p>
        </w:tc>
        <w:tc>
          <w:tcPr>
            <w:tcW w:type="dxa" w:w="6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SIM (єдиний виконуваний режим реалізації)</w:t>
            </w:r>
          </w:p>
        </w:tc>
      </w:tr>
      <w:tr>
        <w:tc>
          <w:tcPr>
            <w:tcW w:type="dxa" w:w="2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Дата виконання</w:t>
            </w:r>
          </w:p>
        </w:tc>
        <w:tc>
          <w:tcPr>
            <w:tcW w:type="dxa" w:w="69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3 вересня 2026 р.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Виконавчі артефакти</w:t>
            </w:r>
          </w:p>
        </w:tc>
        <w:tc>
          <w:tcPr>
            <w:tcW w:type="dxa" w:w="6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5 сценарних прогонів, 1 прогін на 3 репліки, 8 точок DOE, 1 кампанія Monte Carlo</w:t>
            </w:r>
          </w:p>
        </w:tc>
      </w:tr>
      <w:tr>
        <w:tc>
          <w:tcPr>
            <w:tcW w:type="dxa" w:w="2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Обсяг телеметрії</w:t>
            </w:r>
          </w:p>
        </w:tc>
        <w:tc>
          <w:tcPr>
            <w:tcW w:type="dxa" w:w="69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13 049 рядків у сценарних і демонстраційному прогонах</w:t>
            </w:r>
          </w:p>
        </w:tc>
      </w:tr>
      <w:tr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Статус верифікації</w:t>
            </w:r>
          </w:p>
        </w:tc>
        <w:tc>
          <w:tcPr>
            <w:tcW w:type="dxa" w:w="69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40 / 40 автоматичних перевірок пройдено</w:t>
            </w:r>
          </w:p>
        </w:tc>
      </w:tr>
      <w:tr>
        <w:tc>
          <w:tcPr>
            <w:tcW w:type="dxa" w:w="2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Відповідність еталону</w:t>
            </w:r>
          </w:p>
        </w:tc>
        <w:tc>
          <w:tcPr>
            <w:tcW w:type="dxa" w:w="69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усі 62 контрольні значення додатків K.2–K.8 відтворено точно (50 полів таблиці K.6 і 12 інших)</w:t>
            </w:r>
          </w:p>
        </w:tc>
      </w:tr>
    </w:tbl>
    <w:p>
      <w:pPr>
        <w:spacing w:before="900"/>
      </w:pPr>
      <w:r>
        <w:rPr>
          <w:rFonts w:ascii="Calibri" w:cs="Calibri" w:eastAsia="Calibri" w:hAnsi="Calibri"/>
          <w:b/>
          <w:bCs/>
          <w:color w:val="8A2B10"/>
          <w:sz w:val="19"/>
          <w:szCs w:val="19"/>
        </w:rPr>
        <w:t xml:space="preserve">Межа твердження. </w:t>
      </w:r>
      <w:r>
        <w:rPr>
          <w:rFonts w:ascii="Calibri" w:cs="Calibri" w:eastAsia="Calibri" w:hAnsi="Calibri"/>
          <w:color w:val="6B4A3A"/>
          <w:sz w:val="19"/>
          <w:szCs w:val="19"/>
        </w:rPr>
        <w:t xml:space="preserve">Усі числа цього звіту є виходом програмної моделі за заданих припущень. Вони не є вимірюваннями фізичного кіберполігону УМСФ і не підтверджують фактичний час перемикання WAN/VPN/АВР, покриття Wi-Fi, автономність джерел живлення чи польову точність детекторів.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Зміст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Резюме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2.  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F.1. Ідентифікація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3.  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F.2. Дослідницьке питання та гіпотези відтворення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4.  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Матеріали й метод відтворення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5.  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Верифікація реалізації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6.  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F.4. Параметри, провенанс і невизначеність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7.  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Детермінізм і відтворюваність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8.  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F.3. Сценарії кампанії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9.  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F.6. Результати</w:t>
      </w:r>
    </w:p>
    <w:p>
      <w:pPr>
        <w:spacing w:after="140" w:before="0" w:line="264"/>
        <w:ind w:left="620" w:hanging="0"/>
      </w:pPr>
      <w:r>
        <w:rPr>
          <w:rFonts w:ascii="Calibri" w:cs="Calibri" w:eastAsia="Calibri" w:hAnsi="Calibri"/>
          <w:b/>
          <w:bCs/>
          <w:color w:val="1F3864"/>
          <w:sz w:val="19"/>
          <w:szCs w:val="19"/>
        </w:rPr>
        <w:t xml:space="preserve"/>
      </w:r>
      <w:r>
        <w:rPr>
          <w:rFonts w:ascii="Calibri" w:cs="Calibri" w:eastAsia="Calibri" w:hAnsi="Calibri"/>
          <w:i/>
          <w:iCs/>
          <w:color w:val="5A6478"/>
          <w:sz w:val="18"/>
          <w:szCs w:val="18"/>
        </w:rPr>
        <w:t xml:space="preserve">9.1. Зведена таблиця сценаріїв · 9.2. Мережеві результати · 9.3. Енергетичні результати · 9.4. Результати виявлення · 9.5. Демонстраційний прогін на три репліки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10.  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F.7. Чутливість: план експерименту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11.  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Monte Carlo з послідовною зупинкою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12.  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F.5. Data quality gates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13.  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Відповідність еталонним значенням специфікації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14.  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Провенанс артефактів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15.  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F.8. Рішення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16.  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Обмеження відтворення</w:t>
      </w:r>
    </w:p>
    <w:p>
      <w:pPr>
        <w:spacing w:after="70" w:before="0" w:line="264"/>
        <w:ind w:left="0" w:hanging="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17.  </w:t>
      </w:r>
      <w:r>
        <w:rPr>
          <w:rFonts w:ascii="Calibri" w:cs="Calibri" w:eastAsia="Calibri" w:hAnsi="Calibri"/>
          <w:i w:val="false"/>
          <w:iCs w:val="false"/>
          <w:color w:val="17224A"/>
          <w:sz w:val="21"/>
          <w:szCs w:val="21"/>
        </w:rPr>
        <w:t xml:space="preserve">F.9. Межа твердження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Резюме</w:t>
      </w:r>
    </w:p>
    <w:p>
      <w:pPr>
        <w:spacing w:after="16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Експеримент, описаний у специфікації цифрового двійника кіберполігону УМСФ (версія 2.0), відтворено повністю й незалежно. Вихідним матеріалом слугував лише текст специфікації: 78 файлів пакета </w:t>
      </w:r>
      <w:r>
        <w:rPr>
          <w:rFonts w:ascii="Consolas" w:cs="Consolas" w:eastAsia="Consolas" w:hAnsi="Consolas"/>
          <w:sz w:val="20"/>
          <w:szCs w:val="20"/>
        </w:rPr>
        <w:t xml:space="preserve">umsf_twin</w:t>
      </w:r>
      <w:r>
        <w:rPr>
          <w:rFonts w:ascii="Calibri" w:cs="Calibri" w:eastAsia="Calibri" w:hAnsi="Calibri"/>
          <w:sz w:val="21"/>
          <w:szCs w:val="21"/>
        </w:rPr>
        <w:t xml:space="preserve"> і тестового набору (7 000 рядків Python і 1 435 рядків JSON-конфігурацій) було механічно вилучено з додатків H–K, зібрано у працездатне дерево проєкту й запущено без жодної правки коду.</w:t>
      </w:r>
    </w:p>
    <w:p>
      <w:pPr>
        <w:spacing w:after="160" w:before="0" w:line="264"/>
      </w:pPr>
      <w:r>
        <w:rPr>
          <w:rFonts w:ascii="Calibri" w:cs="Calibri" w:eastAsia="Calibri" w:hAnsi="Calibri"/>
          <w:sz w:val="21"/>
          <w:szCs w:val="21"/>
        </w:rPr>
        <w:t xml:space="preserve">Результат відтворення однозначний. Автоматичний набір із 40 перевірок восьми категорій пройшов повністю з першого запуску. Хеш конфігурації, кількість рядків телеметрії, метрики мережі, енергетики та виявлення, а також довірчі інтервали Monte Carlo збіглися з еталонними значеннями додатка K до останнього значущого розряду.</w:t>
      </w:r>
    </w:p>
    <w:p>
      <w:pPr>
        <w:spacing w:after="16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Детермінізм підтверджено на двох рівнях: у межах одного процесу (штатна команда </w:t>
      </w:r>
      <w:r>
        <w:rPr>
          <w:rFonts w:ascii="Consolas" w:cs="Consolas" w:eastAsia="Consolas" w:hAnsi="Consolas"/>
          <w:sz w:val="20"/>
          <w:szCs w:val="20"/>
        </w:rPr>
        <w:t xml:space="preserve">verify</w:t>
      </w:r>
      <w:r>
        <w:rPr>
          <w:rFonts w:ascii="Calibri" w:cs="Calibri" w:eastAsia="Calibri" w:hAnsi="Calibri"/>
          <w:sz w:val="21"/>
          <w:szCs w:val="21"/>
        </w:rPr>
        <w:t xml:space="preserve">) та між незалежними викликами інтерпретатора — п’ять сценаріїв, виконаних повторно у чистому каталозі, дали побайтово ідентичні файли телеметрії. Розділення потоків випадковості за репліками працює: прогін з іншим </w:t>
      </w:r>
      <w:r>
        <w:rPr>
          <w:rFonts w:ascii="Consolas" w:cs="Consolas" w:eastAsia="Consolas" w:hAnsi="Consolas"/>
          <w:sz w:val="20"/>
          <w:szCs w:val="20"/>
        </w:rPr>
        <w:t xml:space="preserve">replicate_id</w:t>
      </w:r>
      <w:r>
        <w:rPr>
          <w:rFonts w:ascii="Calibri" w:cs="Calibri" w:eastAsia="Calibri" w:hAnsi="Calibri"/>
          <w:sz w:val="21"/>
          <w:szCs w:val="21"/>
        </w:rPr>
        <w:t xml:space="preserve"> дає інший канонічний хеш рядків.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1.1. Ключові результати відтворення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3100"/>
        <w:gridCol w:w="2900"/>
        <w:gridCol w:w="2500"/>
        <w:gridCol w:w="1138"/>
      </w:tblGrid>
      <w:tr>
        <w:trPr>
          <w:tblHeader/>
        </w:trPr>
        <w:tc>
          <w:tcPr>
            <w:tcW w:type="dxa" w:w="3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Показник</w:t>
            </w:r>
          </w:p>
        </w:tc>
        <w:tc>
          <w:tcPr>
            <w:tcW w:type="dxa" w:w="2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Отримано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Еталон K</w:t>
            </w:r>
          </w:p>
        </w:tc>
        <w:tc>
          <w:tcPr>
            <w:tcW w:type="dxa" w:w="11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Збіг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Автоматичні перевірки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 / 40 за 3.2 с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40 / 40 за 3.8 с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Хеш конфігурації демо-інвентаря</w:t>
            </w:r>
          </w:p>
        </w:tc>
        <w:tc>
          <w:tcPr>
            <w:tcW w:type="dxa" w:w="2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4e162d71…21a740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4e162d71…21a740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Параметрів з провенансом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198 (194 SYNTHETIC_DEMO, 4 UNKNOWN)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198 (194 / 4)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Детермінізм / розділення реплік</w:t>
            </w:r>
          </w:p>
        </w:tc>
        <w:tc>
          <w:tcPr>
            <w:tcW w:type="dxa" w:w="2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 / так, 1 806 рядків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 / так, 1 806 рядків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Прогін на 3 репліки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5 422 рядки, gates PASS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5 422 рядки, gates PASS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1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Сценарних прогонів</w:t>
            </w:r>
          </w:p>
        </w:tc>
        <w:tc>
          <w:tcPr>
            <w:tcW w:type="dxa" w:w="2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 усі gates PASS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5, усі gates PASS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</w:tr>
      <w:tr>
        <w:tc>
          <w:tcPr>
            <w:tcW w:type="dxa" w:w="3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Monte Carlo, оцінка RTT p95 A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71.8948 мс, зупинка на 5-й репліці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71.8948 мс, 5-та репліка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Еталонні значення взято з розділів K.2–K.8 специфікації; відтворені значення — з артефактів прогонів цієї кампанії.</w:t>
      </w:r>
    </w:p>
    <w:tbl>
      <w:tblPr>
        <w:tblW w:type="dxa" w:w="9638"/>
        <w:tblBorders>
          <w:top w:val="none"/>
          <w:left w:val="single" w:color="4E8C3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2E3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7A4E00"/>
                <w:sz w:val="20"/>
                <w:szCs w:val="20"/>
              </w:rPr>
              <w:t xml:space="preserve">Головний висновок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Специфікація версії 2.0 є самодостатнім і виконуваним артефактом: наведеного в ній тексту достатньо, щоб стороння сторона відновила систему та отримала числово тотожний результат без зовнішніх залежностей.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Водночас відтворюваність стосується моделі, а не полігону. Жодна метрика цього звіту не набуває статусу вимірювання; чотири параметри лишаються невідомими й програмно блокують режим HIL.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F.1. Ідентифікація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2.1. Прогони кампанії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2400"/>
        <w:gridCol w:w="2400"/>
        <w:gridCol w:w="1200"/>
        <w:gridCol w:w="900"/>
        <w:gridCol w:w="2738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Run ID</w:t>
            </w:r>
          </w:p>
        </w:tc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Experiment ID</w:t>
            </w:r>
          </w:p>
        </w:tc>
        <w:tc>
          <w:tcPr>
            <w:tcW w:type="dxa" w:w="1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duration_s</w:t>
            </w:r>
          </w:p>
        </w:tc>
        <w:tc>
          <w:tcPr>
            <w:tcW w:type="dxa" w:w="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реплік</w:t>
            </w:r>
          </w:p>
        </w:tc>
        <w:tc>
          <w:tcPr>
            <w:tcW w:type="dxa" w:w="27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config_hash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baseline-quiet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baseline-quiet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64370563cd5c7654…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wan-failover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wan-failover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198020bb458c972c…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cyber-campaign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cyber-campaign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372361260f763a2f…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power-outage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power-outage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1200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e2dbbb728629a5cb…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compound-challenge</w:t>
            </w:r>
          </w:p>
        </w:tc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compound-challenge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700</w:t>
            </w:r>
          </w:p>
        </w:tc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</w:t>
            </w:r>
          </w:p>
        </w:tc>
        <w:tc>
          <w:tcPr>
            <w:tcW w:type="dxa" w:w="27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8eb0500ae69642d9…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demo</w:t>
            </w:r>
          </w:p>
        </w:tc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umsf-dt-demo-002</w:t>
            </w:r>
          </w:p>
        </w:tc>
        <w:tc>
          <w:tcPr>
            <w:tcW w:type="dxa" w:w="12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900</w:t>
            </w:r>
          </w:p>
        </w:tc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</w:t>
            </w:r>
          </w:p>
        </w:tc>
        <w:tc>
          <w:tcPr>
            <w:tcW w:type="dxa" w:w="27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4e162d71f4b88bad…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2.2. Спільні ідентифікатори кампанії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Поле</w:t>
            </w:r>
          </w:p>
        </w:tc>
        <w:tc>
          <w:tcPr>
            <w:tcW w:type="dxa" w:w="66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Значення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Twin version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2.0.0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Schema version</w:t>
            </w:r>
          </w:p>
        </w:tc>
        <w:tc>
          <w:tcPr>
            <w:tcW w:type="dxa" w:w="66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2.0.0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Evidence class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synthetic_demo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Mode</w:t>
            </w:r>
          </w:p>
        </w:tc>
        <w:tc>
          <w:tcPr>
            <w:tcW w:type="dxa" w:w="66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SIM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Seed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20260903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Engine source hash</w:t>
            </w:r>
          </w:p>
        </w:tc>
        <w:tc>
          <w:tcPr>
            <w:tcW w:type="dxa" w:w="66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2136f8f4be6e300c272a52056e15038260f33d67e0283cadde99939a09b24549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Parameter-set / calibration ID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demo inventory umsf-dt-demo-002, некалібровано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Container / commit</w:t>
            </w:r>
          </w:p>
        </w:tc>
        <w:tc>
          <w:tcPr>
            <w:tcW w:type="dxa" w:w="66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без контейнера; стандартна бібліотека Python, без зовнішніх залежностей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2.3. Обчислювальне середовище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Компонент</w:t>
            </w:r>
          </w:p>
        </w:tc>
        <w:tc>
          <w:tcPr>
            <w:tcW w:type="dxa" w:w="66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Значення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Інтерпретатор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CPython 3.11.15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Платформа</w:t>
            </w:r>
          </w:p>
        </w:tc>
        <w:tc>
          <w:tcPr>
            <w:tcW w:type="dxa" w:w="66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Linux-6.18.44-fc-v24-x86_64-with-glibc2.39</w:t>
            </w:r>
          </w:p>
        </w:tc>
      </w:tr>
      <w:tr>
        <w:tc>
          <w:tcPr>
            <w:tcW w:type="dxa" w:w="3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Зовнішні залежності</w:t>
            </w:r>
          </w:p>
        </w:tc>
        <w:tc>
          <w:tcPr>
            <w:tcW w:type="dxa" w:w="66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відсутні (за конструкцією специфікації)</w:t>
            </w:r>
          </w:p>
        </w:tc>
      </w:tr>
      <w:tr>
        <w:tc>
          <w:tcPr>
            <w:tcW w:type="dxa" w:w="3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Рандомізація хешів</w:t>
            </w:r>
          </w:p>
        </w:tc>
        <w:tc>
          <w:tcPr>
            <w:tcW w:type="dxa" w:w="66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вимкнена; не впливає на результат, оскільки RNG іменований і детермінований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F.2. Дослідницьке питання та гіпотези відтворення</w:t>
      </w: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Це відтворення не перевіряє гіпотезу про фізичний полігон. Його предметом є сама специфікація як науковий артефакт.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2500"/>
        <w:gridCol w:w="7138"/>
      </w:tblGrid>
      <w:tr>
        <w:trPr>
          <w:tblHeader/>
        </w:trPr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Поле</w:t>
            </w:r>
          </w:p>
        </w:tc>
        <w:tc>
          <w:tcPr>
            <w:tcW w:type="dxa" w:w="71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Формулювання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Research question</w:t>
            </w:r>
          </w:p>
        </w:tc>
        <w:tc>
          <w:tcPr>
            <w:tcW w:type="dxa" w:w="7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Чи достатньо тексту специфікації версії 2.0, щоб незалежно відновити виконувану систему й отримати задекларовані в ній числові результати?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Primary endpoint</w:t>
            </w:r>
          </w:p>
        </w:tc>
        <w:tc>
          <w:tcPr>
            <w:tcW w:type="dxa" w:w="7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Частка контрольних значень додатка K, відтворених точно (тести, хеші, кількість рядків, агрегати сценаріїв, інтервал Monte Carlo).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Secondary endpoints</w:t>
            </w:r>
          </w:p>
        </w:tc>
        <w:tc>
          <w:tcPr>
            <w:tcW w:type="dxa" w:w="7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Проходження всіх data-quality gates; детермінізм у межах процесу та між незалежними викликами; збереження статусу доказовості параметрів.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Null hypothesis</w:t>
            </w:r>
          </w:p>
        </w:tc>
        <w:tc>
          <w:tcPr>
            <w:tcW w:type="dxa" w:w="7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H0: відтворена реалізація дає результати, відмінні від задекларованих, або специфікація неповна для складання системи.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Alternative hypothesis</w:t>
            </w:r>
          </w:p>
        </w:tc>
        <w:tc>
          <w:tcPr>
            <w:tcW w:type="dxa" w:w="7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H1: відтворена реалізація дає числово тотожні результати без правок вилученого коду.</w:t>
            </w:r>
          </w:p>
        </w:tc>
      </w:tr>
      <w:tr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Practical significance margin</w:t>
            </w:r>
          </w:p>
        </w:tc>
        <w:tc>
          <w:tcPr>
            <w:tcW w:type="dxa" w:w="7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Будь-яка розбіжність у контрольному значенні, що перевищує точність друку в специфікації, вважається відхиленням H1.</w:t>
            </w:r>
          </w:p>
        </w:tc>
      </w:tr>
      <w:tr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Multiplicity family</w:t>
            </w:r>
          </w:p>
        </w:tc>
        <w:tc>
          <w:tcPr>
            <w:tcW w:type="dxa" w:w="7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62 контрольні значення; статистичний тест не застосовується — порівняння точне.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Матеріали й метод відтворення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4.1. Джерело та процедура складання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Вхідний артефакт: </w:t>
      </w:r>
      <w:r>
        <w:rPr>
          <w:rFonts w:ascii="Consolas" w:cs="Consolas" w:eastAsia="Consolas" w:hAnsi="Consolas"/>
          <w:sz w:val="19"/>
          <w:szCs w:val="19"/>
        </w:rPr>
        <w:t xml:space="preserve">UMSF_CyberRange_Digital_Twin_Modules_UA.md</w:t>
      </w:r>
      <w:r>
        <w:rPr>
          <w:rFonts w:ascii="Calibri" w:cs="Calibri" w:eastAsia="Calibri" w:hAnsi="Calibri"/>
          <w:sz w:val="21"/>
          <w:szCs w:val="21"/>
        </w:rPr>
        <w:t xml:space="preserve"> — 14 542 рядки, 619 550 байтів.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Файли вилучено автоматично: заголовок виду </w:t>
      </w:r>
      <w:r>
        <w:rPr>
          <w:rFonts w:ascii="Consolas" w:cs="Consolas" w:eastAsia="Consolas" w:hAnsi="Consolas"/>
          <w:sz w:val="19"/>
          <w:szCs w:val="19"/>
        </w:rPr>
        <w:t xml:space="preserve">#### `шлях`</w:t>
      </w:r>
      <w:r>
        <w:rPr>
          <w:rFonts w:ascii="Calibri" w:cs="Calibri" w:eastAsia="Calibri" w:hAnsi="Calibri"/>
          <w:sz w:val="21"/>
          <w:szCs w:val="21"/>
        </w:rPr>
        <w:t xml:space="preserve"> задає шлях, наступний огороджений блок — вміст. Розбір відстежує стан огорожі, тому службові коментарі всередині коду не сприймаються як заголовки.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Вилучено 78 файлів: 66 модулів Python пакета, тестовий набір, 8 конфігурацій JSON, </w:t>
      </w:r>
      <w:r>
        <w:rPr>
          <w:rFonts w:ascii="Consolas" w:cs="Consolas" w:eastAsia="Consolas" w:hAnsi="Consolas"/>
          <w:sz w:val="19"/>
          <w:szCs w:val="19"/>
        </w:rPr>
        <w:t xml:space="preserve">Makefile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README.md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pyproject.toml</w:t>
      </w:r>
      <w:r>
        <w:rPr>
          <w:rFonts w:ascii="Calibri" w:cs="Calibri" w:eastAsia="Calibri" w:hAnsi="Calibri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Жодного рядка коду не додано, не вилучено й не змінено. Каталоги підпакетів залишено без файлів ініціалізації — реалізація коректно працює як пакети простору імен.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Порядок виконання відповідав цілям Makefile: test → validate → verify → run → scenarios → doe → mc.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4.2. Одиниця аналізу та межі</w:t>
      </w: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Одиницею аналізу є окремий прогін. Агрегати сценаріїв обчислено за кроками телеметрії всередині прогону, а інтервали Monte Carlo — кластерним bootstrap за репліками, що відповідає розділу 14.1 специфікації. Синтетичні результати не змішуються з польовими: імпортер позначає походження кожного рядка, і в цій кампанії воно однакове для всіх артефактів.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5. Верифікація реалізації</w:t>
      </w: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Набір </w:t>
      </w:r>
      <w:r>
        <w:rPr>
          <w:rFonts w:ascii="Consolas" w:cs="Consolas" w:eastAsia="Consolas" w:hAnsi="Consolas"/>
          <w:sz w:val="20"/>
          <w:szCs w:val="20"/>
        </w:rPr>
        <w:t xml:space="preserve">tests/run_tests.py</w:t>
      </w:r>
      <w:r>
        <w:rPr>
          <w:rFonts w:ascii="Calibri" w:cs="Calibri" w:eastAsia="Calibri" w:hAnsi="Calibri"/>
          <w:sz w:val="21"/>
          <w:szCs w:val="21"/>
        </w:rPr>
        <w:t xml:space="preserve"> виконано без модифікацій. Пройдено 40 перевірок із 40 за 3.2 с; жодну не пропущено й не позначено як очікувано невдалу.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5.1. Автоматичні перевірки за категоріями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1500"/>
        <w:gridCol w:w="1150"/>
        <w:gridCol w:w="6988"/>
      </w:tblGrid>
      <w:tr>
        <w:trPr>
          <w:tblHeader/>
        </w:trPr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Категорія</w:t>
            </w:r>
          </w:p>
        </w:tc>
        <w:tc>
          <w:tcPr>
            <w:tcW w:type="dxa" w:w="11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Тестів</w:t>
            </w:r>
          </w:p>
        </w:tc>
        <w:tc>
          <w:tcPr>
            <w:tcW w:type="dxa" w:w="698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Що перевіряє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unit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/ 6</w:t>
            </w:r>
          </w:p>
        </w:tc>
        <w:tc>
          <w:tcPr>
            <w:tcW w:type="dxa" w:w="69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черга й збереження пакетів, нульова пропускна здатність, розв’язок P=I(U−IR), uplink точки доступу, порядок шини, рампа інтенсивності події</w:t>
            </w:r>
          </w:p>
        </w:tc>
      </w:tr>
      <w:tr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property</w:t>
            </w:r>
          </w:p>
        </w:tc>
        <w:tc>
          <w:tcPr>
            <w:tcW w:type="dxa" w:w="11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/ 6</w:t>
            </w:r>
          </w:p>
        </w:tc>
        <w:tc>
          <w:tcPr>
            <w:tcW w:type="dxa" w:w="69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монотонність енергії, оболонка напруги комірки, знаки струму заряду/розряду, незалежність потоків seed, причинність kill-chain, збереження групи I при shedding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contract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4 / 4</w:t>
            </w:r>
          </w:p>
        </w:tc>
        <w:tc>
          <w:tcPr>
            <w:tcW w:type="dxa" w:w="69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відхилення невідомих і відсутніх полів, заборона NaN у строгому JSON, порожні вимірювання у gap-рядках, відображення вендорського payload</w:t>
            </w:r>
          </w:p>
        </w:tc>
      </w:tr>
      <w:tr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determinism</w:t>
            </w:r>
          </w:p>
        </w:tc>
        <w:tc>
          <w:tcPr>
            <w:tcW w:type="dxa" w:w="11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3 / 3</w:t>
            </w:r>
          </w:p>
        </w:tc>
        <w:tc>
          <w:tcPr>
            <w:tcW w:type="dxa" w:w="69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ідентичність рядків за однакового seed, відмінність реплік, покриття хешем конфігурації типових параметрів події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safety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/ 6</w:t>
            </w:r>
          </w:p>
        </w:tc>
        <w:tc>
          <w:tcPr>
            <w:tcW w:type="dxa" w:w="69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allowlist типів подій, вимога затвердження для HIL, allowlist egress, відмова HIL за невідомих параметрів, інваріанти інвентаризації, бюджетні межі</w:t>
            </w:r>
          </w:p>
        </w:tc>
      </w:tr>
      <w:tr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integration</w:t>
            </w:r>
          </w:p>
        </w:tc>
        <w:tc>
          <w:tcPr>
            <w:tcW w:type="dxa" w:w="11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 / 6</w:t>
            </w:r>
          </w:p>
        </w:tc>
        <w:tc>
          <w:tcPr>
            <w:tcW w:type="dxa" w:w="69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валідні артефакти прогону, заборона перезапису каталогу, WAN failover і повернення, shedding та відновлення живлення, ігнорування transition-truth розміткою, виявлення зіпсованих даних gates</w:t>
            </w:r>
          </w:p>
        </w:tc>
      </w:tr>
      <w:tr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calibration</w:t>
            </w:r>
          </w:p>
        </w:tc>
        <w:tc>
          <w:tcPr>
            <w:tcW w:type="dxa" w:w="11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 / 7</w:t>
            </w:r>
          </w:p>
        </w:tc>
        <w:tc>
          <w:tcPr>
            <w:tcW w:type="dxa" w:w="69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fidelity за зсуву розподілу, ABC-відновлення параметра, Nelder–Mead, статистичні помічники, арифметика метрик виявлення, межі DOE-плану, зупинка Monte Carlo</w:t>
            </w:r>
          </w:p>
        </w:tc>
      </w:tr>
      <w:tr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11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2 / 2</w:t>
            </w:r>
          </w:p>
        </w:tc>
        <w:tc>
          <w:tcPr>
            <w:tcW w:type="dxa" w:w="69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обмеженість вартості кроку, дешевизна правилового рушія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Разом 40 / 40. Категорії відповідають трасувальній матриці додатка L: кожна вимога специфікації має принаймні один виконуваний тест.</w:t>
      </w:r>
    </w:p>
    <w:tbl>
      <w:tblPr>
        <w:tblW w:type="dxa" w:w="9638"/>
        <w:tblBorders>
          <w:top w:val="none"/>
          <w:left w:val="single" w:color="2E5FA3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EAF0F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7A4E00"/>
                <w:sz w:val="20"/>
                <w:szCs w:val="20"/>
              </w:rPr>
              <w:t xml:space="preserve">Що саме доводить набір тестів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Безпекові перевірки не є декоративними: режим HIL програмно недоступний, доки чотири параметри лишаються невідомими, а типи подій і зовнішній egress обмежені allowlist.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Перевірки контрактів забороняють NaN у строгому JSON і відхиляють невідомі та відсутні поля, тому пошкоджена телеметрія зупиняє прогін, а не потрапляє тихо в агрегати.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6. F.4. Параметри, провенанс і невизначеність</w:t>
      </w: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Валідація демонстраційного інвентаря відтворила еталонний стан доказовості точно.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6.1. Гістограма статусів доказовості (демонстраційний інвентар)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2400"/>
        <w:gridCol w:w="1400"/>
        <w:gridCol w:w="5838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Кількість</w:t>
            </w:r>
          </w:p>
        </w:tc>
        <w:tc>
          <w:tcPr>
            <w:tcW w:type="dxa" w:w="58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Тлумачення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MEASURED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виміряно на фізичному полігоні — відсутні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VENDOR_SPEC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8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 паспорта виробника — відсутні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DERIVED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обчислено з інших параметрів — відсутні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ASSUMED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58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явно прийняте припущення — відсутні</w:t>
            </w:r>
          </w:p>
        </w:tc>
      </w:tr>
      <w:tr>
        <w:tc>
          <w:tcPr>
            <w:tcW w:type="dxa" w:w="2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SYNTHETIC_DEMO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194</w:t>
            </w:r>
          </w:p>
        </w:tc>
        <w:tc>
          <w:tcPr>
            <w:tcW w:type="dxa" w:w="58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демонстраційне значення моделі</w:t>
            </w:r>
          </w:p>
        </w:tc>
      </w:tr>
      <w:tr>
        <w:tc>
          <w:tcPr>
            <w:tcW w:type="dxa" w:w="2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UNKNOWN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4</w:t>
            </w:r>
          </w:p>
        </w:tc>
        <w:tc>
          <w:tcPr>
            <w:tcW w:type="dxa" w:w="58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 інвентаризовано; блокує режим HIL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Разом 198 параметрів, 10 типових подій, хеш конфігурації 4e162d71f4b88bad4e910d57…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6.2. Невідомі параметри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3250"/>
        <w:gridCol w:w="6388"/>
      </w:tblGrid>
      <w:tr>
        <w:trPr>
          <w:tblHeader/>
        </w:trPr>
        <w:tc>
          <w:tcPr>
            <w:tcW w:type="dxa" w:w="32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Параметр</w:t>
            </w:r>
          </w:p>
        </w:tc>
        <w:tc>
          <w:tcPr>
            <w:tcW w:type="dxa" w:w="638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Наслідок</w:t>
            </w:r>
          </w:p>
        </w:tc>
      </w:tr>
      <w:tr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power.site_a.chemistry</w:t>
            </w:r>
          </w:p>
        </w:tc>
        <w:tc>
          <w:tcPr>
            <w:tcW w:type="dxa" w:w="63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хімія комірок невідома — електрохімічна модель лишається gray-box surrogate</w:t>
            </w:r>
          </w:p>
        </w:tc>
      </w:tr>
      <w:tr>
        <w:tc>
          <w:tcPr>
            <w:tcW w:type="dxa" w:w="32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power.site_a.parallel_count</w:t>
            </w:r>
          </w:p>
        </w:tc>
        <w:tc>
          <w:tcPr>
            <w:tcW w:type="dxa" w:w="63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кількість паралельних гілок невідома — ємність пакета не має паспортної основи</w:t>
            </w:r>
          </w:p>
        </w:tc>
      </w:tr>
      <w:tr>
        <w:tc>
          <w:tcPr>
            <w:tcW w:type="dxa" w:w="32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vpn.mtu</w:t>
            </w:r>
          </w:p>
        </w:tc>
        <w:tc>
          <w:tcPr>
            <w:tcW w:type="dxa" w:w="63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MTU тунелю невідоме — фрагментація й накладні витрати оцінені, не виміряні</w:t>
            </w:r>
          </w:p>
        </w:tc>
      </w:tr>
      <w:tr>
        <w:tc>
          <w:tcPr>
            <w:tcW w:type="dxa" w:w="32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vpn.protocol</w:t>
            </w:r>
          </w:p>
        </w:tc>
        <w:tc>
          <w:tcPr>
            <w:tcW w:type="dxa" w:w="63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протокол тунелю невідомий — затримка VPN є surrogate</w:t>
            </w: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Це не дефект реалізації, а коректний стан: доки параметри не виміряно, специфікація забороняє відповідні твердження, а код блокує режим HIL.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7. Детермінізм і відтворюваність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7.1. Перевірки детермінізму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3400"/>
        <w:gridCol w:w="1100"/>
        <w:gridCol w:w="5138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Перевірка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Результат</w:t>
            </w:r>
          </w:p>
        </w:tc>
        <w:tc>
          <w:tcPr>
            <w:tcW w:type="dxa" w:w="51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Пояснення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Однаковий seed → однакові рядки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  <w:tc>
          <w:tcPr>
            <w:tcW w:type="dxa" w:w="5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канонічний хеш 1806 рядків збігається між прогонами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Інша репліка → інші рядки</w:t>
            </w:r>
          </w:p>
        </w:tc>
        <w:tc>
          <w:tcPr>
            <w:tcW w:type="dxa" w:w="11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  <w:tc>
          <w:tcPr>
            <w:tcW w:type="dxa" w:w="5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потоки випадковості справді розділені за replicate_id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Незалежні виклики інтерпретатора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  <w:tc>
          <w:tcPr>
            <w:tcW w:type="dxa" w:w="5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усі 5 сценаріїв дали побайтово ідентичні telemetry.csv у чистому каталозі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Хеш конфігурації покриває типові параметри події</w:t>
            </w:r>
          </w:p>
        </w:tc>
        <w:tc>
          <w:tcPr>
            <w:tcW w:type="dxa" w:w="11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  <w:tc>
          <w:tcPr>
            <w:tcW w:type="dxa" w:w="5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зміна типового значення події змінює config_hash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Заборона перезапису каталогу прогону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  <w:tc>
          <w:tcPr>
            <w:tcW w:type="dxa" w:w="5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повторний запуск з тим самим run_id не знищує артефакти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Третій рядок — додаткова перевірка цієї кампанії, якої немає у штатному наборі: вона виключає залежність від стану процесу.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8. F.3. Сценарії кампанії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8.1. Склад сценаріїв та ін’єктовані події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2200"/>
        <w:gridCol w:w="1100"/>
        <w:gridCol w:w="63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Сценарій</w:t>
            </w:r>
          </w:p>
        </w:tc>
        <w:tc>
          <w:tcPr>
            <w:tcW w:type="dxa" w:w="11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duration_s</w:t>
            </w:r>
          </w:p>
        </w:tc>
        <w:tc>
          <w:tcPr>
            <w:tcW w:type="dxa" w:w="63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Ін’єктовані події (тип @ старт, с)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baseline-quiet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</w:t>
            </w:r>
          </w:p>
        </w:tc>
        <w:tc>
          <w:tcPr>
            <w:tcW w:type="dxa" w:w="6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немає — прозорий baseline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wan-failover</w:t>
            </w:r>
          </w:p>
        </w:tc>
        <w:tc>
          <w:tcPr>
            <w:tcW w:type="dxa" w:w="11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600</w:t>
            </w:r>
          </w:p>
        </w:tc>
        <w:tc>
          <w:tcPr>
            <w:tcW w:type="dxa" w:w="63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wan_down @ 60; wan_down @ 120; wan_degrade @ 200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cyber-campaign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700</w:t>
            </w:r>
          </w:p>
        </w:tc>
        <w:tc>
          <w:tcPr>
            <w:tcW w:type="dxa" w:w="6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recon_burst @ 60; lateral_sequence @ 150; low_rate_c2 @ 260; wifi_auth_burst @ 320; rogue_ap_signal @ 400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power-outage</w:t>
            </w:r>
          </w:p>
        </w:tc>
        <w:tc>
          <w:tcPr>
            <w:tcW w:type="dxa" w:w="11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1200</w:t>
            </w:r>
          </w:p>
        </w:tc>
        <w:tc>
          <w:tcPr>
            <w:tcW w:type="dxa" w:w="63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mains_loss @ 60; cell_imbalance @ 300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7"/>
                <w:szCs w:val="17"/>
              </w:rPr>
              <w:t xml:space="preserve">compound-challenge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700</w:t>
            </w:r>
          </w:p>
        </w:tc>
        <w:tc>
          <w:tcPr>
            <w:tcW w:type="dxa" w:w="6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mains_loss @ 120; wan_down @ 150; vpn_degrade @ 200; recon_burst @ 260; telemetry_loss @ 300; clock_skew @ 360</w:t>
            </w:r>
          </w:p>
        </w:tc>
      </w:tr>
    </w:tbl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baseline-quiet</w:t>
      </w:r>
      <w:r>
        <w:rPr>
          <w:rFonts w:ascii="Calibri" w:cs="Calibri" w:eastAsia="Calibri" w:hAnsi="Calibri"/>
          <w:sz w:val="21"/>
          <w:szCs w:val="21"/>
        </w:rPr>
        <w:t xml:space="preserve"> — штатне навантаження без ін’єкцій. Функція: контроль хибних спрацювань.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wan-failover</w:t>
      </w:r>
      <w:r>
        <w:rPr>
          <w:rFonts w:ascii="Calibri" w:cs="Calibri" w:eastAsia="Calibri" w:hAnsi="Calibri"/>
          <w:sz w:val="21"/>
          <w:szCs w:val="21"/>
        </w:rPr>
        <w:t xml:space="preserve"> — два відключення каналу та деградація; перевіряє перемикання й повернення маршруту.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cyber-campaign</w:t>
      </w:r>
      <w:r>
        <w:rPr>
          <w:rFonts w:ascii="Calibri" w:cs="Calibri" w:eastAsia="Calibri" w:hAnsi="Calibri"/>
          <w:sz w:val="21"/>
          <w:szCs w:val="21"/>
        </w:rPr>
        <w:t xml:space="preserve"> — п’ять стадій напівмарковського ланцюга від розвідки до rogue AP.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power-outage</w:t>
      </w:r>
      <w:r>
        <w:rPr>
          <w:rFonts w:ascii="Calibri" w:cs="Calibri" w:eastAsia="Calibri" w:hAnsi="Calibri"/>
          <w:sz w:val="21"/>
          <w:szCs w:val="21"/>
        </w:rPr>
        <w:t xml:space="preserve"> — втрата мережі живлення на 60-й секунді та розбаланс комірок на 300-й; найдовший прогін (1 200 с).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compound-challenge</w:t>
      </w:r>
      <w:r>
        <w:rPr>
          <w:rFonts w:ascii="Calibri" w:cs="Calibri" w:eastAsia="Calibri" w:hAnsi="Calibri"/>
          <w:sz w:val="21"/>
          <w:szCs w:val="21"/>
        </w:rPr>
        <w:t xml:space="preserve"> — одночасний зрив живлення, транспорту й телеметрії: шість подій за 240 с.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9. F.6. Результати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9.1. Зведена таблиця сценаріїв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1750"/>
        <w:gridCol w:w="660"/>
        <w:gridCol w:w="830"/>
        <w:gridCol w:w="950"/>
        <w:gridCol w:w="950"/>
        <w:gridCol w:w="700"/>
        <w:gridCol w:w="620"/>
        <w:gridCol w:w="570"/>
        <w:gridCol w:w="480"/>
        <w:gridCol w:w="440"/>
        <w:gridCol w:w="560"/>
        <w:gridCol w:w="1128"/>
      </w:tblGrid>
      <w:tr>
        <w:trPr>
          <w:tblHeader/>
        </w:trPr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Сценарій</w:t>
            </w:r>
          </w:p>
        </w:tc>
        <w:tc>
          <w:tcPr>
            <w:tcW w:type="dxa" w:w="6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рядків</w:t>
            </w:r>
          </w:p>
        </w:tc>
        <w:tc>
          <w:tcPr>
            <w:tcW w:type="dxa" w:w="83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дост. A, %</w:t>
            </w:r>
          </w:p>
        </w:tc>
        <w:tc>
          <w:tcPr>
            <w:tcW w:type="dxa" w:w="9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RTT p95 A, мс</w:t>
            </w:r>
          </w:p>
        </w:tc>
        <w:tc>
          <w:tcPr>
            <w:tcW w:type="dxa" w:w="9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RTT p95 B, мс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ΔSoC, %</w:t>
            </w:r>
          </w:p>
        </w:tc>
        <w:tc>
          <w:tcPr>
            <w:tcW w:type="dxa" w:w="6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shed</w:t>
            </w:r>
          </w:p>
        </w:tc>
        <w:tc>
          <w:tcPr>
            <w:tcW w:type="dxa" w:w="57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trip</w:t>
            </w:r>
          </w:p>
        </w:tc>
        <w:tc>
          <w:tcPr>
            <w:tcW w:type="dxa" w:w="4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TP</w:t>
            </w:r>
          </w:p>
        </w:tc>
        <w:tc>
          <w:tcPr>
            <w:tcW w:type="dxa" w:w="44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FP</w:t>
            </w:r>
          </w:p>
        </w:tc>
        <w:tc>
          <w:tcPr>
            <w:tcW w:type="dxa" w:w="5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FN</w:t>
            </w:r>
          </w:p>
        </w:tc>
        <w:tc>
          <w:tcPr>
            <w:tcW w:type="dxa" w:w="112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gates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baseline-quiet</w:t>
            </w:r>
          </w:p>
        </w:tc>
        <w:tc>
          <w:tcPr>
            <w:tcW w:type="dxa" w:w="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1204</w:t>
            </w:r>
          </w:p>
        </w:tc>
        <w:tc>
          <w:tcPr>
            <w:tcW w:type="dxa" w:w="8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19.15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24.39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-1.5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11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wan-failover</w:t>
            </w:r>
          </w:p>
        </w:tc>
        <w:tc>
          <w:tcPr>
            <w:tcW w:type="dxa" w:w="6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1204</w:t>
            </w:r>
          </w:p>
        </w:tc>
        <w:tc>
          <w:tcPr>
            <w:tcW w:type="dxa" w:w="8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9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24.0025</w:t>
            </w:r>
          </w:p>
        </w:tc>
        <w:tc>
          <w:tcPr>
            <w:tcW w:type="dxa" w:w="9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24.38</w:t>
            </w:r>
          </w:p>
        </w:tc>
        <w:tc>
          <w:tcPr>
            <w:tcW w:type="dxa" w:w="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-1.5</w:t>
            </w:r>
          </w:p>
        </w:tc>
        <w:tc>
          <w:tcPr>
            <w:tcW w:type="dxa" w:w="6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7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4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112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cyber-campaign</w:t>
            </w:r>
          </w:p>
        </w:tc>
        <w:tc>
          <w:tcPr>
            <w:tcW w:type="dxa" w:w="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1405</w:t>
            </w:r>
          </w:p>
        </w:tc>
        <w:tc>
          <w:tcPr>
            <w:tcW w:type="dxa" w:w="8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19.28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24.379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-1.87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146</w:t>
            </w:r>
          </w:p>
        </w:tc>
        <w:tc>
          <w:tcPr>
            <w:tcW w:type="dxa" w:w="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597</w:t>
            </w:r>
          </w:p>
        </w:tc>
        <w:tc>
          <w:tcPr>
            <w:tcW w:type="dxa" w:w="11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power-outage</w:t>
            </w:r>
          </w:p>
        </w:tc>
        <w:tc>
          <w:tcPr>
            <w:tcW w:type="dxa" w:w="6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2408</w:t>
            </w:r>
          </w:p>
        </w:tc>
        <w:tc>
          <w:tcPr>
            <w:tcW w:type="dxa" w:w="8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100</w:t>
            </w:r>
          </w:p>
        </w:tc>
        <w:tc>
          <w:tcPr>
            <w:tcW w:type="dxa" w:w="9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19.191</w:t>
            </w:r>
          </w:p>
        </w:tc>
        <w:tc>
          <w:tcPr>
            <w:tcW w:type="dxa" w:w="9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24.309</w:t>
            </w:r>
          </w:p>
        </w:tc>
        <w:tc>
          <w:tcPr>
            <w:tcW w:type="dxa" w:w="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1.21</w:t>
            </w:r>
          </w:p>
        </w:tc>
        <w:tc>
          <w:tcPr>
            <w:tcW w:type="dxa" w:w="6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797</w:t>
            </w:r>
          </w:p>
        </w:tc>
        <w:tc>
          <w:tcPr>
            <w:tcW w:type="dxa" w:w="57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53</w:t>
            </w:r>
          </w:p>
        </w:tc>
        <w:tc>
          <w:tcPr>
            <w:tcW w:type="dxa" w:w="4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4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112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compound-challenge</w:t>
            </w:r>
          </w:p>
        </w:tc>
        <w:tc>
          <w:tcPr>
            <w:tcW w:type="dxa" w:w="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1406</w:t>
            </w:r>
          </w:p>
        </w:tc>
        <w:tc>
          <w:tcPr>
            <w:tcW w:type="dxa" w:w="8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91.3229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95.8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99.04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0.84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427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28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120</w:t>
            </w:r>
          </w:p>
        </w:tc>
        <w:tc>
          <w:tcPr>
            <w:tcW w:type="dxa" w:w="44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112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PASS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ΔSoC подано як соц-падіння: додатне значення означає зменшення заряду, від’ємне — заряд від мережі. Усі значення збігаються з таблицею K.6 специфікації.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9.2. Мережеві результати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9.1. Ділянка A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1750"/>
        <w:gridCol w:w="920"/>
        <w:gridCol w:w="980"/>
        <w:gridCol w:w="920"/>
        <w:gridCol w:w="1080"/>
        <w:gridCol w:w="920"/>
        <w:gridCol w:w="1030"/>
        <w:gridCol w:w="850"/>
        <w:gridCol w:w="1188"/>
      </w:tblGrid>
      <w:tr>
        <w:trPr>
          <w:tblHeader/>
        </w:trPr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Сценарій</w:t>
            </w:r>
          </w:p>
        </w:tc>
        <w:tc>
          <w:tcPr>
            <w:tcW w:type="dxa" w:w="9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дост., %</w:t>
            </w:r>
          </w:p>
        </w:tc>
        <w:tc>
          <w:tcPr>
            <w:tcW w:type="dxa" w:w="9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RTT сер., мс</w:t>
            </w:r>
          </w:p>
        </w:tc>
        <w:tc>
          <w:tcPr>
            <w:tcW w:type="dxa" w:w="9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p95, мс</w:t>
            </w:r>
          </w:p>
        </w:tc>
        <w:tc>
          <w:tcPr>
            <w:tcW w:type="dxa" w:w="10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p99, мс</w:t>
            </w:r>
          </w:p>
        </w:tc>
        <w:tc>
          <w:tcPr>
            <w:tcW w:type="dxa" w:w="9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втрати, %</w:t>
            </w:r>
          </w:p>
        </w:tc>
        <w:tc>
          <w:tcPr>
            <w:tcW w:type="dxa" w:w="103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пропуск., Мбіт/с</w:t>
            </w:r>
          </w:p>
        </w:tc>
        <w:tc>
          <w:tcPr>
            <w:tcW w:type="dxa" w:w="8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goodput</w:t>
            </w:r>
          </w:p>
        </w:tc>
        <w:tc>
          <w:tcPr>
            <w:tcW w:type="dxa" w:w="118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failover, с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baseline-quiet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17.2478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19.15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19.9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0.16479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195.5416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1.0006</w:t>
            </w:r>
          </w:p>
        </w:tc>
        <w:tc>
          <w:tcPr>
            <w:tcW w:type="dxa" w:w="1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wan-failover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19.54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24.0025</w:t>
            </w:r>
          </w:p>
        </w:tc>
        <w:tc>
          <w:tcPr>
            <w:tcW w:type="dxa" w:w="10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25.6455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0.09032</w:t>
            </w:r>
          </w:p>
        </w:tc>
        <w:tc>
          <w:tcPr>
            <w:tcW w:type="dxa" w:w="10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195.5416</w:t>
            </w:r>
          </w:p>
        </w:tc>
        <w:tc>
          <w:tcPr>
            <w:tcW w:type="dxa" w:w="8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1.0006</w:t>
            </w:r>
          </w:p>
        </w:tc>
        <w:tc>
          <w:tcPr>
            <w:tcW w:type="dxa" w:w="11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15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cyber-campaign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17.2664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19.28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20.1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0.15285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194.6381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1.0007</w:t>
            </w:r>
          </w:p>
        </w:tc>
        <w:tc>
          <w:tcPr>
            <w:tcW w:type="dxa" w:w="1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power-outage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17.2765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19.191</w:t>
            </w:r>
          </w:p>
        </w:tc>
        <w:tc>
          <w:tcPr>
            <w:tcW w:type="dxa" w:w="10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20.0206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0.17196</w:t>
            </w:r>
          </w:p>
        </w:tc>
        <w:tc>
          <w:tcPr>
            <w:tcW w:type="dxa" w:w="10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136.3026</w:t>
            </w:r>
          </w:p>
        </w:tc>
        <w:tc>
          <w:tcPr>
            <w:tcW w:type="dxa" w:w="8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1.0001</w:t>
            </w:r>
          </w:p>
        </w:tc>
        <w:tc>
          <w:tcPr>
            <w:tcW w:type="dxa" w:w="11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compound-challenge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91.3229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32.5337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95.8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97.5707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0.27719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134.2992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0.9999</w:t>
            </w:r>
          </w:p>
        </w:tc>
        <w:tc>
          <w:tcPr>
            <w:tcW w:type="dxa" w:w="1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</w:t>
            </w:r>
          </w:p>
        </w:tc>
      </w:tr>
    </w:tbl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9.2. Ділянка B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1750"/>
        <w:gridCol w:w="920"/>
        <w:gridCol w:w="980"/>
        <w:gridCol w:w="920"/>
        <w:gridCol w:w="1080"/>
        <w:gridCol w:w="920"/>
        <w:gridCol w:w="1030"/>
        <w:gridCol w:w="850"/>
        <w:gridCol w:w="1188"/>
      </w:tblGrid>
      <w:tr>
        <w:trPr>
          <w:tblHeader/>
        </w:trPr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Сценарій</w:t>
            </w:r>
          </w:p>
        </w:tc>
        <w:tc>
          <w:tcPr>
            <w:tcW w:type="dxa" w:w="9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дост., %</w:t>
            </w:r>
          </w:p>
        </w:tc>
        <w:tc>
          <w:tcPr>
            <w:tcW w:type="dxa" w:w="9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RTT сер., мс</w:t>
            </w:r>
          </w:p>
        </w:tc>
        <w:tc>
          <w:tcPr>
            <w:tcW w:type="dxa" w:w="9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p95, мс</w:t>
            </w:r>
          </w:p>
        </w:tc>
        <w:tc>
          <w:tcPr>
            <w:tcW w:type="dxa" w:w="10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p99, мс</w:t>
            </w:r>
          </w:p>
        </w:tc>
        <w:tc>
          <w:tcPr>
            <w:tcW w:type="dxa" w:w="9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втрати, %</w:t>
            </w:r>
          </w:p>
        </w:tc>
        <w:tc>
          <w:tcPr>
            <w:tcW w:type="dxa" w:w="103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пропуск., Мбіт/с</w:t>
            </w:r>
          </w:p>
        </w:tc>
        <w:tc>
          <w:tcPr>
            <w:tcW w:type="dxa" w:w="8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goodput</w:t>
            </w:r>
          </w:p>
        </w:tc>
        <w:tc>
          <w:tcPr>
            <w:tcW w:type="dxa" w:w="118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failover, с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baseline-quiet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22.3663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24.39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25.28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0.12264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77.3684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1.0009</w:t>
            </w:r>
          </w:p>
        </w:tc>
        <w:tc>
          <w:tcPr>
            <w:tcW w:type="dxa" w:w="1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wan-failover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22.2265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24.38</w:t>
            </w:r>
          </w:p>
        </w:tc>
        <w:tc>
          <w:tcPr>
            <w:tcW w:type="dxa" w:w="10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25.27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0.12264</w:t>
            </w:r>
          </w:p>
        </w:tc>
        <w:tc>
          <w:tcPr>
            <w:tcW w:type="dxa" w:w="10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77.3684</w:t>
            </w:r>
          </w:p>
        </w:tc>
        <w:tc>
          <w:tcPr>
            <w:tcW w:type="dxa" w:w="8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1.0009</w:t>
            </w:r>
          </w:p>
        </w:tc>
        <w:tc>
          <w:tcPr>
            <w:tcW w:type="dxa" w:w="11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cyber-campaign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22.3496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24.379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25.268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0.11979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77.3381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1.0008</w:t>
            </w:r>
          </w:p>
        </w:tc>
        <w:tc>
          <w:tcPr>
            <w:tcW w:type="dxa" w:w="1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power-outage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22.309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24.309</w:t>
            </w:r>
          </w:p>
        </w:tc>
        <w:tc>
          <w:tcPr>
            <w:tcW w:type="dxa" w:w="10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25.27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0.29436</w:t>
            </w:r>
          </w:p>
        </w:tc>
        <w:tc>
          <w:tcPr>
            <w:tcW w:type="dxa" w:w="10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77.7496</w:t>
            </w:r>
          </w:p>
        </w:tc>
        <w:tc>
          <w:tcPr>
            <w:tcW w:type="dxa" w:w="8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1.0005</w:t>
            </w:r>
          </w:p>
        </w:tc>
        <w:tc>
          <w:tcPr>
            <w:tcW w:type="dxa" w:w="118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compound-challenge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41.9789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99.04</w:t>
            </w:r>
          </w:p>
        </w:tc>
        <w:tc>
          <w:tcPr>
            <w:tcW w:type="dxa" w:w="1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100.3086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0.11944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77.3375</w:t>
            </w:r>
          </w:p>
        </w:tc>
        <w:tc>
          <w:tcPr>
            <w:tcW w:type="dxa" w:w="8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1.0008</w:t>
            </w:r>
          </w:p>
        </w:tc>
        <w:tc>
          <w:tcPr>
            <w:tcW w:type="dxa" w:w="118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Читання таблиць. У </w:t>
      </w:r>
      <w:r>
        <w:rPr>
          <w:rFonts w:ascii="Consolas" w:cs="Consolas" w:eastAsia="Consolas" w:hAnsi="Consolas"/>
          <w:sz w:val="19"/>
          <w:szCs w:val="19"/>
        </w:rPr>
        <w:t xml:space="preserve">wan-failover</w:t>
      </w:r>
      <w:r>
        <w:rPr>
          <w:rFonts w:ascii="Calibri" w:cs="Calibri" w:eastAsia="Calibri" w:hAnsi="Calibri"/>
          <w:sz w:val="21"/>
          <w:szCs w:val="21"/>
        </w:rPr>
        <w:t xml:space="preserve"> доступність ділянки A лишається 100 %, але p95 зростає з 19.15 до 24.00 мс, а сумарний час перемикання становить 15 с: модель відпрацьовує відмову перерозподілом трафіку, а не втратою сегмента. У </w:t>
      </w:r>
      <w:r>
        <w:rPr>
          <w:rFonts w:ascii="Consolas" w:cs="Consolas" w:eastAsia="Consolas" w:hAnsi="Consolas"/>
          <w:sz w:val="19"/>
          <w:szCs w:val="19"/>
        </w:rPr>
        <w:t xml:space="preserve">compound-challenge</w:t>
      </w:r>
      <w:r>
        <w:rPr>
          <w:rFonts w:ascii="Calibri" w:cs="Calibri" w:eastAsia="Calibri" w:hAnsi="Calibri"/>
          <w:sz w:val="21"/>
          <w:szCs w:val="21"/>
        </w:rPr>
        <w:t xml:space="preserve"> доступність A падає до 91.32 %, p95 обох ділянок зростає вчетверо (95.8 і 99.04 мс), а goodput ділянки A вперше опускається нижче одиниці — черги перестають розсмоктуватися в межах кроку.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9.3. Енергетичні результати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1650"/>
        <w:gridCol w:w="780"/>
        <w:gridCol w:w="780"/>
        <w:gridCol w:w="780"/>
        <w:gridCol w:w="930"/>
        <w:gridCol w:w="980"/>
        <w:gridCol w:w="760"/>
        <w:gridCol w:w="560"/>
        <w:gridCol w:w="510"/>
        <w:gridCol w:w="760"/>
        <w:gridCol w:w="1148"/>
      </w:tblGrid>
      <w:tr>
        <w:trPr>
          <w:tblHeader/>
        </w:trPr>
        <w:tc>
          <w:tcPr>
            <w:tcW w:type="dxa" w:w="16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Сценарій</w:t>
            </w:r>
          </w:p>
        </w:tc>
        <w:tc>
          <w:tcPr>
            <w:tcW w:type="dxa" w:w="7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SoC поч., %</w:t>
            </w:r>
          </w:p>
        </w:tc>
        <w:tc>
          <w:tcPr>
            <w:tcW w:type="dxa" w:w="7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SoC кін., %</w:t>
            </w:r>
          </w:p>
        </w:tc>
        <w:tc>
          <w:tcPr>
            <w:tcW w:type="dxa" w:w="7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SoC мін., %</w:t>
            </w:r>
          </w:p>
        </w:tc>
        <w:tc>
          <w:tcPr>
            <w:tcW w:type="dxa" w:w="93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автон. сер., хв</w:t>
            </w:r>
          </w:p>
        </w:tc>
        <w:tc>
          <w:tcPr>
            <w:tcW w:type="dxa" w:w="9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автон. гірш., хв</w:t>
            </w:r>
          </w:p>
        </w:tc>
        <w:tc>
          <w:tcPr>
            <w:tcW w:type="dxa" w:w="7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кроків АКБ</w:t>
            </w:r>
          </w:p>
        </w:tc>
        <w:tc>
          <w:tcPr>
            <w:tcW w:type="dxa" w:w="5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shed</w:t>
            </w:r>
          </w:p>
        </w:tc>
        <w:tc>
          <w:tcPr>
            <w:tcW w:type="dxa" w:w="51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trip</w:t>
            </w:r>
          </w:p>
        </w:tc>
        <w:tc>
          <w:tcPr>
            <w:tcW w:type="dxa" w:w="7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 max, °C</w:t>
            </w:r>
          </w:p>
        </w:tc>
        <w:tc>
          <w:tcPr>
            <w:tcW w:type="dxa" w:w="11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розбал., мВ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baseline-quiet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81.99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83.49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81.98</w:t>
            </w:r>
          </w:p>
        </w:tc>
        <w:tc>
          <w:tcPr>
            <w:tcW w:type="dxa" w:w="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92.245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88.21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23.4</w:t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6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wan-failover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81.99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83.49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81.98</w:t>
            </w:r>
          </w:p>
        </w:tc>
        <w:tc>
          <w:tcPr>
            <w:tcW w:type="dxa" w:w="9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92.245</w:t>
            </w:r>
          </w:p>
        </w:tc>
        <w:tc>
          <w:tcPr>
            <w:tcW w:type="dxa" w:w="9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88.21</w:t>
            </w:r>
          </w:p>
        </w:tc>
        <w:tc>
          <w:tcPr>
            <w:tcW w:type="dxa" w:w="7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1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7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23.4</w:t>
            </w:r>
          </w:p>
        </w:tc>
        <w:tc>
          <w:tcPr>
            <w:tcW w:type="dxa" w:w="114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cyber-campaign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81.99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83.86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81.98</w:t>
            </w:r>
          </w:p>
        </w:tc>
        <w:tc>
          <w:tcPr>
            <w:tcW w:type="dxa" w:w="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92.308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88.21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23.5</w:t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6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power-outage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81.99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80.78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80.08</w:t>
            </w:r>
          </w:p>
        </w:tc>
        <w:tc>
          <w:tcPr>
            <w:tcW w:type="dxa" w:w="9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90.188</w:t>
            </w:r>
          </w:p>
        </w:tc>
        <w:tc>
          <w:tcPr>
            <w:tcW w:type="dxa" w:w="9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54.311</w:t>
            </w:r>
          </w:p>
        </w:tc>
        <w:tc>
          <w:tcPr>
            <w:tcW w:type="dxa" w:w="7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842</w:t>
            </w:r>
          </w:p>
        </w:tc>
        <w:tc>
          <w:tcPr>
            <w:tcW w:type="dxa" w:w="5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797</w:t>
            </w:r>
          </w:p>
        </w:tc>
        <w:tc>
          <w:tcPr>
            <w:tcW w:type="dxa" w:w="51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53</w:t>
            </w:r>
          </w:p>
        </w:tc>
        <w:tc>
          <w:tcPr>
            <w:tcW w:type="dxa" w:w="7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24.1</w:t>
            </w:r>
          </w:p>
        </w:tc>
        <w:tc>
          <w:tcPr>
            <w:tcW w:type="dxa" w:w="114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120</w:t>
            </w:r>
          </w:p>
        </w:tc>
      </w:tr>
      <w:tr>
        <w:tc>
          <w:tcPr>
            <w:tcW w:type="dxa" w:w="1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compound-challenge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81.99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81.15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81.06</w:t>
            </w:r>
          </w:p>
        </w:tc>
        <w:tc>
          <w:tcPr>
            <w:tcW w:type="dxa" w:w="9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90.343</w:t>
            </w:r>
          </w:p>
        </w:tc>
        <w:tc>
          <w:tcPr>
            <w:tcW w:type="dxa" w:w="9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54.951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422</w:t>
            </w:r>
          </w:p>
        </w:tc>
        <w:tc>
          <w:tcPr>
            <w:tcW w:type="dxa" w:w="5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427</w:t>
            </w:r>
          </w:p>
        </w:tc>
        <w:tc>
          <w:tcPr>
            <w:tcW w:type="dxa" w:w="51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28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23.9</w:t>
            </w:r>
          </w:p>
        </w:tc>
        <w:tc>
          <w:tcPr>
            <w:tcW w:type="dxa" w:w="11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У сценарії </w:t>
      </w:r>
      <w:r>
        <w:rPr>
          <w:rFonts w:ascii="Consolas" w:cs="Consolas" w:eastAsia="Consolas" w:hAnsi="Consolas"/>
          <w:sz w:val="19"/>
          <w:szCs w:val="19"/>
        </w:rPr>
        <w:t xml:space="preserve">power-outage</w:t>
      </w:r>
      <w:r>
        <w:rPr>
          <w:rFonts w:ascii="Calibri" w:cs="Calibri" w:eastAsia="Calibri" w:hAnsi="Calibri"/>
          <w:sz w:val="21"/>
          <w:szCs w:val="21"/>
        </w:rPr>
        <w:t xml:space="preserve"> втрата мережі живлення на 60-й секунді переводить пакет у розряд на 842 кроки; заряд падає на 1.21 в. п. (з 81.99 до 80.78 %), найгірша автономність опускається до 54.3 хв, а менеджер навантаження виконує 797 кроків із відключеними групами II та III, зберігаючи групу I. Розбаланс комірок сягає 120 мВ — це прямий наслідок ін’єкції </w:t>
      </w:r>
      <w:r>
        <w:rPr>
          <w:rFonts w:ascii="Consolas" w:cs="Consolas" w:eastAsia="Consolas" w:hAnsi="Consolas"/>
          <w:sz w:val="19"/>
          <w:szCs w:val="19"/>
        </w:rPr>
        <w:t xml:space="preserve">cell_imbalance</w:t>
      </w:r>
      <w:r>
        <w:rPr>
          <w:rFonts w:ascii="Calibri" w:cs="Calibri" w:eastAsia="Calibri" w:hAnsi="Calibri"/>
          <w:sz w:val="21"/>
          <w:szCs w:val="21"/>
        </w:rPr>
        <w:t xml:space="preserve"> на 300-й секунді.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9.4. Результати виявлення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1600"/>
        <w:gridCol w:w="480"/>
        <w:gridCol w:w="460"/>
        <w:gridCol w:w="520"/>
        <w:gridCol w:w="660"/>
        <w:gridCol w:w="920"/>
        <w:gridCol w:w="800"/>
        <w:gridCol w:w="800"/>
        <w:gridCol w:w="1700"/>
        <w:gridCol w:w="1698"/>
      </w:tblGrid>
      <w:tr>
        <w:trPr>
          <w:tblHeader/>
        </w:trPr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Сценарій</w:t>
            </w:r>
          </w:p>
        </w:tc>
        <w:tc>
          <w:tcPr>
            <w:tcW w:type="dxa" w:w="4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TP</w:t>
            </w:r>
          </w:p>
        </w:tc>
        <w:tc>
          <w:tcPr>
            <w:tcW w:type="dxa" w:w="4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FP</w:t>
            </w:r>
          </w:p>
        </w:tc>
        <w:tc>
          <w:tcPr>
            <w:tcW w:type="dxa" w:w="5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FN</w:t>
            </w:r>
          </w:p>
        </w:tc>
        <w:tc>
          <w:tcPr>
            <w:tcW w:type="dxa" w:w="6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TN</w:t>
            </w:r>
          </w:p>
        </w:tc>
        <w:tc>
          <w:tcPr>
            <w:tcW w:type="dxa" w:w="9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precision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recall</w:t>
            </w:r>
          </w:p>
        </w:tc>
        <w:tc>
          <w:tcPr>
            <w:tcW w:type="dxa" w:w="8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F1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recall 95 % CI</w:t>
            </w:r>
          </w:p>
        </w:tc>
        <w:tc>
          <w:tcPr>
            <w:tcW w:type="dxa" w:w="169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4"/>
                <w:szCs w:val="14"/>
              </w:rPr>
              <w:t xml:space="preserve">хибні / 1k кроків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baseline-quiet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1204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16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wan-failover</w:t>
            </w:r>
          </w:p>
        </w:tc>
        <w:tc>
          <w:tcPr>
            <w:tcW w:type="dxa" w:w="4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6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1204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169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cyber-campaign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146</w:t>
            </w:r>
          </w:p>
        </w:tc>
        <w:tc>
          <w:tcPr>
            <w:tcW w:type="dxa" w:w="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597</w:t>
            </w:r>
          </w:p>
        </w:tc>
        <w:tc>
          <w:tcPr>
            <w:tcW w:type="dxa" w:w="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662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0.1965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0.3285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0.170 – 0.227</w:t>
            </w:r>
          </w:p>
        </w:tc>
        <w:tc>
          <w:tcPr>
            <w:tcW w:type="dxa" w:w="16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power-outage</w:t>
            </w:r>
          </w:p>
        </w:tc>
        <w:tc>
          <w:tcPr>
            <w:tcW w:type="dxa" w:w="4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4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6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2408</w:t>
            </w:r>
          </w:p>
        </w:tc>
        <w:tc>
          <w:tcPr>
            <w:tcW w:type="dxa" w:w="9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8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1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—</w:t>
            </w:r>
          </w:p>
        </w:tc>
        <w:tc>
          <w:tcPr>
            <w:tcW w:type="dxa" w:w="169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5"/>
                <w:szCs w:val="15"/>
              </w:rPr>
              <w:t xml:space="preserve">compound-challenge</w:t>
            </w:r>
          </w:p>
        </w:tc>
        <w:tc>
          <w:tcPr>
            <w:tcW w:type="dxa" w:w="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120</w:t>
            </w:r>
          </w:p>
        </w:tc>
        <w:tc>
          <w:tcPr>
            <w:tcW w:type="dxa" w:w="4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6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1225</w:t>
            </w:r>
          </w:p>
        </w:tc>
        <w:tc>
          <w:tcPr>
            <w:tcW w:type="dxa" w:w="9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0.969 – 1.000</w:t>
            </w:r>
          </w:p>
        </w:tc>
        <w:tc>
          <w:tcPr>
            <w:tcW w:type="dxa" w:w="169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Довірчі інтервали для recall — Wilson. Прочерк означає відсутність подій ground truth у прогоні, тобто невизначену метрику, а не нуль.</w:t>
      </w:r>
    </w:p>
    <w:tbl>
      <w:tblPr>
        <w:tblW w:type="dxa" w:w="9638"/>
        <w:tblBorders>
          <w:top w:val="none"/>
          <w:left w:val="single" w:color="D98E04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FF4E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7A4E00"/>
                <w:sz w:val="20"/>
                <w:szCs w:val="20"/>
              </w:rPr>
              <w:t xml:space="preserve">Інтерпретація метрик виявлення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baseline-quiet, wan-failover і power-outage дають нуль тривог. Це очікувано: прозорий правиловий baseline не має хибних спрацювань на штатному навантаженні та на суто інфраструктурних подіях, які не входять до розмітки як кіберподії.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cyber-campaign дає precision 1.0 за recall 0.1965 (95 % CI 0.170–0.227): правила ловлять лише інтенсивну розвідку, тоді як latent-стадії ланцюга лишаються невиявленими. Це є сенсом порівняння з Edge-AI, а не доказом якості AI.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compound-challenge дає recall 1.0 (95 % CI 0.969–1.0) за 120 подій: одночасні збої створюють настільки виразні сигнатури, що правиловий рушій виявляє їх усі. Це властивість сценарію, а не детектора.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9.5. Демонстраційний прогін на три репліки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1400"/>
        <w:gridCol w:w="1600"/>
        <w:gridCol w:w="1500"/>
        <w:gridCol w:w="1700"/>
        <w:gridCol w:w="1900"/>
        <w:gridCol w:w="1538"/>
      </w:tblGrid>
      <w:tr>
        <w:trPr>
          <w:tblHeader/>
        </w:trPr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Репліка</w:t>
            </w:r>
          </w:p>
        </w:tc>
        <w:tc>
          <w:tcPr>
            <w:tcW w:type="dxa" w:w="1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рядків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тривог</w:t>
            </w:r>
          </w:p>
        </w:tc>
        <w:tc>
          <w:tcPr>
            <w:tcW w:type="dxa" w:w="1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переходів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RTT p95 A, мс</w:t>
            </w:r>
          </w:p>
        </w:tc>
        <w:tc>
          <w:tcPr>
            <w:tcW w:type="dxa" w:w="15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ΔSoC, %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0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1806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71.725</w:t>
            </w:r>
          </w:p>
        </w:tc>
        <w:tc>
          <w:tcPr>
            <w:tcW w:type="dxa" w:w="1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-0.96</w:t>
            </w:r>
          </w:p>
        </w:tc>
      </w:tr>
      <w:tr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  <w:tc>
          <w:tcPr>
            <w:tcW w:type="dxa" w:w="1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1811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60</w:t>
            </w:r>
          </w:p>
        </w:tc>
        <w:tc>
          <w:tcPr>
            <w:tcW w:type="dxa" w:w="1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143</w:t>
            </w:r>
          </w:p>
        </w:tc>
        <w:tc>
          <w:tcPr>
            <w:tcW w:type="dxa" w:w="1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71.68</w:t>
            </w:r>
          </w:p>
        </w:tc>
        <w:tc>
          <w:tcPr>
            <w:tcW w:type="dxa" w:w="15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-1.14</w:t>
            </w:r>
          </w:p>
        </w:tc>
      </w:tr>
      <w:tr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</w:t>
            </w:r>
          </w:p>
        </w:tc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1805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61</w:t>
            </w:r>
          </w:p>
        </w:tc>
        <w:tc>
          <w:tcPr>
            <w:tcW w:type="dxa" w:w="1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143</w:t>
            </w:r>
          </w:p>
        </w:tc>
        <w:tc>
          <w:tcPr>
            <w:tcW w:type="dxa" w:w="1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72.2515</w:t>
            </w:r>
          </w:p>
        </w:tc>
        <w:tc>
          <w:tcPr>
            <w:tcW w:type="dxa" w:w="15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-1.02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Разом 5422 рядків, усі data-quality gates пройдено. Репліки відрізняються кількістю рядків (1 805–1 811) і тривог (60–61), що підтверджує роботу незалежних потоків випадковості за незмінного числа причинних переходів (143).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10. F.7. Чутливість: план експерименту</w:t>
      </w: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Виконано латинський гіперкуб на 8 точок за п’ятьма факторами специфікації (розділ 12). Хеш плану — 21ba9401d7d5e779…; кожна точка є окремим прогоном з власним каталогом артефактів.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10.1. Точки плану та відгуки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420"/>
        <w:gridCol w:w="780"/>
        <w:gridCol w:w="1050"/>
        <w:gridCol w:w="1000"/>
        <w:gridCol w:w="1030"/>
        <w:gridCol w:w="1020"/>
        <w:gridCol w:w="830"/>
        <w:gridCol w:w="950"/>
        <w:gridCol w:w="620"/>
        <w:gridCol w:w="520"/>
        <w:gridCol w:w="570"/>
        <w:gridCol w:w="848"/>
      </w:tblGrid>
      <w:tr>
        <w:trPr>
          <w:tblHeader/>
        </w:trPr>
        <w:tc>
          <w:tcPr>
            <w:tcW w:type="dxa" w:w="4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#</w:t>
            </w:r>
          </w:p>
        </w:tc>
        <w:tc>
          <w:tcPr>
            <w:tcW w:type="dxa" w:w="78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SoC₀, %</w:t>
            </w:r>
          </w:p>
        </w:tc>
        <w:tc>
          <w:tcPr>
            <w:tcW w:type="dxa" w:w="10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крит. навант., Вт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затр. failover, с</w:t>
            </w:r>
          </w:p>
        </w:tc>
        <w:tc>
          <w:tcPr>
            <w:tcW w:type="dxa" w:w="103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навант., Мбіт/с</w:t>
            </w:r>
          </w:p>
        </w:tc>
        <w:tc>
          <w:tcPr>
            <w:tcW w:type="dxa" w:w="10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поріг детектора</w:t>
            </w:r>
          </w:p>
        </w:tc>
        <w:tc>
          <w:tcPr>
            <w:tcW w:type="dxa" w:w="83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дост. A, %</w:t>
            </w:r>
          </w:p>
        </w:tc>
        <w:tc>
          <w:tcPr>
            <w:tcW w:type="dxa" w:w="9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RTT p95 A, мс</w:t>
            </w:r>
          </w:p>
        </w:tc>
        <w:tc>
          <w:tcPr>
            <w:tcW w:type="dxa" w:w="6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shed</w:t>
            </w:r>
          </w:p>
        </w:tc>
        <w:tc>
          <w:tcPr>
            <w:tcW w:type="dxa" w:w="5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TP</w:t>
            </w:r>
          </w:p>
        </w:tc>
        <w:tc>
          <w:tcPr>
            <w:tcW w:type="dxa" w:w="57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FN</w:t>
            </w:r>
          </w:p>
        </w:tc>
        <w:tc>
          <w:tcPr>
            <w:tcW w:type="dxa" w:w="84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3"/>
                <w:szCs w:val="13"/>
              </w:rPr>
              <w:t xml:space="preserve">recall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53.52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305.7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316.7</w:t>
            </w:r>
          </w:p>
        </w:tc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0.325</w:t>
            </w:r>
          </w:p>
        </w:tc>
        <w:tc>
          <w:tcPr>
            <w:tcW w:type="dxa" w:w="8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96.124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71.96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209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60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291</w:t>
            </w:r>
          </w:p>
        </w:tc>
        <w:tc>
          <w:tcPr>
            <w:tcW w:type="dxa" w:w="8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0.1709</w:t>
            </w:r>
          </w:p>
        </w:tc>
      </w:tr>
      <w:tr>
        <w:tc>
          <w:tcPr>
            <w:tcW w:type="dxa" w:w="4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84.36</w:t>
            </w:r>
          </w:p>
        </w:tc>
        <w:tc>
          <w:tcPr>
            <w:tcW w:type="dxa" w:w="10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378.4</w:t>
            </w:r>
          </w:p>
        </w:tc>
        <w:tc>
          <w:tcPr>
            <w:tcW w:type="dxa" w:w="1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10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392.1</w:t>
            </w:r>
          </w:p>
        </w:tc>
        <w:tc>
          <w:tcPr>
            <w:tcW w:type="dxa" w:w="10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0.695</w:t>
            </w:r>
          </w:p>
        </w:tc>
        <w:tc>
          <w:tcPr>
            <w:tcW w:type="dxa" w:w="8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96.124</w:t>
            </w:r>
          </w:p>
        </w:tc>
        <w:tc>
          <w:tcPr>
            <w:tcW w:type="dxa" w:w="9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72.726</w:t>
            </w:r>
          </w:p>
        </w:tc>
        <w:tc>
          <w:tcPr>
            <w:tcW w:type="dxa" w:w="6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209</w:t>
            </w:r>
          </w:p>
        </w:tc>
        <w:tc>
          <w:tcPr>
            <w:tcW w:type="dxa" w:w="5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  <w:tc>
          <w:tcPr>
            <w:tcW w:type="dxa" w:w="57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350</w:t>
            </w:r>
          </w:p>
        </w:tc>
        <w:tc>
          <w:tcPr>
            <w:tcW w:type="dxa" w:w="84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32.39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173.6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133.3</w:t>
            </w:r>
          </w:p>
        </w:tc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0.255</w:t>
            </w:r>
          </w:p>
        </w:tc>
        <w:tc>
          <w:tcPr>
            <w:tcW w:type="dxa" w:w="8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96.1197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71.6875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208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110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242</w:t>
            </w:r>
          </w:p>
        </w:tc>
        <w:tc>
          <w:tcPr>
            <w:tcW w:type="dxa" w:w="8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0.3125</w:t>
            </w:r>
          </w:p>
        </w:tc>
      </w:tr>
      <w:tr>
        <w:tc>
          <w:tcPr>
            <w:tcW w:type="dxa" w:w="4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72.29</w:t>
            </w:r>
          </w:p>
        </w:tc>
        <w:tc>
          <w:tcPr>
            <w:tcW w:type="dxa" w:w="10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272.2</w:t>
            </w:r>
          </w:p>
        </w:tc>
        <w:tc>
          <w:tcPr>
            <w:tcW w:type="dxa" w:w="1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10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113.1</w:t>
            </w:r>
          </w:p>
        </w:tc>
        <w:tc>
          <w:tcPr>
            <w:tcW w:type="dxa" w:w="10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0.356</w:t>
            </w:r>
          </w:p>
        </w:tc>
        <w:tc>
          <w:tcPr>
            <w:tcW w:type="dxa" w:w="8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96.1283</w:t>
            </w:r>
          </w:p>
        </w:tc>
        <w:tc>
          <w:tcPr>
            <w:tcW w:type="dxa" w:w="9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71.853</w:t>
            </w:r>
          </w:p>
        </w:tc>
        <w:tc>
          <w:tcPr>
            <w:tcW w:type="dxa" w:w="6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210</w:t>
            </w:r>
          </w:p>
        </w:tc>
        <w:tc>
          <w:tcPr>
            <w:tcW w:type="dxa" w:w="5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57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337</w:t>
            </w:r>
          </w:p>
        </w:tc>
        <w:tc>
          <w:tcPr>
            <w:tcW w:type="dxa" w:w="84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0.0426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40.38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220.3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228.1</w:t>
            </w:r>
          </w:p>
        </w:tc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0.520</w:t>
            </w:r>
          </w:p>
        </w:tc>
        <w:tc>
          <w:tcPr>
            <w:tcW w:type="dxa" w:w="8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96.1283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72.156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208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335</w:t>
            </w:r>
          </w:p>
        </w:tc>
        <w:tc>
          <w:tcPr>
            <w:tcW w:type="dxa" w:w="8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0.0429</w:t>
            </w:r>
          </w:p>
        </w:tc>
      </w:tr>
      <w:tr>
        <w:tc>
          <w:tcPr>
            <w:tcW w:type="dxa" w:w="4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5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64.47</w:t>
            </w:r>
          </w:p>
        </w:tc>
        <w:tc>
          <w:tcPr>
            <w:tcW w:type="dxa" w:w="10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331.6</w:t>
            </w:r>
          </w:p>
        </w:tc>
        <w:tc>
          <w:tcPr>
            <w:tcW w:type="dxa" w:w="1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10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242.5</w:t>
            </w:r>
          </w:p>
        </w:tc>
        <w:tc>
          <w:tcPr>
            <w:tcW w:type="dxa" w:w="10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0.468</w:t>
            </w:r>
          </w:p>
        </w:tc>
        <w:tc>
          <w:tcPr>
            <w:tcW w:type="dxa" w:w="8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96.1369</w:t>
            </w:r>
          </w:p>
        </w:tc>
        <w:tc>
          <w:tcPr>
            <w:tcW w:type="dxa" w:w="9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72.6265</w:t>
            </w:r>
          </w:p>
        </w:tc>
        <w:tc>
          <w:tcPr>
            <w:tcW w:type="dxa" w:w="6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210</w:t>
            </w:r>
          </w:p>
        </w:tc>
        <w:tc>
          <w:tcPr>
            <w:tcW w:type="dxa" w:w="5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57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335</w:t>
            </w:r>
          </w:p>
        </w:tc>
        <w:tc>
          <w:tcPr>
            <w:tcW w:type="dxa" w:w="84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0.0429</w:t>
            </w:r>
          </w:p>
        </w:tc>
      </w:tr>
      <w:tr>
        <w:tc>
          <w:tcPr>
            <w:tcW w:type="dxa" w:w="4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6</w:t>
            </w:r>
          </w:p>
        </w:tc>
        <w:tc>
          <w:tcPr>
            <w:tcW w:type="dxa" w:w="7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88.90</w:t>
            </w:r>
          </w:p>
        </w:tc>
        <w:tc>
          <w:tcPr>
            <w:tcW w:type="dxa" w:w="10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200.6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</w:t>
            </w:r>
          </w:p>
        </w:tc>
        <w:tc>
          <w:tcPr>
            <w:tcW w:type="dxa" w:w="10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189.2</w:t>
            </w:r>
          </w:p>
        </w:tc>
        <w:tc>
          <w:tcPr>
            <w:tcW w:type="dxa" w:w="10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0.406</w:t>
            </w:r>
          </w:p>
        </w:tc>
        <w:tc>
          <w:tcPr>
            <w:tcW w:type="dxa" w:w="83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96.1154</w:t>
            </w:r>
          </w:p>
        </w:tc>
        <w:tc>
          <w:tcPr>
            <w:tcW w:type="dxa" w:w="9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71.71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208</w:t>
            </w:r>
          </w:p>
        </w:tc>
        <w:tc>
          <w:tcPr>
            <w:tcW w:type="dxa" w:w="5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337</w:t>
            </w:r>
          </w:p>
        </w:tc>
        <w:tc>
          <w:tcPr>
            <w:tcW w:type="dxa" w:w="84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0.0426</w:t>
            </w:r>
          </w:p>
        </w:tc>
      </w:tr>
      <w:tr>
        <w:tc>
          <w:tcPr>
            <w:tcW w:type="dxa" w:w="4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</w:t>
            </w:r>
          </w:p>
        </w:tc>
        <w:tc>
          <w:tcPr>
            <w:tcW w:type="dxa" w:w="78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46.18</w:t>
            </w:r>
          </w:p>
        </w:tc>
        <w:tc>
          <w:tcPr>
            <w:tcW w:type="dxa" w:w="10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365.7</w:t>
            </w:r>
          </w:p>
        </w:tc>
        <w:tc>
          <w:tcPr>
            <w:tcW w:type="dxa" w:w="1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10</w:t>
            </w:r>
          </w:p>
        </w:tc>
        <w:tc>
          <w:tcPr>
            <w:tcW w:type="dxa" w:w="10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328.9</w:t>
            </w:r>
          </w:p>
        </w:tc>
        <w:tc>
          <w:tcPr>
            <w:tcW w:type="dxa" w:w="10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0.596</w:t>
            </w:r>
          </w:p>
        </w:tc>
        <w:tc>
          <w:tcPr>
            <w:tcW w:type="dxa" w:w="83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96.124</w:t>
            </w:r>
          </w:p>
        </w:tc>
        <w:tc>
          <w:tcPr>
            <w:tcW w:type="dxa" w:w="9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73.06</w:t>
            </w:r>
          </w:p>
        </w:tc>
        <w:tc>
          <w:tcPr>
            <w:tcW w:type="dxa" w:w="6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209</w:t>
            </w:r>
          </w:p>
        </w:tc>
        <w:tc>
          <w:tcPr>
            <w:tcW w:type="dxa" w:w="5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15</w:t>
            </w:r>
          </w:p>
        </w:tc>
        <w:tc>
          <w:tcPr>
            <w:tcW w:type="dxa" w:w="57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335</w:t>
            </w:r>
          </w:p>
        </w:tc>
        <w:tc>
          <w:tcPr>
            <w:tcW w:type="dxa" w:w="84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5"/>
                <w:szCs w:val="15"/>
              </w:rPr>
              <w:t xml:space="preserve">0.0429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3864"/>
          <w:sz w:val="25"/>
          <w:szCs w:val="25"/>
        </w:rPr>
        <w:t xml:space="preserve">10.1. Впливові фактори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Поріг детектора — домінантний фактор виявлення.</w:t>
      </w:r>
      <w:r>
        <w:rPr>
          <w:rFonts w:ascii="Calibri" w:cs="Calibri" w:eastAsia="Calibri" w:hAnsi="Calibri"/>
          <w:sz w:val="21"/>
          <w:szCs w:val="21"/>
        </w:rPr>
        <w:t xml:space="preserve"> Recall падає монотонно з 0.3125 за порогу 0.255 до 0.0 за порогу 0.695, тоді як precision лишається 1.0 у кожній точці, де є хоч одна тривога. Правиловий рушій за конструкцією не дає хибних спрацювань; ціною є втрата чутливості.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Енергетичні фактори майже не впливають на мережу.</w:t>
      </w:r>
      <w:r>
        <w:rPr>
          <w:rFonts w:ascii="Calibri" w:cs="Calibri" w:eastAsia="Calibri" w:hAnsi="Calibri"/>
          <w:sz w:val="21"/>
          <w:szCs w:val="21"/>
        </w:rPr>
        <w:t xml:space="preserve"> Початковий заряд у діапазоні 32–89 % і критичне навантаження 174–378 Вт змінюють кількість кроків shedding лише в межах 208–210 із 1 805 рядків.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Запропоноване навантаження й затримка failover слабко впливають на p95.</w:t>
      </w:r>
      <w:r>
        <w:rPr>
          <w:rFonts w:ascii="Calibri" w:cs="Calibri" w:eastAsia="Calibri" w:hAnsi="Calibri"/>
          <w:sz w:val="21"/>
          <w:szCs w:val="21"/>
        </w:rPr>
        <w:t xml:space="preserve"> Розкид становить 71.69–73.06 мс за зміни навантаження від 113 до 392 Мбіт/с — модель черги лишається далеко від насичення в межах заданої області.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Aleatory-інтервал</w:t>
      </w:r>
      <w:r>
        <w:rPr>
          <w:rFonts w:ascii="Calibri" w:cs="Calibri" w:eastAsia="Calibri" w:hAnsi="Calibri"/>
          <w:sz w:val="21"/>
          <w:szCs w:val="21"/>
        </w:rPr>
        <w:t xml:space="preserve"> за прогонами Monte Carlo (нижче) становить близько 0.34 мс для RTT p95 ділянки A, тобто на порядок менший за розкид, спричинений факторами плану.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Порушень інваріантів</w:t>
      </w:r>
      <w:r>
        <w:rPr>
          <w:rFonts w:ascii="Calibri" w:cs="Calibri" w:eastAsia="Calibri" w:hAnsi="Calibri"/>
          <w:sz w:val="21"/>
          <w:szCs w:val="21"/>
        </w:rPr>
        <w:t xml:space="preserve"> у жодній із восьми точок не зафіксовано; усі прогони завершилися штатно.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11. Monte Carlo з послідовною зупинкою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3400"/>
        <w:gridCol w:w="6238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Поле</w:t>
            </w:r>
          </w:p>
        </w:tc>
        <w:tc>
          <w:tcPr>
            <w:tcW w:type="dxa" w:w="62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Значення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Метрика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network.site_a.rtt_p95_ms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Ліміт реплік</w:t>
            </w:r>
          </w:p>
        </w:tc>
        <w:tc>
          <w:tcPr>
            <w:tcW w:type="dxa" w:w="62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Цільова півширина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2.0 мс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Виконано реплік</w:t>
            </w:r>
          </w:p>
        </w:tc>
        <w:tc>
          <w:tcPr>
            <w:tcW w:type="dxa" w:w="62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Причина зупинки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target_half_width (досягнуто цільової півширини)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Оцінка</w:t>
            </w:r>
          </w:p>
        </w:tc>
        <w:tc>
          <w:tcPr>
            <w:tcW w:type="dxa" w:w="62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71.8948 мс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Кластерний bootstrap 95 % CI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71.7355 – 72.0784 мс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Нормальне наближення 95 % CI</w:t>
            </w:r>
          </w:p>
        </w:tc>
        <w:tc>
          <w:tcPr>
            <w:tcW w:type="dxa" w:w="62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71.7183 – 72.0713 мс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Кластерів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Рекомендовано додаткових реплік</w:t>
            </w:r>
          </w:p>
        </w:tc>
        <w:tc>
          <w:tcPr>
            <w:tcW w:type="dxa" w:w="62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Значення за репліками, мс</w:t>
            </w:r>
          </w:p>
        </w:tc>
        <w:tc>
          <w:tcPr>
            <w:tcW w:type="dxa" w:w="6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71.725, 71.68, 72.2515, 71.905, 71.9125</w:t>
            </w: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Кампанію зупинено на п’ятій репліці, щойно півширина довірчого інтервалу досягла цілі. Одиницею аналізу є прогін, тому інтервал будується кластерним bootstrap; фактична півширина (0.17 мс) на порядок менша за цільову, що вказує на низьку дисперсію моделі за фіксованої конфігурації.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12. F.5. Data quality gates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12.1. Результати gates за сценаріями (значення / поріг)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2200"/>
        <w:gridCol w:w="1500"/>
        <w:gridCol w:w="1500"/>
        <w:gridCol w:w="1500"/>
        <w:gridCol w:w="1500"/>
        <w:gridCol w:w="1438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Gate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baseline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wan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cyber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power</w:t>
            </w:r>
          </w:p>
        </w:tc>
        <w:tc>
          <w:tcPr>
            <w:tcW w:type="dxa" w:w="14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compound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completeness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/ 90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/ 90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/ 90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 / 90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95.661 / 90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time_monotonic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4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duplicate_rate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0.332 / 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0.332 / 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0.356 / 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0.332 / 5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0.427 / 5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soc_continuity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0.19 / 0.5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0.19 / 0.5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0.19 / 0.5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0.27 / 0.5</w:t>
            </w:r>
          </w:p>
        </w:tc>
        <w:tc>
          <w:tcPr>
            <w:tcW w:type="dxa" w:w="14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0.19 / 0.5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energy_sign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</w:tr>
      <w:tr>
        <w:tc>
          <w:tcPr>
            <w:tcW w:type="dxa" w:w="22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voltage_consistency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4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gap_blanking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  <w:tc>
          <w:tcPr>
            <w:tcW w:type="dxa" w:w="14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 / 0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Усі 35 перевірок (7 gates × 5 сценаріїв) пройдено. Заголовки скорочено: baseline, wan, cyber, power, compound.</w:t>
      </w: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Найінформативніший рядок — </w:t>
      </w:r>
      <w:r>
        <w:rPr>
          <w:rFonts w:ascii="Consolas" w:cs="Consolas" w:eastAsia="Consolas" w:hAnsi="Consolas"/>
          <w:sz w:val="19"/>
          <w:szCs w:val="19"/>
        </w:rPr>
        <w:t xml:space="preserve">completeness</w:t>
      </w:r>
      <w:r>
        <w:rPr>
          <w:rFonts w:ascii="Calibri" w:cs="Calibri" w:eastAsia="Calibri" w:hAnsi="Calibri"/>
          <w:sz w:val="21"/>
          <w:szCs w:val="21"/>
        </w:rPr>
        <w:t xml:space="preserve">: у </w:t>
      </w:r>
      <w:r>
        <w:rPr>
          <w:rFonts w:ascii="Consolas" w:cs="Consolas" w:eastAsia="Consolas" w:hAnsi="Consolas"/>
          <w:sz w:val="19"/>
          <w:szCs w:val="19"/>
        </w:rPr>
        <w:t xml:space="preserve">compound-challenge</w:t>
      </w:r>
      <w:r>
        <w:rPr>
          <w:rFonts w:ascii="Calibri" w:cs="Calibri" w:eastAsia="Calibri" w:hAnsi="Calibri"/>
          <w:sz w:val="21"/>
          <w:szCs w:val="21"/>
        </w:rPr>
        <w:t xml:space="preserve"> повнота падає до 95.66 % за порогу 90 %, оскільки ін’єкція </w:t>
      </w:r>
      <w:r>
        <w:rPr>
          <w:rFonts w:ascii="Consolas" w:cs="Consolas" w:eastAsia="Consolas" w:hAnsi="Consolas"/>
          <w:sz w:val="19"/>
          <w:szCs w:val="19"/>
        </w:rPr>
        <w:t xml:space="preserve">telemetry_loss</w:t>
      </w:r>
      <w:r>
        <w:rPr>
          <w:rFonts w:ascii="Calibri" w:cs="Calibri" w:eastAsia="Calibri" w:hAnsi="Calibri"/>
          <w:sz w:val="21"/>
          <w:szCs w:val="21"/>
        </w:rPr>
        <w:t xml:space="preserve"> на 300-й секунді створює реальні пропуски. Gate </w:t>
      </w:r>
      <w:r>
        <w:rPr>
          <w:rFonts w:ascii="Consolas" w:cs="Consolas" w:eastAsia="Consolas" w:hAnsi="Consolas"/>
          <w:sz w:val="19"/>
          <w:szCs w:val="19"/>
        </w:rPr>
        <w:t xml:space="preserve">gap_blanking</w:t>
      </w:r>
      <w:r>
        <w:rPr>
          <w:rFonts w:ascii="Calibri" w:cs="Calibri" w:eastAsia="Calibri" w:hAnsi="Calibri"/>
          <w:sz w:val="21"/>
          <w:szCs w:val="21"/>
        </w:rPr>
        <w:t xml:space="preserve"> при цьому проходить із нульовим значенням: пропуски позначено як пропуски, а не заповнено вигаданими вимірюваннями. Саме це поєднання — знижена повнота за збереженої чесності розмітки — і є очікуваною поведінкою.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13. Відповідність еталонним значенням специфікації</w:t>
      </w: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Порівняння відтвореної кампанії з контрольними значеннями розділів K.2–K.8. Порівняння точне: розбіжність у будь-якому розряді, наведеному в специфікації, трактується як відхилення.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13.1. Контрольні значення K.6 — відтворені проти еталонних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1750"/>
        <w:gridCol w:w="760"/>
        <w:gridCol w:w="860"/>
        <w:gridCol w:w="860"/>
        <w:gridCol w:w="860"/>
        <w:gridCol w:w="700"/>
        <w:gridCol w:w="620"/>
        <w:gridCol w:w="570"/>
        <w:gridCol w:w="1290"/>
        <w:gridCol w:w="1368"/>
      </w:tblGrid>
      <w:tr>
        <w:trPr>
          <w:tblHeader/>
        </w:trPr>
        <w:tc>
          <w:tcPr>
            <w:tcW w:type="dxa" w:w="175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Сценарій</w:t>
            </w:r>
          </w:p>
        </w:tc>
        <w:tc>
          <w:tcPr>
            <w:tcW w:type="dxa" w:w="7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рядків</w:t>
            </w:r>
          </w:p>
        </w:tc>
        <w:tc>
          <w:tcPr>
            <w:tcW w:type="dxa" w:w="8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дост. A</w:t>
            </w:r>
          </w:p>
        </w:tc>
        <w:tc>
          <w:tcPr>
            <w:tcW w:type="dxa" w:w="8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p95 A</w:t>
            </w:r>
          </w:p>
        </w:tc>
        <w:tc>
          <w:tcPr>
            <w:tcW w:type="dxa" w:w="86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p95 B</w:t>
            </w:r>
          </w:p>
        </w:tc>
        <w:tc>
          <w:tcPr>
            <w:tcW w:type="dxa" w:w="7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ΔSoC</w:t>
            </w:r>
          </w:p>
        </w:tc>
        <w:tc>
          <w:tcPr>
            <w:tcW w:type="dxa" w:w="62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shed</w:t>
            </w:r>
          </w:p>
        </w:tc>
        <w:tc>
          <w:tcPr>
            <w:tcW w:type="dxa" w:w="57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trip</w:t>
            </w:r>
          </w:p>
        </w:tc>
        <w:tc>
          <w:tcPr>
            <w:tcW w:type="dxa" w:w="129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TP/FP/FN</w:t>
            </w:r>
          </w:p>
        </w:tc>
        <w:tc>
          <w:tcPr>
            <w:tcW w:type="dxa" w:w="136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Статус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baseline-quiet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1204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19.15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24.39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-1.5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12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0/0/0</w:t>
            </w:r>
          </w:p>
        </w:tc>
        <w:tc>
          <w:tcPr>
            <w:tcW w:type="dxa" w:w="13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wan-failover</w:t>
            </w:r>
          </w:p>
        </w:tc>
        <w:tc>
          <w:tcPr>
            <w:tcW w:type="dxa" w:w="7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1204</w:t>
            </w:r>
          </w:p>
        </w:tc>
        <w:tc>
          <w:tcPr>
            <w:tcW w:type="dxa" w:w="8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8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24.0025</w:t>
            </w:r>
          </w:p>
        </w:tc>
        <w:tc>
          <w:tcPr>
            <w:tcW w:type="dxa" w:w="8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24.38</w:t>
            </w:r>
          </w:p>
        </w:tc>
        <w:tc>
          <w:tcPr>
            <w:tcW w:type="dxa" w:w="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-1.5</w:t>
            </w:r>
          </w:p>
        </w:tc>
        <w:tc>
          <w:tcPr>
            <w:tcW w:type="dxa" w:w="6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129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0/0/0</w:t>
            </w:r>
          </w:p>
        </w:tc>
        <w:tc>
          <w:tcPr>
            <w:tcW w:type="dxa" w:w="136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cyber-campaign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1405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19.28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24.379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-1.87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</w:t>
            </w:r>
          </w:p>
        </w:tc>
        <w:tc>
          <w:tcPr>
            <w:tcW w:type="dxa" w:w="12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146/0/597</w:t>
            </w:r>
          </w:p>
        </w:tc>
        <w:tc>
          <w:tcPr>
            <w:tcW w:type="dxa" w:w="13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175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power-outage</w:t>
            </w:r>
          </w:p>
        </w:tc>
        <w:tc>
          <w:tcPr>
            <w:tcW w:type="dxa" w:w="7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2408</w:t>
            </w:r>
          </w:p>
        </w:tc>
        <w:tc>
          <w:tcPr>
            <w:tcW w:type="dxa" w:w="8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100</w:t>
            </w:r>
          </w:p>
        </w:tc>
        <w:tc>
          <w:tcPr>
            <w:tcW w:type="dxa" w:w="8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19.191</w:t>
            </w:r>
          </w:p>
        </w:tc>
        <w:tc>
          <w:tcPr>
            <w:tcW w:type="dxa" w:w="86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24.309</w:t>
            </w:r>
          </w:p>
        </w:tc>
        <w:tc>
          <w:tcPr>
            <w:tcW w:type="dxa" w:w="7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1.21</w:t>
            </w:r>
          </w:p>
        </w:tc>
        <w:tc>
          <w:tcPr>
            <w:tcW w:type="dxa" w:w="62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797</w:t>
            </w:r>
          </w:p>
        </w:tc>
        <w:tc>
          <w:tcPr>
            <w:tcW w:type="dxa" w:w="57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53</w:t>
            </w:r>
          </w:p>
        </w:tc>
        <w:tc>
          <w:tcPr>
            <w:tcW w:type="dxa" w:w="129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0/0/0</w:t>
            </w:r>
          </w:p>
        </w:tc>
        <w:tc>
          <w:tcPr>
            <w:tcW w:type="dxa" w:w="136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17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compound-challenge</w:t>
            </w:r>
          </w:p>
        </w:tc>
        <w:tc>
          <w:tcPr>
            <w:tcW w:type="dxa" w:w="7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1406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91.3229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95.8</w:t>
            </w:r>
          </w:p>
        </w:tc>
        <w:tc>
          <w:tcPr>
            <w:tcW w:type="dxa" w:w="86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99.04</w:t>
            </w:r>
          </w:p>
        </w:tc>
        <w:tc>
          <w:tcPr>
            <w:tcW w:type="dxa" w:w="7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0.84</w:t>
            </w:r>
          </w:p>
        </w:tc>
        <w:tc>
          <w:tcPr>
            <w:tcW w:type="dxa" w:w="62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427</w:t>
            </w:r>
          </w:p>
        </w:tc>
        <w:tc>
          <w:tcPr>
            <w:tcW w:type="dxa" w:w="57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</w:t>
            </w:r>
          </w:p>
        </w:tc>
        <w:tc>
          <w:tcPr>
            <w:tcW w:type="dxa" w:w="129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120/0/0</w:t>
            </w:r>
          </w:p>
        </w:tc>
        <w:tc>
          <w:tcPr>
            <w:tcW w:type="dxa" w:w="136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5A6478"/>
          <w:sz w:val="17"/>
          <w:szCs w:val="17"/>
        </w:rPr>
        <w:t xml:space="preserve">Збіглося 50 з 50 числових полів таблиці K.6.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13.2. Інші контрольні значення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900"/>
        <w:gridCol w:w="2500"/>
        <w:gridCol w:w="2600"/>
        <w:gridCol w:w="2500"/>
        <w:gridCol w:w="1138"/>
      </w:tblGrid>
      <w:tr>
        <w:trPr>
          <w:tblHeader/>
        </w:trPr>
        <w:tc>
          <w:tcPr>
            <w:tcW w:type="dxa" w:w="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Розділ K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Показник</w:t>
            </w:r>
          </w:p>
        </w:tc>
        <w:tc>
          <w:tcPr>
            <w:tcW w:type="dxa" w:w="26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Еталон</w:t>
            </w:r>
          </w:p>
        </w:tc>
        <w:tc>
          <w:tcPr>
            <w:tcW w:type="dxa" w:w="25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Відтворено</w:t>
            </w:r>
          </w:p>
        </w:tc>
        <w:tc>
          <w:tcPr>
            <w:tcW w:type="dxa" w:w="11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5"/>
                <w:szCs w:val="15"/>
              </w:rPr>
              <w:t xml:space="preserve">Статус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K.2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автоматичні перевірки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 / 40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40 / 40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K.3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config_hash демо-інвентаря</w:t>
            </w:r>
          </w:p>
        </w:tc>
        <w:tc>
          <w:tcPr>
            <w:tcW w:type="dxa" w:w="2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4e162d71…21a740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4e162d71…21a740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K.3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параметрів / подій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198 / 10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198 / 10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K.3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гістограма доказовості</w:t>
            </w:r>
          </w:p>
        </w:tc>
        <w:tc>
          <w:tcPr>
            <w:tcW w:type="dxa" w:w="2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UNKNOWN, 194 SYNTHETIC_DEMO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4 UNKNOWN, 194 SYNTHETIC_DEMO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K.3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перелік невідомих параметрів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chemistry, parallel_count, vpn.mtu, vpn.protocol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той самий перелік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K.4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детермінізм / репліки / рядків</w:t>
            </w:r>
          </w:p>
        </w:tc>
        <w:tc>
          <w:tcPr>
            <w:tcW w:type="dxa" w:w="2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так / так / 1806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так / так / 1806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K.5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демонстраційний прогін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5422 рядки, gates PASS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5422 рядків, gates PASS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K.7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оцінка Monte Carlo</w:t>
            </w:r>
          </w:p>
        </w:tc>
        <w:tc>
          <w:tcPr>
            <w:tcW w:type="dxa" w:w="2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71.8948 мс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71.8948 мс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K.7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межі кластерного CI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71.7355 – 72.0784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71.7355 – 72.0784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K.7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значення за репліками</w:t>
            </w:r>
          </w:p>
        </w:tc>
        <w:tc>
          <w:tcPr>
            <w:tcW w:type="dxa" w:w="2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71.725; 71.68; 72.2515; 71.905; 71.9125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71.725; 71.68; 72.2515; 71.905; 71.9125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config_hash power-outage</w:t>
            </w:r>
          </w:p>
        </w:tc>
        <w:tc>
          <w:tcPr>
            <w:tcW w:type="dxa" w:w="26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e2dbbb72…101088</w:t>
            </w:r>
          </w:p>
        </w:tc>
        <w:tc>
          <w:tcPr>
            <w:tcW w:type="dxa" w:w="25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e2dbbb72…101088</w:t>
            </w:r>
          </w:p>
        </w:tc>
        <w:tc>
          <w:tcPr>
            <w:tcW w:type="dxa" w:w="11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  <w:tr>
        <w:tc>
          <w:tcPr>
            <w:tcW w:type="dxa" w:w="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K.8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енергетичний блок power-outage</w:t>
            </w:r>
          </w:p>
        </w:tc>
        <w:tc>
          <w:tcPr>
            <w:tcW w:type="dxa" w:w="26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SoC 81.99→80.78, shed 797, trip 53</w:t>
            </w:r>
          </w:p>
        </w:tc>
        <w:tc>
          <w:tcPr>
            <w:tcW w:type="dxa" w:w="25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SoC 81.99→80.78, shed 797, trip 53</w:t>
            </w:r>
          </w:p>
        </w:tc>
        <w:tc>
          <w:tcPr>
            <w:tcW w:type="dxa" w:w="11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збіг</w:t>
            </w:r>
          </w:p>
        </w:tc>
      </w:tr>
    </w:tbl>
    <w:tbl>
      <w:tblPr>
        <w:tblW w:type="dxa" w:w="9638"/>
        <w:tblBorders>
          <w:top w:val="none"/>
          <w:left w:val="single" w:color="D98E04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FF4E5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7A4E00"/>
                <w:sz w:val="20"/>
                <w:szCs w:val="20"/>
              </w:rPr>
              <w:t xml:space="preserve">Єдина відмінність від еталона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Розбіжність зафіксовано лише в одному полі — engine_source_hash. Специфікація наводить 925c24c6…, ця кампанія дає 2136f8f4…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Це очікувано й не є відхиленням результату: хеш обчислюється за байтами вихідних файлів реалізації, а вилучення з Markdown відновлює їх з точністю до кінцевих перенесень рядка у блоках. Усі похідні від поведінки величини — хеші конфігурацій, кількість рядків, агрегати, інтервали — збігаються повністю, тобто відновлено семантику, а не побайтову копію дерева.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14. Провенанс артефактів</w:t>
      </w:r>
    </w:p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Кожен прогін закриває себе маніфестом: у ньому фіксуються хеш конфігурації, хеш вихідного коду рушія, відбиток середовища виконання, гістограма доказовості та SHA-256 кожного артефакту. Нижче — маніфест сценарію </w:t>
      </w:r>
      <w:r>
        <w:rPr>
          <w:rFonts w:ascii="Consolas" w:cs="Consolas" w:eastAsia="Consolas" w:hAnsi="Consolas"/>
          <w:sz w:val="20"/>
          <w:szCs w:val="20"/>
        </w:rPr>
        <w:t xml:space="preserve">power-outage</w:t>
      </w:r>
      <w:r>
        <w:rPr>
          <w:rFonts w:ascii="Calibri" w:cs="Calibri" w:eastAsia="Calibri" w:hAnsi="Calibri"/>
          <w:sz w:val="21"/>
          <w:szCs w:val="21"/>
        </w:rPr>
        <w:t xml:space="preserve"> як приклад.</w:t>
      </w:r>
    </w:p>
    <w:p>
      <w:pPr>
        <w:spacing w:after="80" w:before="160"/>
      </w:pPr>
      <w:r>
        <w:rPr>
          <w:rFonts w:ascii="Calibri" w:cs="Calibri" w:eastAsia="Calibri" w:hAnsi="Calibri"/>
          <w:b/>
          <w:bCs/>
          <w:color w:val="404A5C"/>
          <w:sz w:val="18"/>
          <w:szCs w:val="18"/>
        </w:rPr>
        <w:t xml:space="preserve">Таблиця 14.1. Артефакти прогону power-outage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2900"/>
        <w:gridCol w:w="1400"/>
        <w:gridCol w:w="5338"/>
      </w:tblGrid>
      <w:tr>
        <w:trPr>
          <w:tblHeader/>
        </w:trPr>
        <w:tc>
          <w:tcPr>
            <w:tcW w:type="dxa" w:w="29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Артефакт</w:t>
            </w:r>
          </w:p>
        </w:tc>
        <w:tc>
          <w:tcPr>
            <w:tcW w:type="dxa" w:w="1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Байтів</w:t>
            </w:r>
          </w:p>
        </w:tc>
        <w:tc>
          <w:tcPr>
            <w:tcW w:type="dxa" w:w="53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SHA-256 (перші 32)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telemetry.csv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822965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ec5044ae5ff0107e6ae34bc678c37889…</w:t>
            </w:r>
          </w:p>
        </w:tc>
      </w:tr>
      <w:tr>
        <w:tc>
          <w:tcPr>
            <w:tcW w:type="dxa" w:w="2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ground_truth.csv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71958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bb8bb1b95b562a8b0da1411a15401ad7…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alerts.csv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169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bf5a3c1caa9686d392cf8eb782a9b97e…</w:t>
            </w:r>
          </w:p>
        </w:tc>
      </w:tr>
      <w:tr>
        <w:tc>
          <w:tcPr>
            <w:tcW w:type="dxa" w:w="2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response_audit.json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4f53cda18c2baa0c0354bb5f9a3ecbe5…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parameters.json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28656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7b5c84f6934b06aafb6584058e3a3920…</w:t>
            </w:r>
          </w:p>
        </w:tc>
      </w:tr>
      <w:tr>
        <w:tc>
          <w:tcPr>
            <w:tcW w:type="dxa" w:w="29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scenario.resolved.json</w:t>
            </w:r>
          </w:p>
        </w:tc>
        <w:tc>
          <w:tcPr>
            <w:tcW w:type="dxa" w:w="1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5676</w:t>
            </w:r>
          </w:p>
        </w:tc>
        <w:tc>
          <w:tcPr>
            <w:tcW w:type="dxa" w:w="53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8dbdd747560bac2fd3048eed0cb64b63…</w:t>
            </w:r>
          </w:p>
        </w:tc>
      </w:tr>
      <w:tr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summary.json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Calibri" w:cs="Calibri" w:eastAsia="Calibri" w:hAnsi="Calibri"/>
                <w:sz w:val="16"/>
                <w:szCs w:val="16"/>
              </w:rPr>
              <w:t xml:space="preserve">5346</w:t>
            </w:r>
          </w:p>
        </w:tc>
        <w:tc>
          <w:tcPr>
            <w:tcW w:type="dxa" w:w="53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8537b893276cbc764b5cb1e32607adcf…</w:t>
            </w: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Політика прогону зафіксована в тому ж маніфесті: </w:t>
      </w:r>
      <w:r>
        <w:rPr>
          <w:rFonts w:ascii="Consolas" w:cs="Consolas" w:eastAsia="Consolas" w:hAnsi="Consolas"/>
          <w:sz w:val="19"/>
          <w:szCs w:val="19"/>
        </w:rPr>
        <w:t xml:space="preserve">allow_external_egress = false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allow_hardware_writes = false</w:t>
      </w:r>
      <w:r>
        <w:rPr>
          <w:rFonts w:ascii="Calibri" w:cs="Calibri" w:eastAsia="Calibri" w:hAnsi="Calibri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hil_approval_ref = null</w:t>
      </w:r>
      <w:r>
        <w:rPr>
          <w:rFonts w:ascii="Calibri" w:cs="Calibri" w:eastAsia="Calibri" w:hAnsi="Calibri"/>
          <w:sz w:val="21"/>
          <w:szCs w:val="21"/>
        </w:rPr>
        <w:t xml:space="preserve">, allowlist із 18 дозволених типів подій. Реалізація не відкриває сокетів і не генерує реального трафіку.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15. F.8. Рішення</w:t>
      </w:r>
    </w:p>
    <w:tbl>
      <w:tblPr>
        <w:tblW w:type="dxa" w:w="9638"/>
        <w:tblBorders>
          <w:top w:val="single" w:color="9BB0D4" w:sz="4"/>
          <w:left w:val="single" w:color="9BB0D4" w:sz="4"/>
          <w:bottom w:val="single" w:color="9BB0D4" w:sz="4"/>
          <w:right w:val="single" w:color="9BB0D4" w:sz="4"/>
          <w:insideH w:val="single" w:color="C5D1E8" w:sz="2"/>
          <w:insideV w:val="single" w:color="C5D1E8" w:sz="2"/>
        </w:tblBorders>
      </w:tblPr>
      <w:tblGrid>
        <w:gridCol w:w="3400"/>
        <w:gridCol w:w="1000"/>
        <w:gridCol w:w="5238"/>
      </w:tblGrid>
      <w:tr>
        <w:trPr>
          <w:tblHeader/>
        </w:trPr>
        <w:tc>
          <w:tcPr>
            <w:tcW w:type="dxa" w:w="34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Рішення</w:t>
            </w:r>
          </w:p>
        </w:tc>
        <w:tc>
          <w:tcPr>
            <w:tcW w:type="dxa" w:w="1000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Статус</w:t>
            </w:r>
          </w:p>
        </w:tc>
        <w:tc>
          <w:tcPr>
            <w:tcW w:type="dxa" w:w="5238"/>
            <w:shd w:fill="D9E2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sz w:val="17"/>
                <w:szCs w:val="17"/>
              </w:rPr>
              <w:t xml:space="preserve">Обґрунтування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Сценарії придатні до наступного SIM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усі п’ять сценаріїв відтворюються детерміновано, проходять gates і не порушують інваріантів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Сценарії придатні до EMU</w:t>
            </w:r>
          </w:p>
        </w:tc>
        <w:tc>
          <w:tcPr>
            <w:tcW w:type="dxa" w:w="1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ні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режим EMU не реалізовано; потрібен мережевий бекенд (Containerlab/FRR) із тим самим контрактом федерата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Сценарії придатні до HIL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ні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заблоковано програмно: чотири параметри мають статус UNKNOWN, підписаного протоколу немає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Сценарії придатні до physical bridge</w:t>
            </w:r>
          </w:p>
        </w:tc>
        <w:tc>
          <w:tcPr>
            <w:tcW w:type="dxa" w:w="1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ні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передумовою є фізична інвентаризація розділу 3 та пасивний baseline</w:t>
            </w:r>
          </w:p>
        </w:tc>
      </w:tr>
      <w:tr>
        <w:tc>
          <w:tcPr>
            <w:tcW w:type="dxa" w:w="3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Потрібне повторне калібрування</w:t>
            </w:r>
          </w:p>
        </w:tc>
        <w:tc>
          <w:tcPr>
            <w:tcW w:type="dxa" w:w="10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так</w:t>
            </w:r>
          </w:p>
        </w:tc>
        <w:tc>
          <w:tcPr>
            <w:tcW w:type="dxa" w:w="523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детектори не калібровані; метрики виявлення характеризують модель, а не полігон</w:t>
            </w:r>
          </w:p>
        </w:tc>
      </w:tr>
      <w:tr>
        <w:tc>
          <w:tcPr>
            <w:tcW w:type="dxa" w:w="34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Сценарій відхилено</w:t>
            </w:r>
          </w:p>
        </w:tc>
        <w:tc>
          <w:tcPr>
            <w:tcW w:type="dxa" w:w="1000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ні</w:t>
            </w:r>
          </w:p>
        </w:tc>
        <w:tc>
          <w:tcPr>
            <w:tcW w:type="dxa" w:w="5238"/>
            <w:shd w:fill="F2F5FB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before="0" w:line="240"/>
              <w:jc w:val="left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жоден сценарій не відхилено</w:t>
            </w:r>
          </w:p>
        </w:tc>
      </w:tr>
    </w:tbl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16. Обмеження відтворення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Перевірено лише режим SIM. Режими EMU і HIL у реалізації не виконуються, REPLAY має конвеєр, але не має реальних даних.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Немає packet-level і RF-бекенду: Wi-Fi і черги лишаються агрегованими, тому тверджень про покриття чи радіопланування не робиться.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Батарея лишається gray-box surrogate без електрохімії; синтетичні електричні межі не є дозволом на струм чи напругу.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Детектори не калібровані на реальній телеметрії, тому precision 1.0 у сценарних прогонах є властивістю прозорого правилового baseline, а не показником польової якості.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Відтворення виконано на одній платформі й одній версії інтерпретатора; кросплатформна інваріантність арифметики з рухомою комою не перевірялася.</w:t>
      </w:r>
    </w:p>
    <w:p>
      <w:pPr>
        <w:pStyle w:val="ListParagraph"/>
        <w:numPr>
          <w:ilvl w:val="0"/>
          <w:numId w:val="2"/>
        </w:numPr>
        <w:spacing w:after="80" w:before="0" w:line="264"/>
      </w:pPr>
      <w:r>
        <w:rPr>
          <w:rFonts w:ascii="Calibri" w:cs="Calibri" w:eastAsia="Calibri" w:hAnsi="Calibri"/>
          <w:sz w:val="21"/>
          <w:szCs w:val="21"/>
        </w:rPr>
        <w:t xml:space="preserve">Кампанія DOE охоплює 8 точок і призначена для перевірки механізму плану, а не для оцінювання ефектів Соболя — глобальний аналіз чутливості потребує більшої вибірки.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17. F.9. Межа твердження</w:t>
      </w:r>
    </w:p>
    <w:tbl>
      <w:tblPr>
        <w:tblW w:type="dxa" w:w="9638"/>
        <w:tblBorders>
          <w:top w:val="none"/>
          <w:left w:val="single" w:color="B4432A" w:sz="18"/>
          <w:bottom w:val="none"/>
          <w:right w:val="none"/>
          <w:insideH w:val="none"/>
          <w:insideV w:val="none"/>
        </w:tblBorders>
      </w:tblPr>
      <w:tblGrid>
        <w:gridCol w:w="9638"/>
      </w:tblGrid>
      <w:tr>
        <w:tc>
          <w:tcPr>
            <w:tcW w:type="dxa" w:w="9638"/>
            <w:shd w:fill="FBEDEA" w:color="auto" w:val="clear"/>
            <w:tcMar>
              <w:top w:type="dxa" w:w="140"/>
              <w:left w:type="dxa" w:w="180"/>
              <w:bottom w:type="dxa" w:w="140"/>
              <w:right w:type="dxa" w:w="160"/>
            </w:tcMar>
          </w:tcPr>
          <w:p>
            <w:pPr>
              <w:spacing w:after="60" w:before="0" w:line="264"/>
            </w:pPr>
            <w:r>
              <w:rPr>
                <w:rFonts w:ascii="Calibri" w:cs="Calibri" w:eastAsia="Calibri" w:hAnsi="Calibri"/>
                <w:b/>
                <w:bCs/>
                <w:color w:val="7A4E00"/>
                <w:sz w:val="20"/>
                <w:szCs w:val="20"/>
              </w:rPr>
              <w:t xml:space="preserve">Формальне обмеження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Усі результати цього звіту є синтетичними й характеризують програмну модель за вказаних припущень. Вони не є вимірюваннями фізичного кіберполігону УМСФ.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Вони не підтверджують фактичний час перемикання WAN, VPN чи АВР, покриття та ємність Wi-Fi, автономність джерел живлення, температурні режими акумуляторного пакета або польову точність детекторів.</w:t>
            </w:r>
          </w:p>
          <w:p>
            <w:pPr>
              <w:spacing w:after="40" w:before="0" w:line="264"/>
            </w:pPr>
            <w:r>
              <w:rPr>
                <w:rFonts w:ascii="Calibri" w:cs="Calibri" w:eastAsia="Calibri" w:hAnsi="Calibri"/>
                <w:color w:val="4A3A22"/>
                <w:sz w:val="19"/>
                <w:szCs w:val="19"/>
              </w:rPr>
              <w:t xml:space="preserve">Відтворюваність, доведена цим звітом, стосується специфікації як артефакта: доведено, що з її тексту відновлюється тотожна виконувана система. Вона не переносить жодного числа з категорії synthetic до категорії measured.</w:t>
            </w:r>
          </w:p>
        </w:tc>
      </w:tr>
    </w:tbl>
    <w:p>
      <w:pPr>
        <w:spacing w:after="140" w:before="0" w:line="264"/>
      </w:pPr>
      <w:r>
        <w:rPr>
          <w:rFonts w:ascii="Calibri" w:cs="Calibri" w:eastAsia="Calibri" w:hAnsi="Calibri"/>
          <w:sz w:val="21"/>
          <w:szCs w:val="21"/>
        </w:rPr>
        <w:t xml:space="preserve">Розділення класів доказовості зафіксоване в коді, а не в намірах: імпортер позначає походження кожного рядка, змішаний аналіз вимкнено, а параметри зі статусом </w:t>
      </w:r>
      <w:r>
        <w:rPr>
          <w:rFonts w:ascii="Consolas" w:cs="Consolas" w:eastAsia="Consolas" w:hAnsi="Consolas"/>
          <w:sz w:val="19"/>
          <w:szCs w:val="19"/>
        </w:rPr>
        <w:t xml:space="preserve">UNKNOWN</w:t>
      </w:r>
      <w:r>
        <w:rPr>
          <w:rFonts w:ascii="Calibri" w:cs="Calibri" w:eastAsia="Calibri" w:hAnsi="Calibri"/>
          <w:sz w:val="21"/>
          <w:szCs w:val="21"/>
        </w:rPr>
        <w:t xml:space="preserve"> програмно блокують режими, у яких модель торкалася б фізичного обладнання.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6808F"/>
        <w:sz w:val="16"/>
        <w:szCs w:val="16"/>
      </w:rPr>
      <w:t xml:space="preserve">Синтетичний результат моделі — не вимірювання фізичного полігону · с. </w:t>
    </w:r>
    <w:r>
      <w:rPr>
        <w:rFonts w:ascii="Calibri" w:cs="Calibri" w:eastAsia="Calibri" w:hAnsi="Calibri"/>
        <w:color w:val="76808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D1E8" w:sz="4" w:space="4"/>
      </w:pBdr>
      <w:jc w:val="right"/>
    </w:pPr>
    <w:r>
      <w:rPr>
        <w:rFonts w:ascii="Calibri" w:cs="Calibri" w:eastAsia="Calibri" w:hAnsi="Calibri"/>
        <w:color w:val="76808F"/>
        <w:sz w:val="16"/>
        <w:szCs w:val="16"/>
      </w:rPr>
      <w:t xml:space="preserve">Звіт синтетичного експерименту · umsf_twin 2.0.0 · SIM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Calibri" w:cs="Calibri" w:eastAsia="Calibri" w:hAnsi="Calibri"/>
      <w:b/>
      <w:bCs/>
      <w:color w:val="1F3864"/>
      <w:sz w:val="22"/>
      <w:szCs w:val="22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синтетичного експерименту: відтворення еталонного експерименту umsf_twin 2.0.0</dc:title>
  <dc:creator>UMSF cyber-range digital twin — reproduction campaign</dc:creator>
  <dc:description>Відтворення експерименту цифрового двійника кіберполігону УМСФ</dc:description>
  <cp:lastModifiedBy>Un-named</cp:lastModifiedBy>
  <cp:revision>1</cp:revision>
  <dcterms:created xsi:type="dcterms:W3CDTF">2026-09-03T17:53:01.470Z</dcterms:created>
  <dcterms:modified xsi:type="dcterms:W3CDTF">2026-09-03T17:53:01.470Z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