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Text Insertions for the Manuscript</w:t>
      </w:r>
    </w:p>
    <w:p>
      <w:pPr>
        <w:jc w:val="center"/>
      </w:pPr>
      <w:r>
        <w:rPr>
          <w:i/>
          <w:color w:val="555555"/>
          <w:sz w:val="19"/>
        </w:rPr>
        <w:t>Software project description and repository links for “Digital-Twin-Enabled Cyber-Resilience Framework for Secure Edge-Cloud Orchestration and Data Integrity”</w:t>
      </w:r>
    </w:p>
    <w:p>
      <w:pPr>
        <w:spacing w:after="200"/>
        <w:jc w:val="center"/>
      </w:pPr>
      <w:r>
        <w:rPr>
          <w:sz w:val="18"/>
        </w:rPr>
        <w:t xml:space="preserve">Zenodo: </w:t>
      </w:r>
      <w:hyperlink r:id="rId9">
        <w:r>
          <w:rPr>
            <w:color w:val="1F6FEB"/>
            <w:u w:val="single"/>
            <w:rFonts w:ascii="Palatino Linotype" w:hAnsi="Palatino Linotype"/>
            <w:sz w:val="20"/>
          </w:rPr>
          <w:t xml:space="preserve">10.5281/zenodo.22179426</w:t>
        </w:r>
      </w:hyperlink>
      <w:r>
        <w:rPr>
          <w:sz w:val="18"/>
        </w:rPr>
        <w:t xml:space="preserve">   •   </w:t>
      </w:r>
      <w:r>
        <w:rPr>
          <w:sz w:val="18"/>
        </w:rPr>
        <w:t xml:space="preserve">GitHub: </w:t>
      </w:r>
      <w:hyperlink r:id="rId10">
        <w:r>
          <w:rPr>
            <w:color w:val="1F6FEB"/>
            <w:u w:val="single"/>
            <w:rFonts w:ascii="Palatino Linotype" w:hAnsi="Palatino Linotype"/>
            <w:sz w:val="20"/>
          </w:rPr>
          <w:t xml:space="preserve">omega2417/bnt – dtcr-deposit</w:t>
        </w:r>
      </w:hyperlink>
    </w:p>
    <w:p>
      <w:pPr>
        <w:spacing w:before="40"/>
      </w:pPr>
      <w:r>
        <w:rPr>
          <w:i/>
          <w:color w:val="666666"/>
          <w:sz w:val="17"/>
        </w:rPr>
        <w:t>How to use: paste Insertion 1 as a new subsection at the end of Section 2 (Materials and Methods). Paste Insertion 2 into the back matter as the Data Availability Statement, choosing Variant A or B. Insertion 3 is an optional one-line footnote. In-text bracketed citation [Zenodo DOI …] should be converted to a numbered reference in the manuscript’s citation style.</w:t>
      </w:r>
    </w:p>
    <w:p>
      <w:r>
        <w:rPr>
          <w:color w:val="CCCCCC"/>
        </w:rPr>
        <w:t>────────────────────────────────────────────────────────────</w:t>
      </w:r>
    </w:p>
    <w:p>
      <w:pPr>
        <w:spacing w:before="240" w:after="80"/>
      </w:pPr>
      <w:r>
        <w:rPr>
          <w:b/>
          <w:color w:val="1A1A1A"/>
          <w:sz w:val="26"/>
        </w:rPr>
        <w:t>Insertion 1 — Materials and Methods (new subsection 2.9)</w:t>
      </w:r>
    </w:p>
    <w:p>
      <w:pPr>
        <w:jc w:val="both"/>
      </w:pPr>
      <w:r>
        <w:rPr>
          <w:b/>
        </w:rPr>
        <w:t>2.9. Software Implementation and Reproducibility</w:t>
      </w:r>
    </w:p>
    <w:p>
      <w:pPr>
        <w:jc w:val="both"/>
      </w:pPr>
      <w:r>
        <w:t xml:space="preserve">A reference implementation of the framework and the complete analysis pipeline are publicly available as an open deposit (Zenodo, </w:t>
      </w:r>
      <w:hyperlink r:id="rId9">
        <w:r>
          <w:rPr>
            <w:color w:val="1F6FEB"/>
            <w:u w:val="single"/>
            <w:rFonts w:ascii="Palatino Linotype" w:hAnsi="Palatino Linotype"/>
            <w:sz w:val="20"/>
          </w:rPr>
          <w:t xml:space="preserve">https://doi.org/10.5281/zenodo.22179426</w:t>
        </w:r>
      </w:hyperlink>
      <w:r>
        <w:t>), with the development repository hosted on GitHub (</w:t>
      </w:r>
      <w:hyperlink r:id="rId10">
        <w:r>
          <w:rPr>
            <w:color w:val="1F6FEB"/>
            <w:u w:val="single"/>
            <w:rFonts w:ascii="Palatino Linotype" w:hAnsi="Palatino Linotype"/>
            <w:sz w:val="20"/>
          </w:rPr>
          <w:t xml:space="preserve">github.com/omega2417/bnt</w:t>
        </w:r>
      </w:hyperlink>
      <w:r>
        <w:t>). The dtcr Python library implements each block of the mathematical model as a separate module: probabilistic block auditing (Equations (4)–(5)), provenance-aware dynamic trust (Equations (2)–(3)), Mahalanobis-distance anomaly scoring with chi-square calibration (Equations (6)–(7)), column-normalised dependency-graph risk propagation with an explicit spectral radius and convergence-margin check (Equations (8)–(11)), policy-constrained orchestration with hard admissibility constraints and vector-valued capacity limits (Equations (12)–(13)), and the RTO-bounded normalized resilience index (Equations (15), (18)–(19)). Dedicated scripts compute all reported statistics—means, standard deviations, medians and interquartile ranges, 95% confidence intervals (both Student’s t and percentile bootstrap), paired significance tests with Holm correction, Hedges’ g and Cliff’s delta effect sizes, and Wilson intervals for classification rates—and regenerate Figures 5–11. Service recovery time and the normalized resilience index are recomputed directly from the availability traces and are automatically cross-checked against the stored values, so the detection and recovery results (Figure 5) and the resilience results (Figure 6) are guaranteed to be mutually consistent. The deposit further includes the actual framework parameters; the K3s, Kubernetes, Suricata and Eclipse Ditto configurations; the per-scenario attack recipes; the threat model with the cryptographic protocol description; a data dictionary; the experimental protocol; and a Google Colab notebook that executes the algorithm, renders the visualizations, and prints a reproducibility report. The analysis runs end to end via a single command, and the entire results section can be regenerated by replacing the data directory with new measurement exports in the documented schema, without modifying any analysis code.</w:t>
      </w:r>
    </w:p>
    <w:p>
      <w:pPr>
        <w:spacing w:before="240" w:after="80"/>
      </w:pPr>
      <w:r>
        <w:rPr>
          <w:b/>
          <w:color w:val="1A1A1A"/>
          <w:sz w:val="26"/>
        </w:rPr>
        <w:t>Insertion 2 — Back matter (Data Availability Statement)</w:t>
      </w:r>
    </w:p>
    <w:p>
      <w:pPr>
        <w:spacing w:before="40"/>
      </w:pPr>
      <w:r>
        <w:rPr>
          <w:i/>
          <w:color w:val="666666"/>
          <w:sz w:val="17"/>
        </w:rPr>
        <w:t>Choose ONE variant depending on what the Zenodo record currently holds.</w:t>
      </w:r>
    </w:p>
    <w:p>
      <w:pPr>
        <w:jc w:val="both"/>
      </w:pPr>
      <w:r>
        <w:rPr>
          <w:b/>
        </w:rPr>
        <w:t>Variant A — current deposit (synthetic reference dataset):</w:t>
      </w:r>
    </w:p>
    <w:p>
      <w:pPr>
        <w:jc w:val="both"/>
      </w:pPr>
      <w:r>
        <w:rPr>
          <w:b/>
        </w:rPr>
        <w:t xml:space="preserve">Data Availability Statement: </w:t>
      </w:r>
      <w:r>
        <w:t xml:space="preserve">The reference implementation, the analysis pipeline, the framework configurations, and the attack recipes supporting this study are openly available in Zenodo at </w:t>
      </w:r>
      <w:hyperlink r:id="rId9">
        <w:r>
          <w:rPr>
            <w:color w:val="1F6FEB"/>
            <w:u w:val="single"/>
            <w:rFonts w:ascii="Palatino Linotype" w:hAnsi="Palatino Linotype"/>
            <w:sz w:val="20"/>
          </w:rPr>
          <w:t xml:space="preserve">https://doi.org/10.5281/zenodo.22179426</w:t>
        </w:r>
      </w:hyperlink>
      <w:r>
        <w:t xml:space="preserve"> (development repository: </w:t>
      </w:r>
      <w:hyperlink r:id="rId10">
        <w:r>
          <w:rPr>
            <w:color w:val="1F6FEB"/>
            <w:u w:val="single"/>
            <w:rFonts w:ascii="Palatino Linotype" w:hAnsi="Palatino Linotype"/>
            <w:sz w:val="20"/>
          </w:rPr>
          <w:t xml:space="preserve">github.com/omega2417/bnt/…/dtcr-deposit</w:t>
        </w:r>
      </w:hyperlink>
      <w:r>
        <w:t>). The data directory of the current release contains a synthetic reference dataset, provided to make the analysis fully reproducible and clearly labelled as such; it is not experimental data. The run-level experimental dataset will be added to the same archive, and this statement updated accordingly, prior to publication. Code and configuration are released under the MIT License; data and figures under CC BY 4.0.</w:t>
      </w:r>
    </w:p>
    <w:p>
      <w:pPr>
        <w:jc w:val="both"/>
      </w:pPr>
      <w:r>
        <w:rPr>
          <w:b/>
        </w:rPr>
        <w:t>Variant B — once real run-level data are deposited:</w:t>
      </w:r>
    </w:p>
    <w:p>
      <w:pPr>
        <w:jc w:val="both"/>
      </w:pPr>
      <w:r>
        <w:rPr>
          <w:b/>
        </w:rPr>
        <w:t xml:space="preserve">Data Availability Statement: </w:t>
      </w:r>
      <w:r>
        <w:t xml:space="preserve">The run-level experimental data, availability traces, attack scripts, framework configurations, and analysis code supporting the findings of this study are openly available in Zenodo at </w:t>
      </w:r>
      <w:hyperlink r:id="rId9">
        <w:r>
          <w:rPr>
            <w:color w:val="1F6FEB"/>
            <w:u w:val="single"/>
            <w:rFonts w:ascii="Palatino Linotype" w:hAnsi="Palatino Linotype"/>
            <w:sz w:val="20"/>
          </w:rPr>
          <w:t xml:space="preserve">https://doi.org/10.5281/zenodo.22179426</w:t>
        </w:r>
      </w:hyperlink>
      <w:r>
        <w:t xml:space="preserve"> (development repository: </w:t>
      </w:r>
      <w:hyperlink r:id="rId10">
        <w:r>
          <w:rPr>
            <w:color w:val="1F6FEB"/>
            <w:u w:val="single"/>
            <w:rFonts w:ascii="Palatino Linotype" w:hAnsi="Palatino Linotype"/>
            <w:sz w:val="20"/>
          </w:rPr>
          <w:t xml:space="preserve">github.com/omega2417/bnt/…/dtcr-deposit</w:t>
        </w:r>
      </w:hyperlink>
      <w:r>
        <w:t>). The archive includes a data dictionary and the scripts required to reproduce the statistical analyses and Figures 5–11. Code and configuration are released under the MIT License; data and figures under CC BY 4.0.</w:t>
      </w:r>
    </w:p>
    <w:p>
      <w:pPr>
        <w:spacing w:before="240" w:after="80"/>
      </w:pPr>
      <w:r>
        <w:rPr>
          <w:b/>
          <w:color w:val="1A1A1A"/>
          <w:sz w:val="26"/>
        </w:rPr>
        <w:t>Insertion 3 — Optional footnote / Colab link</w:t>
      </w:r>
    </w:p>
    <w:p>
      <w:pPr>
        <w:jc w:val="both"/>
      </w:pPr>
      <w:r>
        <w:t xml:space="preserve">An executable Google Colab notebook that reproduces the algorithm, the figures and the report is available at </w:t>
      </w:r>
      <w:hyperlink r:id="rId11">
        <w:r>
          <w:rPr>
            <w:color w:val="1F6FEB"/>
            <w:u w:val="single"/>
            <w:rFonts w:ascii="Palatino Linotype" w:hAnsi="Palatino Linotype"/>
            <w:sz w:val="20"/>
          </w:rPr>
          <w:t xml:space="preserve">Open in Google Colab</w:t>
        </w:r>
      </w:hyperlink>
      <w:r>
        <w:t>.</w:t>
      </w:r>
    </w:p>
    <w:p>
      <w:pPr>
        <w:spacing w:before="240" w:after="80"/>
      </w:pPr>
      <w:r>
        <w:rPr>
          <w:b/>
          <w:color w:val="1A1A1A"/>
          <w:sz w:val="26"/>
        </w:rPr>
        <w:t>Suggested reference-list entry (software/data)</w:t>
      </w:r>
    </w:p>
    <w:p>
      <w:pPr>
        <w:jc w:val="both"/>
      </w:pPr>
      <w:r>
        <w:t xml:space="preserve">[Author(s)]. DTCR: Reproducibility Deposit for a Digital-Twin-Enabled Cyber-Resilience Framework for Secure Edge-Cloud Orchestration and Data Integrity, version 1.0.0; Zenodo, 2026. </w:t>
      </w:r>
      <w:hyperlink r:id="rId9">
        <w:r>
          <w:rPr>
            <w:color w:val="1F6FEB"/>
            <w:u w:val="single"/>
            <w:rFonts w:ascii="Palatino Linotype" w:hAnsi="Palatino Linotype"/>
            <w:sz w:val="20"/>
          </w:rPr>
          <w:t xml:space="preserve">https://doi.org/10.5281/zenodo.22179426</w:t>
        </w:r>
      </w:hyperlink>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Palatino Linotype" w:hAnsi="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2179426" TargetMode="External"/><Relationship Id="rId10" Type="http://schemas.openxmlformats.org/officeDocument/2006/relationships/hyperlink" Target="https://github.com/omega2417/bnt/tree/claude/publication-repository-integration-hqy705/publication/dtcr-deposit" TargetMode="External"/><Relationship Id="rId11" Type="http://schemas.openxmlformats.org/officeDocument/2006/relationships/hyperlink" Target="https://colab.research.google.com/github/omega2417/bnt/blob/claude/publication-repository-integration-hqy705/publication/dtcr-deposit/notebooks/DTCR_analysis.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