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8C"/>
          <w:sz w:val="26"/>
          <w:szCs w:val="26"/>
        </w:rPr>
        <w:t xml:space="preserve">COMPUTATIONAL APPENDIX</w:t>
      </w:r>
    </w:p>
    <w:p>
      <w:pPr>
        <w:spacing w:after="40"/>
        <w:jc w:val="center"/>
      </w:pPr>
      <w:r>
        <w:rPr>
          <w:rFonts w:ascii="Calibri" w:cs="Calibri" w:eastAsia="Calibri" w:hAnsi="Calibri"/>
          <w:b/>
          <w:bCs/>
          <w:sz w:val="22"/>
          <w:szCs w:val="22"/>
        </w:rPr>
        <w:t xml:space="preserve">Uncertainty-Aware Spatiotemporal Radar Data Fusion for Intelligent Detection and Multi-Target Tracking of Small Unmanned Aerial Vehicles</w:t>
      </w:r>
    </w:p>
    <w:p>
      <w:pPr>
        <w:spacing w:after="40"/>
        <w:jc w:val="center"/>
      </w:pPr>
      <w:r>
        <w:rPr>
          <w:rFonts w:ascii="Calibri" w:cs="Calibri" w:eastAsia="Calibri" w:hAnsi="Calibri"/>
          <w:i/>
          <w:iCs/>
          <w:sz w:val="18"/>
          <w:szCs w:val="18"/>
        </w:rPr>
        <w:t xml:space="preserve">Reproducible computational experiment with RadarTwin-UAV (S1), UST-Fuse Engine (S2) and FuseMetrics Lab (S3)</w:t>
      </w:r>
    </w:p>
    <w:p>
      <w:pPr>
        <w:spacing w:after="200"/>
        <w:jc w:val="center"/>
      </w:pPr>
      <w:r>
        <w:rPr>
          <w:rFonts w:ascii="Calibri" w:cs="Calibri" w:eastAsia="Calibri" w:hAnsi="Calibri"/>
          <w:color w:val="555555"/>
          <w:sz w:val="16"/>
          <w:szCs w:val="16"/>
        </w:rPr>
        <w:t xml:space="preserve">Prepared for Zenodo deposition · Experiment date 2026-07-30 · 30 repetitions (seeds 20260730–20260759)</w:t>
      </w:r>
    </w:p>
    <w:tbl>
      <w:tblPr>
        <w:tblW w:type="dxa" w:w="9020"/>
        <w:tblBorders>
          <w:top w:val="single" w:color="C0A000" w:sz="6"/>
          <w:left w:val="single" w:color="C0A000" w:sz="18"/>
          <w:bottom w:val="single" w:color="C0A000" w:sz="6"/>
          <w:right w:val="single" w:color="C0A000" w:sz="6"/>
          <w:insideH w:val="none"/>
          <w:insideV w:val="none"/>
        </w:tblBorders>
      </w:tblPr>
      <w:tblGrid>
        <w:gridCol w:w="9020"/>
      </w:tblGrid>
      <w:tr>
        <w:tc>
          <w:tcPr>
            <w:tcW w:type="dxa" w:w="9020"/>
            <w:shd w:fill="FFF3CD" w:val="clear"/>
            <w:tcMar>
              <w:top w:type="dxa" w:w="120"/>
              <w:left w:type="dxa" w:w="160"/>
              <w:bottom w:type="dxa" w:w="120"/>
              <w:right w:type="dxa" w:w="160"/>
            </w:tcMar>
          </w:tcPr>
          <w:p>
            <w:pPr>
              <w:spacing w:after="80"/>
            </w:pPr>
            <w:r>
              <w:rPr>
                <w:rFonts w:ascii="Calibri" w:cs="Calibri" w:eastAsia="Calibri" w:hAnsi="Calibri"/>
                <w:b/>
                <w:bCs/>
                <w:color w:val="8A6D00"/>
                <w:sz w:val="20"/>
                <w:szCs w:val="20"/>
              </w:rPr>
              <w:t xml:space="preserve">Integrity and validity statement (read first)</w:t>
            </w:r>
          </w:p>
          <w:p>
            <w:pPr>
              <w:spacing w:after="120" w:line="264"/>
            </w:pPr>
            <w:r>
              <w:rPr>
                <w:rFonts w:ascii="Calibri" w:cs="Calibri" w:eastAsia="Calibri" w:hAnsi="Calibri"/>
                <w:sz w:val="20"/>
                <w:szCs w:val="20"/>
              </w:rPr>
              <w:t xml:space="preserve">This appendix separates </w:t>
            </w:r>
            <w:r>
              <w:rPr>
                <w:rFonts w:ascii="Calibri" w:cs="Calibri" w:eastAsia="Calibri" w:hAnsi="Calibri"/>
                <w:b/>
                <w:bCs/>
                <w:sz w:val="20"/>
                <w:szCs w:val="20"/>
              </w:rPr>
              <w:t xml:space="preserve">measured</w:t>
            </w:r>
            <w:r>
              <w:rPr>
                <w:rFonts w:ascii="Calibri" w:cs="Calibri" w:eastAsia="Calibri" w:hAnsi="Calibri"/>
                <w:sz w:val="20"/>
                <w:szCs w:val="20"/>
              </w:rPr>
              <w:t xml:space="preserve"> results from </w:t>
            </w:r>
            <w:r>
              <w:rPr>
                <w:rFonts w:ascii="Calibri" w:cs="Calibri" w:eastAsia="Calibri" w:hAnsi="Calibri"/>
                <w:b/>
                <w:bCs/>
                <w:sz w:val="20"/>
                <w:szCs w:val="20"/>
              </w:rPr>
              <w:t xml:space="preserve">emulated</w:t>
            </w:r>
            <w:r>
              <w:rPr>
                <w:rFonts w:ascii="Calibri" w:cs="Calibri" w:eastAsia="Calibri" w:hAnsi="Calibri"/>
                <w:sz w:val="20"/>
                <w:szCs w:val="20"/>
              </w:rPr>
              <w:t xml:space="preserve"> results, because the released software realises them differently.</w:t>
            </w:r>
          </w:p>
          <w:p>
            <w:pPr>
              <w:pStyle w:val="ListParagraph"/>
              <w:numPr>
                <w:ilvl w:val="0"/>
                <w:numId w:val="1"/>
              </w:numPr>
              <w:spacing w:after="60" w:line="252"/>
            </w:pPr>
            <w:r>
              <w:rPr>
                <w:rFonts w:ascii="Calibri" w:cs="Calibri" w:eastAsia="Calibri" w:hAnsi="Calibri"/>
                <w:b/>
                <w:bCs/>
                <w:sz w:val="20"/>
                <w:szCs w:val="20"/>
              </w:rPr>
              <w:t xml:space="preserve">Measured (genuine). </w:t>
            </w:r>
            <w:r>
              <w:rPr>
                <w:rFonts w:ascii="Calibri" w:cs="Calibri" w:eastAsia="Calibri" w:hAnsi="Calibri"/>
                <w:sz w:val="20"/>
                <w:szCs w:val="20"/>
              </w:rPr>
              <w:t xml:space="preserve">All UST-Fuse (proposed) metrics, the corpus and configuration tables, every ablation row (obtained by real component toggles in S2), the per-SNR / per-completeness / attention analyses, the calibration diagrams, the identity-switch breakdown, the sensitivity sweeps, and the per-tick wall-clock latency. These are deterministic outputs of the released code over 30 fixed-seed repetitions.</w:t>
            </w:r>
          </w:p>
          <w:p>
            <w:pPr>
              <w:pStyle w:val="ListParagraph"/>
              <w:numPr>
                <w:ilvl w:val="0"/>
                <w:numId w:val="1"/>
              </w:numPr>
              <w:spacing w:after="60" w:line="252"/>
            </w:pPr>
            <w:r>
              <w:rPr>
                <w:rFonts w:ascii="Calibri" w:cs="Calibri" w:eastAsia="Calibri" w:hAnsi="Calibri"/>
                <w:b/>
                <w:bCs/>
                <w:sz w:val="20"/>
                <w:szCs w:val="20"/>
              </w:rPr>
              <w:t xml:space="preserve">Emulated (provisional). </w:t>
            </w:r>
            <w:r>
              <w:rPr>
                <w:rFonts w:ascii="Calibri" w:cs="Calibri" w:eastAsia="Calibri" w:hAnsi="Calibri"/>
                <w:sz w:val="20"/>
                <w:szCs w:val="20"/>
              </w:rPr>
              <w:t xml:space="preserve">The architecturally distinct baselines B1 (CNN), B2 (LSTM), B3 (Kalman+NN), B5 (SORT) and B6 (DeepSORT) are produced by the documented degradation model inside FuseMetrics Lab v1, not by independent re-implementations. Per the task specification (§7), such figures are valid for pipeline verification but must be replaced with genuine baseline runs before scientific publication. Baselines B4 (kinematic-only JPDA) and B7 (proposed without uncertainty) are NOT emulated — they are measured via genuine S2 toggles.</w:t>
            </w:r>
          </w:p>
          <w:p>
            <w:pPr>
              <w:spacing w:after="120" w:line="264"/>
            </w:pPr>
            <w:r>
              <w:rPr>
                <w:rFonts w:ascii="Calibri" w:cs="Calibri" w:eastAsia="Calibri" w:hAnsi="Calibri"/>
                <w:i/>
                <w:iCs/>
                <w:sz w:val="20"/>
                <w:szCs w:val="20"/>
              </w:rPr>
              <w:t xml:space="preserve">Every emulated cell is labelled “emulated”. The abstract’s false-alarm and fragmentation reductions are computed against the emulated strongest baseline and are therefore provisional. Section 17 gives the full disclosure and the discrepancies between the released reference implementation and the idealised architecture of the manuscript.</w:t>
            </w:r>
          </w:p>
        </w:tc>
      </w:tr>
    </w:tbl>
    <w:p>
      <w:r>
        <w:br w:type="page"/>
      </w:r>
    </w:p>
    <w:p>
      <w:pPr>
        <w:pStyle w:val="Heading1"/>
        <w:spacing w:after="110" w:before="220"/>
      </w:pPr>
      <w:r>
        <w:rPr>
          <w:rFonts w:ascii="Calibri" w:cs="Calibri" w:eastAsia="Calibri" w:hAnsi="Calibri"/>
        </w:rPr>
        <w:t xml:space="preserve">1. Purpose and scope</w:t>
      </w:r>
    </w:p>
    <w:p>
      <w:pPr>
        <w:spacing w:after="120" w:line="264"/>
      </w:pPr>
      <w:r>
        <w:rPr>
          <w:rFonts w:ascii="Calibri" w:cs="Calibri" w:eastAsia="Calibri" w:hAnsi="Calibri"/>
          <w:sz w:val="20"/>
          <w:szCs w:val="20"/>
        </w:rPr>
        <w:t xml:space="preserve">This document is the complete computational record supporting the manuscript “Uncertainty-Aware Spatiotemporal Radar Data Fusion for Intelligent Detection and Multi-Target Tracking of Small Unmanned Aerial Vehicles”. It was produced by executing the three released C++17 software artefacts on a single, reproducible synthetic corpus and by aggregating the outputs over thirty independent repetitions. Its objectives are: (i) to generate a reproducible synthetic radar corpus; (ii) to perform uncertainty-aware spatiotemporal fusion; (iii) to quantify detection, classification, calibration and multi-target tracking accuracy with confidence intervals and non-parametric significance tests; and (iv) to supply every numerical value required to complete the manuscript’s abstract, Tables 2–8, results interpretations and conclusion.</w:t>
      </w:r>
    </w:p>
    <w:p>
      <w:pPr>
        <w:spacing w:after="120" w:line="264"/>
      </w:pPr>
      <w:r>
        <w:rPr>
          <w:rFonts w:ascii="Calibri" w:cs="Calibri" w:eastAsia="Calibri" w:hAnsi="Calibri"/>
          <w:sz w:val="20"/>
          <w:szCs w:val="20"/>
        </w:rPr>
        <w:t xml:space="preserve">The pipeline is deterministic given a seed. Each repetition runs RadarTwin-UAV (S1) to synthesise a labelled corpus, UST-Fuse Engine (S2) to produce classifications and tracks, and FuseMetrics Lab (S3) to compute metrics. All analysis code, intermediate CSVs, figures and this document are archived together.</w:t>
      </w:r>
    </w:p>
    <w:p>
      <w:pPr>
        <w:pStyle w:val="Heading1"/>
        <w:spacing w:after="110" w:before="220"/>
      </w:pPr>
      <w:r>
        <w:rPr>
          <w:rFonts w:ascii="Calibri" w:cs="Calibri" w:eastAsia="Calibri" w:hAnsi="Calibri"/>
        </w:rPr>
        <w:t xml:space="preserve">2. Software artefacts and build</w:t>
      </w:r>
    </w:p>
    <w:p>
      <w:pPr>
        <w:spacing w:after="120" w:line="264"/>
      </w:pPr>
      <w:r>
        <w:rPr>
          <w:rFonts w:ascii="Calibri" w:cs="Calibri" w:eastAsia="Calibri" w:hAnsi="Calibri"/>
          <w:b/>
          <w:bCs/>
          <w:sz w:val="20"/>
          <w:szCs w:val="20"/>
        </w:rPr>
        <w:t xml:space="preserve">S1 — RadarTwin-UAV. </w:t>
      </w:r>
      <w:r>
        <w:rPr>
          <w:rFonts w:ascii="Calibri" w:cs="Calibri" w:eastAsia="Calibri" w:hAnsi="Calibri"/>
          <w:sz w:val="20"/>
          <w:szCs w:val="20"/>
        </w:rPr>
        <w:t xml:space="preserve">Synthetic radar scenario and digital-twin generator. Models UAV / bird / other kinematics, an ENU monostatic radar (1/R⁴ SNR, Swerling-like detection, Poisson clutter, missed detections, measurement noise) and emits range, azimuth, elevation, radial velocity, SNR, clutter, completeness and a micro-Doppler descriptor, with exact ground truth. DOI 10.5281/zenodo.21699894.</w:t>
      </w:r>
    </w:p>
    <w:p>
      <w:pPr>
        <w:spacing w:after="120" w:line="264"/>
      </w:pPr>
      <w:r>
        <w:rPr>
          <w:rFonts w:ascii="Calibri" w:cs="Calibri" w:eastAsia="Calibri" w:hAnsi="Calibri"/>
          <w:b/>
          <w:bCs/>
          <w:sz w:val="20"/>
          <w:szCs w:val="20"/>
        </w:rPr>
        <w:t xml:space="preserve">S2 — UST-Fuse Engine. </w:t>
      </w:r>
      <w:r>
        <w:rPr>
          <w:rFonts w:ascii="Calibri" w:cs="Calibri" w:eastAsia="Calibri" w:hAnsi="Calibri"/>
          <w:sz w:val="20"/>
          <w:szCs w:val="20"/>
        </w:rPr>
        <w:t xml:space="preserve">Reference fusion engine: feature normalisation, cross-feature attention gated by measurement quality, an ensemble classifier with temperature calibration and epistemic/aleatoric decomposition, and a constant-velocity Kalman tracker with quality-driven covariance inflation and a semantic association factor tempered by epistemic uncertainty. DOI 10.5281/zenodo.21699946.</w:t>
      </w:r>
    </w:p>
    <w:p>
      <w:pPr>
        <w:spacing w:after="120" w:line="264"/>
      </w:pPr>
      <w:r>
        <w:rPr>
          <w:rFonts w:ascii="Calibri" w:cs="Calibri" w:eastAsia="Calibri" w:hAnsi="Calibri"/>
          <w:b/>
          <w:bCs/>
          <w:sz w:val="20"/>
          <w:szCs w:val="20"/>
        </w:rPr>
        <w:t xml:space="preserve">S3 — FuseMetrics Lab. </w:t>
      </w:r>
      <w:r>
        <w:rPr>
          <w:rFonts w:ascii="Calibri" w:cs="Calibri" w:eastAsia="Calibri" w:hAnsi="Calibri"/>
          <w:sz w:val="20"/>
          <w:szCs w:val="20"/>
        </w:rPr>
        <w:t xml:space="preserve">Analytics and reproducibility platform: leak-free scenario-level splits, detection/classification/calibration/tracking metrics, bootstrap confidence intervals, baseline comparison, component ablation and Wilcoxon+Holm testing, exporting CSV, LaTeX and SVG. DOI 10.5281/zenodo.21699827.</w:t>
      </w:r>
    </w:p>
    <w:p>
      <w:pPr>
        <w:spacing w:after="120" w:line="264"/>
      </w:pPr>
      <w:r>
        <w:rPr>
          <w:rFonts w:ascii="Calibri" w:cs="Calibri" w:eastAsia="Calibri" w:hAnsi="Calibri"/>
          <w:sz w:val="20"/>
          <w:szCs w:val="20"/>
        </w:rPr>
        <w:t xml:space="preserve">Build commands (identical optimisation for the three artefacts):</w:t>
      </w:r>
    </w:p>
    <w:p>
      <w:pPr>
        <w:shd w:fill="F2F2F2" w:val="clear"/>
        <w:spacing w:after="120"/>
      </w:pPr>
      <w:r>
        <w:rPr>
          <w:rFonts w:ascii="Consolas" w:cs="Consolas" w:eastAsia="Consolas" w:hAnsi="Consolas"/>
          <w:sz w:val="18"/>
          <w:szCs w:val="18"/>
        </w:rPr>
        <w:t xml:space="preserve">g++ -std=c++17 -O2 -o radartwin  main_s1.cpp</w:t>
      </w:r>
      <w:r>
        <w:br/>
        <w:t xml:space="preserve">
</w:t>
      </w:r>
      <w:r>
        <w:rPr>
          <w:rFonts w:ascii="Consolas" w:cs="Consolas" w:eastAsia="Consolas" w:hAnsi="Consolas"/>
          <w:sz w:val="18"/>
          <w:szCs w:val="18"/>
        </w:rPr>
        <w:br/>
        <w:t xml:space="preserve">g++ -std=c++17 -O2 -o ustfuse    main_s2.cpp</w:t>
      </w:r>
      <w:r>
        <w:rPr>
          <w:rFonts w:ascii="Consolas" w:cs="Consolas" w:eastAsia="Consolas" w:hAnsi="Consolas"/>
          <w:sz w:val="18"/>
          <w:szCs w:val="18"/>
        </w:rPr>
        <w:br/>
        <w:t xml:space="preserve">g++ -std=c++17 -O2 -o fusemetrics main_s3.cpp</w:t>
      </w:r>
    </w:p>
    <w:p>
      <w:pPr>
        <w:spacing w:after="120" w:line="264"/>
      </w:pPr>
      <w:r>
        <w:rPr>
          <w:rFonts w:ascii="Calibri" w:cs="Calibri" w:eastAsia="Calibri" w:hAnsi="Calibri"/>
          <w:sz w:val="20"/>
          <w:szCs w:val="20"/>
        </w:rPr>
        <w:t xml:space="preserve">Two auxiliary builds were derived from the S2 source for genuine measurements only: </w:t>
      </w:r>
      <w:r>
        <w:rPr>
          <w:rFonts w:ascii="Calibri" w:cs="Calibri" w:eastAsia="Calibri" w:hAnsi="Calibri"/>
          <w:b/>
          <w:bCs/>
          <w:sz w:val="20"/>
          <w:szCs w:val="20"/>
        </w:rPr>
        <w:t xml:space="preserve">ustfuse_ablate</w:t>
      </w:r>
      <w:r>
        <w:rPr>
          <w:rFonts w:ascii="Calibri" w:cs="Calibri" w:eastAsia="Calibri" w:hAnsi="Calibri"/>
          <w:sz w:val="20"/>
          <w:szCs w:val="20"/>
        </w:rPr>
        <w:t xml:space="preserve"> (adds runtime component-toggle and ζ/γ parameters for the ablation and sensitivity studies) and </w:t>
      </w:r>
      <w:r>
        <w:rPr>
          <w:rFonts w:ascii="Calibri" w:cs="Calibri" w:eastAsia="Calibri" w:hAnsi="Calibri"/>
          <w:b/>
          <w:bCs/>
          <w:sz w:val="20"/>
          <w:szCs w:val="20"/>
        </w:rPr>
        <w:t xml:space="preserve">ustfuse_timed</w:t>
      </w:r>
      <w:r>
        <w:rPr>
          <w:rFonts w:ascii="Calibri" w:cs="Calibri" w:eastAsia="Calibri" w:hAnsi="Calibri"/>
          <w:sz w:val="20"/>
          <w:szCs w:val="20"/>
        </w:rPr>
        <w:t xml:space="preserve"> (adds per-section std::chrono timers for latency). Neither changes the fusion result of the unmodified engine; the toggles are strictly additive and default to the released behaviour.</w:t>
      </w:r>
    </w:p>
    <w:p>
      <w:pPr>
        <w:pStyle w:val="Heading1"/>
        <w:spacing w:after="110" w:before="220"/>
      </w:pPr>
      <w:r>
        <w:rPr>
          <w:rFonts w:ascii="Calibri" w:cs="Calibri" w:eastAsia="Calibri" w:hAnsi="Calibri"/>
        </w:rPr>
        <w:t xml:space="preserve">3. Computational environment</w:t>
      </w:r>
    </w:p>
    <w:p>
      <w:pPr>
        <w:spacing w:after="120" w:line="264"/>
      </w:pPr>
      <w:r>
        <w:rPr>
          <w:rFonts w:ascii="Calibri" w:cs="Calibri" w:eastAsia="Calibri" w:hAnsi="Calibri"/>
          <w:sz w:val="20"/>
          <w:szCs w:val="20"/>
        </w:rPr>
        <w:t xml:space="preserve">All experiments were executed on a single machine with no competing user processes during latency measurement.</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2706"/>
        <w:gridCol w:w="6314"/>
      </w:tblGrid>
      <w:tr>
        <w:trPr>
          <w:tblHeader/>
        </w:trPr>
        <w:tc>
          <w:tcPr>
            <w:tcW w:type="dxa" w:w="2706"/>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6"/>
                <w:szCs w:val="16"/>
              </w:rPr>
              <w:t xml:space="preserve">Property</w:t>
            </w:r>
          </w:p>
        </w:tc>
        <w:tc>
          <w:tcPr>
            <w:tcW w:type="dxa" w:w="6314"/>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6"/>
                <w:szCs w:val="16"/>
              </w:rPr>
              <w:t xml:space="preserve">Value</w:t>
            </w:r>
          </w:p>
        </w:tc>
      </w:tr>
      <w:tr>
        <w:trPr>
          <w:tblHeader w:val="false"/>
        </w:trPr>
        <w:tc>
          <w:tcPr>
            <w:tcW w:type="dxa" w:w="270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Operating system</w:t>
            </w:r>
          </w:p>
        </w:tc>
        <w:tc>
          <w:tcPr>
            <w:tcW w:type="dxa" w:w="631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Ubuntu 24.04.4 LTS (Noble Numbat), Linux kernel 6.18.5, x86-64</w:t>
            </w:r>
          </w:p>
        </w:tc>
      </w:tr>
      <w:tr>
        <w:trPr>
          <w:tblHeader w:val="false"/>
        </w:trPr>
        <w:tc>
          <w:tcPr>
            <w:tcW w:type="dxa" w:w="2706"/>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CPU</w:t>
            </w:r>
          </w:p>
        </w:tc>
        <w:tc>
          <w:tcPr>
            <w:tcW w:type="dxa" w:w="631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Intel Xeon (Cascade Lake-class) @ 2.10 GHz, 4 vCPU</w:t>
            </w:r>
          </w:p>
        </w:tc>
      </w:tr>
      <w:tr>
        <w:trPr>
          <w:tblHeader w:val="false"/>
        </w:trPr>
        <w:tc>
          <w:tcPr>
            <w:tcW w:type="dxa" w:w="270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System memory</w:t>
            </w:r>
          </w:p>
        </w:tc>
        <w:tc>
          <w:tcPr>
            <w:tcW w:type="dxa" w:w="631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16 GiB (16,461,176 kB)</w:t>
            </w:r>
          </w:p>
        </w:tc>
      </w:tr>
      <w:tr>
        <w:trPr>
          <w:tblHeader w:val="false"/>
        </w:trPr>
        <w:tc>
          <w:tcPr>
            <w:tcW w:type="dxa" w:w="2706"/>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Compiler</w:t>
            </w:r>
          </w:p>
        </w:tc>
        <w:tc>
          <w:tcPr>
            <w:tcW w:type="dxa" w:w="631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GNU g++ (Ubuntu 13.3.0-6ubuntu2~24.04.1) 13.3.0</w:t>
            </w:r>
          </w:p>
        </w:tc>
      </w:tr>
      <w:tr>
        <w:trPr>
          <w:tblHeader w:val="false"/>
        </w:trPr>
        <w:tc>
          <w:tcPr>
            <w:tcW w:type="dxa" w:w="270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Language standard</w:t>
            </w:r>
          </w:p>
        </w:tc>
        <w:tc>
          <w:tcPr>
            <w:tcW w:type="dxa" w:w="631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ISO C++17 (-std=c++17)</w:t>
            </w:r>
          </w:p>
        </w:tc>
      </w:tr>
      <w:tr>
        <w:trPr>
          <w:tblHeader w:val="false"/>
        </w:trPr>
        <w:tc>
          <w:tcPr>
            <w:tcW w:type="dxa" w:w="2706"/>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Optimization flags</w:t>
            </w:r>
          </w:p>
        </w:tc>
        <w:tc>
          <w:tcPr>
            <w:tcW w:type="dxa" w:w="631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-O2</w:t>
            </w:r>
          </w:p>
        </w:tc>
      </w:tr>
      <w:tr>
        <w:trPr>
          <w:tblHeader w:val="false"/>
        </w:trPr>
        <w:tc>
          <w:tcPr>
            <w:tcW w:type="dxa" w:w="270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Build commands</w:t>
            </w:r>
          </w:p>
        </w:tc>
        <w:tc>
          <w:tcPr>
            <w:tcW w:type="dxa" w:w="631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g++ -std=c++17 -O2 -o radartwin main_s1.cpp; ... ustfuse main_s2.cpp; ... fusemetrics main_s3.cpp</w:t>
            </w:r>
          </w:p>
        </w:tc>
      </w:tr>
      <w:tr>
        <w:trPr>
          <w:tblHeader w:val="false"/>
        </w:trPr>
        <w:tc>
          <w:tcPr>
            <w:tcW w:type="dxa" w:w="2706"/>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Analytics runtime</w:t>
            </w:r>
          </w:p>
        </w:tc>
        <w:tc>
          <w:tcPr>
            <w:tcW w:type="dxa" w:w="631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Python 3.11.15 (aggregation, statistics, figures); matplotlib 3.11.1, numpy 2.4.6, scipy 1.17.1</w:t>
            </w:r>
          </w:p>
        </w:tc>
      </w:tr>
      <w:tr>
        <w:trPr>
          <w:tblHeader w:val="false"/>
        </w:trPr>
        <w:tc>
          <w:tcPr>
            <w:tcW w:type="dxa" w:w="270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Threading</w:t>
            </w:r>
          </w:p>
        </w:tc>
        <w:tc>
          <w:tcPr>
            <w:tcW w:type="dxa" w:w="631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single-threaded C++ (no parallel user processes during latency runs)</w:t>
            </w:r>
          </w:p>
        </w:tc>
      </w:tr>
      <w:tr>
        <w:trPr>
          <w:tblHeader w:val="false"/>
        </w:trPr>
        <w:tc>
          <w:tcPr>
            <w:tcW w:type="dxa" w:w="2706"/>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Experiment dates</w:t>
            </w:r>
          </w:p>
        </w:tc>
        <w:tc>
          <w:tcPr>
            <w:tcW w:type="dxa" w:w="631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2026-07-30</w:t>
            </w:r>
          </w:p>
        </w:tc>
      </w:tr>
      <w:tr>
        <w:trPr>
          <w:tblHeader w:val="false"/>
        </w:trPr>
        <w:tc>
          <w:tcPr>
            <w:tcW w:type="dxa" w:w="270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Random seeds</w:t>
            </w:r>
          </w:p>
        </w:tc>
        <w:tc>
          <w:tcPr>
            <w:tcW w:type="dxa" w:w="631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20260730 - 20260759 (30 repetitions)</w:t>
            </w:r>
          </w:p>
        </w:tc>
      </w:tr>
      <w:tr>
        <w:trPr>
          <w:tblHeader w:val="false"/>
        </w:trPr>
        <w:tc>
          <w:tcPr>
            <w:tcW w:type="dxa" w:w="2706"/>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Scenarios per repetition</w:t>
            </w:r>
          </w:p>
        </w:tc>
        <w:tc>
          <w:tcPr>
            <w:tcW w:type="dxa" w:w="631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400</w:t>
            </w:r>
          </w:p>
        </w:tc>
      </w:tr>
    </w:tbl>
    <w:p>
      <w:pPr>
        <w:spacing w:after="160"/>
        <w:jc w:val="center"/>
      </w:pPr>
      <w:r>
        <w:rPr>
          <w:rFonts w:ascii="Calibri" w:cs="Calibri" w:eastAsia="Calibri" w:hAnsi="Calibri"/>
          <w:i/>
          <w:iCs/>
          <w:color w:val="555555"/>
          <w:sz w:val="16"/>
          <w:szCs w:val="16"/>
        </w:rPr>
        <w:t xml:space="preserve">Table E1. Software and hardware environment.</w:t>
      </w:r>
    </w:p>
    <w:p>
      <w:pPr>
        <w:pStyle w:val="Heading1"/>
        <w:spacing w:after="110" w:before="220"/>
      </w:pPr>
      <w:r>
        <w:rPr>
          <w:rFonts w:ascii="Calibri" w:cs="Calibri" w:eastAsia="Calibri" w:hAnsi="Calibri"/>
        </w:rPr>
        <w:t xml:space="preserve">4. Corpus generation (Table 3)</w:t>
      </w:r>
    </w:p>
    <w:p>
      <w:pPr>
        <w:spacing w:after="120" w:line="264"/>
      </w:pPr>
      <w:r>
        <w:rPr>
          <w:rFonts w:ascii="Calibri" w:cs="Calibri" w:eastAsia="Calibri" w:hAnsi="Calibri"/>
          <w:sz w:val="20"/>
          <w:szCs w:val="20"/>
        </w:rPr>
        <w:t xml:space="preserve">Command per repetition: </w:t>
      </w:r>
      <w:r>
        <w:rPr>
          <w:rFonts w:ascii="Calibri" w:cs="Calibri" w:eastAsia="Calibri" w:hAnsi="Calibri"/>
          <w:b/>
          <w:bCs/>
          <w:sz w:val="20"/>
          <w:szCs w:val="20"/>
        </w:rPr>
        <w:t xml:space="preserve">./radartwin &lt;seed&gt; 400</w:t>
      </w:r>
      <w:r>
        <w:rPr>
          <w:rFonts w:ascii="Calibri" w:cs="Calibri" w:eastAsia="Calibri" w:hAnsi="Calibri"/>
          <w:sz w:val="20"/>
          <w:szCs w:val="20"/>
        </w:rPr>
        <w:t xml:space="preserve">. Four scenario families (individual, simultaneous, sequential, combined) are generated in equal proportion. Table 3 reports the reference corpus (seed 20260730); counts vary by &lt;2% across the 30 seeds (mean measurement rows 203,125 ± 2,910).</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3608"/>
        <w:gridCol w:w="5412"/>
      </w:tblGrid>
      <w:tr>
        <w:trPr>
          <w:tblHeader/>
        </w:trPr>
        <w:tc>
          <w:tcPr>
            <w:tcW w:type="dxa" w:w="3608"/>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6"/>
                <w:szCs w:val="16"/>
              </w:rPr>
              <w:t xml:space="preserve">Property</w:t>
            </w:r>
          </w:p>
        </w:tc>
        <w:tc>
          <w:tcPr>
            <w:tcW w:type="dxa" w:w="5412"/>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6"/>
                <w:szCs w:val="16"/>
              </w:rPr>
              <w:t xml:space="preserve">Value / range</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Scenario families</w:t>
            </w:r>
          </w:p>
        </w:tc>
        <w:tc>
          <w:tcPr>
            <w:tcW w:type="dxa" w:w="541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Individual / Simultaneous / Sequential / Combined (100 / 100 / 100 / 100)</w:t>
            </w:r>
          </w:p>
        </w:tc>
      </w:tr>
      <w:tr>
        <w:trPr>
          <w:tblHeader w:val="false"/>
        </w:trPr>
        <w:tc>
          <w:tcPr>
            <w:tcW w:type="dxa" w:w="360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Number of scenarios</w:t>
            </w:r>
          </w:p>
        </w:tc>
        <w:tc>
          <w:tcPr>
            <w:tcW w:type="dxa" w:w="541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400 per repetition (30 repetitions)</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Total radar dwells (scenario-frames)</w:t>
            </w:r>
          </w:p>
        </w:tc>
        <w:tc>
          <w:tcPr>
            <w:tcW w:type="dxa" w:w="541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89,180 (reference seed); 217,932 ground-truth target-dwell rows</w:t>
            </w:r>
          </w:p>
        </w:tc>
      </w:tr>
      <w:tr>
        <w:trPr>
          <w:tblHeader w:val="false"/>
        </w:trPr>
        <w:tc>
          <w:tcPr>
            <w:tcW w:type="dxa" w:w="360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Total measurements</w:t>
            </w:r>
          </w:p>
        </w:tc>
        <w:tc>
          <w:tcPr>
            <w:tcW w:type="dxa" w:w="541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203,464 (reference seed); mean 203,125 +/- 2,910 over 30 seeds</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Total target-tracks (trajectories)</w:t>
            </w:r>
          </w:p>
        </w:tc>
        <w:tc>
          <w:tcPr>
            <w:tcW w:type="dxa" w:w="541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1,151 (reference seed); ~1,150 per seed</w:t>
            </w:r>
          </w:p>
        </w:tc>
      </w:tr>
      <w:tr>
        <w:trPr>
          <w:tblHeader w:val="false"/>
        </w:trPr>
        <w:tc>
          <w:tcPr>
            <w:tcW w:type="dxa" w:w="360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Target classes</w:t>
            </w:r>
          </w:p>
        </w:tc>
        <w:tc>
          <w:tcPr>
            <w:tcW w:type="dxa" w:w="541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UAV, BIRD, OTHER (3 classes)</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Class balance (trajectories)</w:t>
            </w:r>
          </w:p>
        </w:tc>
        <w:tc>
          <w:tcPr>
            <w:tcW w:type="dxa" w:w="541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UAV:BIRD:OTHER = 696:300:155 ~ 0.605 : 0.261 : 0.135</w:t>
            </w:r>
          </w:p>
        </w:tc>
      </w:tr>
      <w:tr>
        <w:trPr>
          <w:tblHeader w:val="false"/>
        </w:trPr>
        <w:tc>
          <w:tcPr>
            <w:tcW w:type="dxa" w:w="360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Maximum simultaneous targets</w:t>
            </w:r>
          </w:p>
        </w:tc>
        <w:tc>
          <w:tcPr>
            <w:tcW w:type="dxa" w:w="541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6</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Target velocity</w:t>
            </w:r>
          </w:p>
        </w:tc>
        <w:tc>
          <w:tcPr>
            <w:tcW w:type="dxa" w:w="541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instantaneous 0-119 m/s (nominal cruise 4-80 m/s)</w:t>
            </w:r>
          </w:p>
        </w:tc>
      </w:tr>
      <w:tr>
        <w:trPr>
          <w:tblHeader w:val="false"/>
        </w:trPr>
        <w:tc>
          <w:tcPr>
            <w:tcW w:type="dxa" w:w="360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Target altitude</w:t>
            </w:r>
          </w:p>
        </w:tc>
        <w:tc>
          <w:tcPr>
            <w:tcW w:type="dxa" w:w="541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5-399 m (nominal cruise 20-399 m)</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Approach direction</w:t>
            </w:r>
          </w:p>
        </w:tc>
        <w:tc>
          <w:tcPr>
            <w:tcW w:type="dxa" w:w="541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full 360 deg azimuth (-180..180 deg)</w:t>
            </w:r>
          </w:p>
        </w:tc>
      </w:tr>
      <w:tr>
        <w:trPr>
          <w:tblHeader w:val="false"/>
        </w:trPr>
        <w:tc>
          <w:tcPr>
            <w:tcW w:type="dxa" w:w="360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Manoeuvre types</w:t>
            </w:r>
          </w:p>
        </w:tc>
        <w:tc>
          <w:tcPr>
            <w:tcW w:type="dxa" w:w="541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straight, weaving, hover, diving</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Signal-to-noise ratio</w:t>
            </w:r>
          </w:p>
        </w:tc>
        <w:tc>
          <w:tcPr>
            <w:tcW w:type="dxa" w:w="541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approx -6 to 66 dB (bulk of detections -5..30 dB)</w:t>
            </w:r>
          </w:p>
        </w:tc>
      </w:tr>
      <w:tr>
        <w:trPr>
          <w:tblHeader w:val="false"/>
        </w:trPr>
        <w:tc>
          <w:tcPr>
            <w:tcW w:type="dxa" w:w="360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Clutter intensity lambda</w:t>
            </w:r>
          </w:p>
        </w:tc>
        <w:tc>
          <w:tcPr>
            <w:tcW w:type="dxa" w:w="541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0.8 false alarms per dwell (Poisson); ~71k false alarms/seed</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Observation completeness rho</w:t>
            </w:r>
          </w:p>
        </w:tc>
        <w:tc>
          <w:tcPr>
            <w:tcW w:type="dxa" w:w="541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0.70-1.00 per detection; trajectory-level 0.40-1.00 (incl. missed dwells)</w:t>
            </w:r>
          </w:p>
        </w:tc>
      </w:tr>
      <w:tr>
        <w:trPr>
          <w:tblHeader w:val="false"/>
        </w:trPr>
        <w:tc>
          <w:tcPr>
            <w:tcW w:type="dxa" w:w="360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Measurement update rate</w:t>
            </w:r>
          </w:p>
        </w:tc>
        <w:tc>
          <w:tcPr>
            <w:tcW w:type="dxa" w:w="541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10 Hz (dwell interval 0.1 s)</w:t>
            </w:r>
          </w:p>
        </w:tc>
      </w:tr>
    </w:tbl>
    <w:p>
      <w:pPr>
        <w:spacing w:after="160"/>
        <w:jc w:val="center"/>
      </w:pPr>
      <w:r>
        <w:rPr>
          <w:rFonts w:ascii="Calibri" w:cs="Calibri" w:eastAsia="Calibri" w:hAnsi="Calibri"/>
          <w:i/>
          <w:iCs/>
          <w:color w:val="555555"/>
          <w:sz w:val="16"/>
          <w:szCs w:val="16"/>
        </w:rPr>
        <w:t xml:space="preserve">Table 3. Composition of the RadarTwin-UAV corpus and controlled-factor ranges.</w:t>
      </w:r>
    </w:p>
    <w:p>
      <w:pPr>
        <w:pStyle w:val="Heading1"/>
        <w:spacing w:after="110" w:before="220"/>
      </w:pPr>
      <w:r>
        <w:rPr>
          <w:rFonts w:ascii="Calibri" w:cs="Calibri" w:eastAsia="Calibri" w:hAnsi="Calibri"/>
        </w:rPr>
        <w:t xml:space="preserve">5. Independent samples and reproducibility protocol</w:t>
      </w:r>
    </w:p>
    <w:p>
      <w:pPr>
        <w:spacing w:after="120" w:line="264"/>
      </w:pPr>
      <w:r>
        <w:rPr>
          <w:rFonts w:ascii="Calibri" w:cs="Calibri" w:eastAsia="Calibri" w:hAnsi="Calibri"/>
          <w:sz w:val="20"/>
          <w:szCs w:val="20"/>
        </w:rPr>
        <w:t xml:space="preserve">Scenarios (not individual measurements) were partitioned at the scenario level into train / calibration / validation / test folds in a 60 / 10 / 10 / 20 ratio by a deterministic hash of (seed, scenario_id). No scenario appears in two folds; normalisation statistics are drawn from the training fold only. The split for all 30 seeds is recorded in manifest/split_manifest.json and verified leak-free (all folds pairwise disjoint).</w:t>
      </w:r>
    </w:p>
    <w:p>
      <w:pPr>
        <w:spacing w:after="120" w:line="264"/>
      </w:pPr>
      <w:r>
        <w:rPr>
          <w:rFonts w:ascii="Calibri" w:cs="Calibri" w:eastAsia="Calibri" w:hAnsi="Calibri"/>
          <w:sz w:val="20"/>
          <w:szCs w:val="20"/>
        </w:rPr>
        <w:t xml:space="preserve">The full S1→S2→S3 cycle was repeated 30 times with seeds 20260730…20260759. For every run the seed, generator configuration, engine configuration, scenario count, file row counts and MD5 checksums of all inputs and outputs were logged (runs/checksums.csv, 150 file records; all 30 measurement checksums distinct). Metrics were pooled only after integrity verification.</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1288"/>
        <w:gridCol w:w="1288"/>
        <w:gridCol w:w="1288"/>
        <w:gridCol w:w="1288"/>
        <w:gridCol w:w="1288"/>
        <w:gridCol w:w="1288"/>
        <w:gridCol w:w="1288"/>
      </w:tblGrid>
      <w:tr>
        <w:trPr>
          <w:tblHeader/>
        </w:trPr>
        <w:tc>
          <w:tcPr>
            <w:tcW w:type="dxa" w:w="1288"/>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5"/>
                <w:szCs w:val="15"/>
              </w:rPr>
              <w:t xml:space="preserve">seed</w:t>
            </w:r>
          </w:p>
        </w:tc>
        <w:tc>
          <w:tcPr>
            <w:tcW w:type="dxa" w:w="1288"/>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train</w:t>
            </w:r>
          </w:p>
        </w:tc>
        <w:tc>
          <w:tcPr>
            <w:tcW w:type="dxa" w:w="1288"/>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cal</w:t>
            </w:r>
          </w:p>
        </w:tc>
        <w:tc>
          <w:tcPr>
            <w:tcW w:type="dxa" w:w="1288"/>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val</w:t>
            </w:r>
          </w:p>
        </w:tc>
        <w:tc>
          <w:tcPr>
            <w:tcW w:type="dxa" w:w="1288"/>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test</w:t>
            </w:r>
          </w:p>
        </w:tc>
        <w:tc>
          <w:tcPr>
            <w:tcW w:type="dxa" w:w="1288"/>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total</w:t>
            </w:r>
          </w:p>
        </w:tc>
        <w:tc>
          <w:tcPr>
            <w:tcW w:type="dxa" w:w="1288"/>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overlap_check</w:t>
            </w:r>
          </w:p>
        </w:tc>
      </w:tr>
      <w:tr>
        <w:trPr>
          <w:tblHeader w:val="false"/>
        </w:trPr>
        <w:tc>
          <w:tcPr>
            <w:tcW w:type="dxa" w:w="128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20260730</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250</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41</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43</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66</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400</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PASS</w:t>
            </w:r>
          </w:p>
        </w:tc>
      </w:tr>
      <w:tr>
        <w:trPr>
          <w:tblHeader w:val="false"/>
        </w:trPr>
        <w:tc>
          <w:tcPr>
            <w:tcW w:type="dxa" w:w="128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20260731</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236</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31</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46</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87</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400</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PASS</w:t>
            </w:r>
          </w:p>
        </w:tc>
      </w:tr>
      <w:tr>
        <w:trPr>
          <w:tblHeader w:val="false"/>
        </w:trPr>
        <w:tc>
          <w:tcPr>
            <w:tcW w:type="dxa" w:w="128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20260732</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252</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41</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38</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69</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400</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PASS</w:t>
            </w:r>
          </w:p>
        </w:tc>
      </w:tr>
      <w:tr>
        <w:trPr>
          <w:tblHeader w:val="false"/>
        </w:trPr>
        <w:tc>
          <w:tcPr>
            <w:tcW w:type="dxa" w:w="128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20260733</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246</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47</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37</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70</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400</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PASS</w:t>
            </w:r>
          </w:p>
        </w:tc>
      </w:tr>
      <w:tr>
        <w:trPr>
          <w:tblHeader w:val="false"/>
        </w:trPr>
        <w:tc>
          <w:tcPr>
            <w:tcW w:type="dxa" w:w="128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20260734</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235</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35</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42</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88</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400</w:t>
            </w:r>
          </w:p>
        </w:tc>
        <w:tc>
          <w:tcPr>
            <w:tcW w:type="dxa" w:w="1288"/>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PASS</w:t>
            </w:r>
          </w:p>
        </w:tc>
      </w:tr>
      <w:tr>
        <w:trPr>
          <w:tblHeader w:val="false"/>
        </w:trPr>
        <w:tc>
          <w:tcPr>
            <w:tcW w:type="dxa" w:w="128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20260735</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231</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46</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43</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80</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400</w:t>
            </w:r>
          </w:p>
        </w:tc>
        <w:tc>
          <w:tcPr>
            <w:tcW w:type="dxa" w:w="1288"/>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PASS</w:t>
            </w:r>
          </w:p>
        </w:tc>
      </w:tr>
    </w:tbl>
    <w:p>
      <w:pPr>
        <w:spacing w:after="160"/>
        <w:jc w:val="center"/>
      </w:pPr>
      <w:r>
        <w:rPr>
          <w:rFonts w:ascii="Calibri" w:cs="Calibri" w:eastAsia="Calibri" w:hAnsi="Calibri"/>
          <w:i/>
          <w:iCs/>
          <w:color w:val="555555"/>
          <w:sz w:val="16"/>
          <w:szCs w:val="16"/>
        </w:rPr>
        <w:t xml:space="preserve">Table R1. Scenario-level split sizes for the first six repetitions (leak-free; full table in the manifest).</w:t>
      </w:r>
    </w:p>
    <w:p>
      <w:pPr>
        <w:pStyle w:val="Heading1"/>
        <w:spacing w:after="110" w:before="220"/>
      </w:pPr>
      <w:r>
        <w:rPr>
          <w:rFonts w:ascii="Calibri" w:cs="Calibri" w:eastAsia="Calibri" w:hAnsi="Calibri"/>
        </w:rPr>
        <w:t xml:space="preserve">6. Reference configuration (Table 2)</w:t>
      </w:r>
    </w:p>
    <w:p>
      <w:pPr>
        <w:spacing w:after="120" w:line="264"/>
      </w:pPr>
      <w:r>
        <w:rPr>
          <w:rFonts w:ascii="Calibri" w:cs="Calibri" w:eastAsia="Calibri" w:hAnsi="Calibri"/>
          <w:sz w:val="20"/>
          <w:szCs w:val="20"/>
        </w:rPr>
        <w:t xml:space="preserve">Table 2 lists the hyperparameters actually realised in the released S2 source. Constants were read directly from the code; italic notes mark parameters that the reference implementation realises differently from the idealised neural architecture described in Section 3 of the manuscript (for example, the reference classifier uses fixed analytical prototype logits rather than a trained network, and processes each dwell independently rather than over a sliding window).</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1052"/>
        <w:gridCol w:w="3157"/>
        <w:gridCol w:w="4810"/>
      </w:tblGrid>
      <w:tr>
        <w:trPr>
          <w:tblHeader/>
        </w:trPr>
        <w:tc>
          <w:tcPr>
            <w:tcW w:type="dxa" w:w="1052"/>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5"/>
                <w:szCs w:val="15"/>
              </w:rPr>
              <w:t xml:space="preserve">Component</w:t>
            </w:r>
          </w:p>
        </w:tc>
        <w:tc>
          <w:tcPr>
            <w:tcW w:type="dxa" w:w="3157"/>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Parameter</w:t>
            </w:r>
          </w:p>
        </w:tc>
        <w:tc>
          <w:tcPr>
            <w:tcW w:type="dxa" w:w="481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Value</w:t>
            </w:r>
          </w:p>
        </w:tc>
      </w:tr>
      <w:tr>
        <w:trPr>
          <w:tblHeader w:val="false"/>
        </w:trPr>
        <w:tc>
          <w:tcPr>
            <w:tcW w:type="dxa" w:w="10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DQ</w:t>
            </w:r>
          </w:p>
        </w:tc>
        <w:tc>
          <w:tcPr>
            <w:tcW w:type="dxa" w:w="3157"/>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Observation window length W</w:t>
            </w:r>
          </w:p>
        </w:tc>
        <w:tc>
          <w:tcPr>
            <w:tcW w:type="dxa" w:w="48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 dwell (per-dwell fusion in reference impl.; sliding-window encoder of Sec. 3.5 not realized)</w:t>
            </w:r>
          </w:p>
        </w:tc>
      </w:tr>
      <w:tr>
        <w:trPr>
          <w:tblHeader w:val="false"/>
        </w:trPr>
        <w:tc>
          <w:tcPr>
            <w:tcW w:type="dxa" w:w="1052"/>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DQ</w:t>
            </w:r>
          </w:p>
        </w:tc>
        <w:tc>
          <w:tcPr>
            <w:tcW w:type="dxa" w:w="3157"/>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Resampling tolerance Δτ</w:t>
            </w:r>
          </w:p>
        </w:tc>
        <w:tc>
          <w:tcPr>
            <w:tcW w:type="dxa" w:w="48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50 ms (corpus on exact 10 Hz grid; grouped by integer dwell index)</w:t>
            </w:r>
          </w:p>
        </w:tc>
      </w:tr>
      <w:tr>
        <w:trPr>
          <w:tblHeader w:val="false"/>
        </w:trPr>
        <w:tc>
          <w:tcPr>
            <w:tcW w:type="dxa" w:w="10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DQ</w:t>
            </w:r>
          </w:p>
        </w:tc>
        <w:tc>
          <w:tcPr>
            <w:tcW w:type="dxa" w:w="3157"/>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Track-initiation quality gate q_init</w:t>
            </w:r>
          </w:p>
        </w:tc>
        <w:tc>
          <w:tcPr>
            <w:tcW w:type="dxa" w:w="48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0.45</w:t>
            </w:r>
          </w:p>
        </w:tc>
      </w:tr>
      <w:tr>
        <w:trPr>
          <w:tblHeader w:val="false"/>
        </w:trPr>
        <w:tc>
          <w:tcPr>
            <w:tcW w:type="dxa" w:w="1052"/>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STR</w:t>
            </w:r>
          </w:p>
        </w:tc>
        <w:tc>
          <w:tcPr>
            <w:tcW w:type="dxa" w:w="3157"/>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Recurrent hidden size</w:t>
            </w:r>
          </w:p>
        </w:tc>
        <w:tc>
          <w:tcPr>
            <w:tcW w:type="dxa" w:w="48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8 (attended descriptor dim; BiRNN of Sec. 3.5 replaced by linear-softmax proxy)</w:t>
            </w:r>
          </w:p>
        </w:tc>
      </w:tr>
      <w:tr>
        <w:trPr>
          <w:tblHeader w:val="false"/>
        </w:trPr>
        <w:tc>
          <w:tcPr>
            <w:tcW w:type="dxa" w:w="10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STR</w:t>
            </w:r>
          </w:p>
        </w:tc>
        <w:tc>
          <w:tcPr>
            <w:tcW w:type="dxa" w:w="3157"/>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Number of feature groups G</w:t>
            </w:r>
          </w:p>
        </w:tc>
        <w:tc>
          <w:tcPr>
            <w:tcW w:type="dxa" w:w="48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 (kinematic, spectral, trajectory, quality)</w:t>
            </w:r>
          </w:p>
        </w:tc>
      </w:tr>
      <w:tr>
        <w:trPr>
          <w:tblHeader w:val="false"/>
        </w:trPr>
        <w:tc>
          <w:tcPr>
            <w:tcW w:type="dxa" w:w="1052"/>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STR</w:t>
            </w:r>
          </w:p>
        </w:tc>
        <w:tc>
          <w:tcPr>
            <w:tcW w:type="dxa" w:w="3157"/>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Dropout rate</w:t>
            </w:r>
          </w:p>
        </w:tc>
        <w:tc>
          <w:tcPr>
            <w:tcW w:type="dxa" w:w="48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 (deterministic ensemble; no MC dropout)</w:t>
            </w:r>
          </w:p>
        </w:tc>
      </w:tr>
      <w:tr>
        <w:trPr>
          <w:tblHeader w:val="false"/>
        </w:trPr>
        <w:tc>
          <w:tcPr>
            <w:tcW w:type="dxa" w:w="10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UAC</w:t>
            </w:r>
          </w:p>
        </w:tc>
        <w:tc>
          <w:tcPr>
            <w:tcW w:type="dxa" w:w="3157"/>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Ensemble size M</w:t>
            </w:r>
          </w:p>
        </w:tc>
        <w:tc>
          <w:tcPr>
            <w:tcW w:type="dxa" w:w="48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5</w:t>
            </w:r>
          </w:p>
        </w:tc>
      </w:tr>
      <w:tr>
        <w:trPr>
          <w:tblHeader w:val="false"/>
        </w:trPr>
        <w:tc>
          <w:tcPr>
            <w:tcW w:type="dxa" w:w="1052"/>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UAC</w:t>
            </w:r>
          </w:p>
        </w:tc>
        <w:tc>
          <w:tcPr>
            <w:tcW w:type="dxa" w:w="3157"/>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Monte Carlo samples L</w:t>
            </w:r>
          </w:p>
        </w:tc>
        <w:tc>
          <w:tcPr>
            <w:tcW w:type="dxa" w:w="48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 (deterministic ensemble; MC integration not used)</w:t>
            </w:r>
          </w:p>
        </w:tc>
      </w:tr>
      <w:tr>
        <w:trPr>
          <w:tblHeader w:val="false"/>
        </w:trPr>
        <w:tc>
          <w:tcPr>
            <w:tcW w:type="dxa" w:w="10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UAC</w:t>
            </w:r>
          </w:p>
        </w:tc>
        <w:tc>
          <w:tcPr>
            <w:tcW w:type="dxa" w:w="3157"/>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Optimizer / learning rate</w:t>
            </w:r>
          </w:p>
        </w:tc>
        <w:tc>
          <w:tcPr>
            <w:tcW w:type="dxa" w:w="48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none (analytical prototype logits; no gradient training in reference impl.)</w:t>
            </w:r>
          </w:p>
        </w:tc>
      </w:tr>
      <w:tr>
        <w:trPr>
          <w:tblHeader w:val="false"/>
        </w:trPr>
        <w:tc>
          <w:tcPr>
            <w:tcW w:type="dxa" w:w="1052"/>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UAC</w:t>
            </w:r>
          </w:p>
        </w:tc>
        <w:tc>
          <w:tcPr>
            <w:tcW w:type="dxa" w:w="3157"/>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Batch size</w:t>
            </w:r>
          </w:p>
        </w:tc>
        <w:tc>
          <w:tcPr>
            <w:tcW w:type="dxa" w:w="48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n/a (no training)</w:t>
            </w:r>
          </w:p>
        </w:tc>
      </w:tr>
      <w:tr>
        <w:trPr>
          <w:tblHeader w:val="false"/>
        </w:trPr>
        <w:tc>
          <w:tcPr>
            <w:tcW w:type="dxa" w:w="10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UAC</w:t>
            </w:r>
          </w:p>
        </w:tc>
        <w:tc>
          <w:tcPr>
            <w:tcW w:type="dxa" w:w="3157"/>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Calibration bins B</w:t>
            </w:r>
          </w:p>
        </w:tc>
        <w:tc>
          <w:tcPr>
            <w:tcW w:type="dxa" w:w="48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10 (equal width)</w:t>
            </w:r>
          </w:p>
        </w:tc>
      </w:tr>
      <w:tr>
        <w:trPr>
          <w:tblHeader w:val="false"/>
        </w:trPr>
        <w:tc>
          <w:tcPr>
            <w:tcW w:type="dxa" w:w="1052"/>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UAC</w:t>
            </w:r>
          </w:p>
        </w:tc>
        <w:tc>
          <w:tcPr>
            <w:tcW w:type="dxa" w:w="3157"/>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Regularization / ensemble diversity</w:t>
            </w:r>
          </w:p>
        </w:tc>
        <w:tc>
          <w:tcPr>
            <w:tcW w:type="dxa" w:w="48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member weight perturbation N(0, 0.20)</w:t>
            </w:r>
          </w:p>
        </w:tc>
      </w:tr>
      <w:tr>
        <w:trPr>
          <w:tblHeader w:val="false"/>
        </w:trPr>
        <w:tc>
          <w:tcPr>
            <w:tcW w:type="dxa" w:w="10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UAC</w:t>
            </w:r>
          </w:p>
        </w:tc>
        <w:tc>
          <w:tcPr>
            <w:tcW w:type="dxa" w:w="3157"/>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Temperature T</w:t>
            </w:r>
          </w:p>
        </w:tc>
        <w:tc>
          <w:tcPr>
            <w:tcW w:type="dxa" w:w="48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1.35</w:t>
            </w:r>
          </w:p>
        </w:tc>
      </w:tr>
      <w:tr>
        <w:trPr>
          <w:tblHeader w:val="false"/>
        </w:trPr>
        <w:tc>
          <w:tcPr>
            <w:tcW w:type="dxa" w:w="1052"/>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AMT</w:t>
            </w:r>
          </w:p>
        </w:tc>
        <w:tc>
          <w:tcPr>
            <w:tcW w:type="dxa" w:w="3157"/>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Covariance inflation ζ</w:t>
            </w:r>
          </w:p>
        </w:tc>
        <w:tc>
          <w:tcPr>
            <w:tcW w:type="dxa" w:w="48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9.0 m^2 base, x(1 + 3(1-q)) (up to 4x at q-&gt;0)</w:t>
            </w:r>
          </w:p>
        </w:tc>
      </w:tr>
      <w:tr>
        <w:trPr>
          <w:tblHeader w:val="false"/>
        </w:trPr>
        <w:tc>
          <w:tcPr>
            <w:tcW w:type="dxa" w:w="10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AMT</w:t>
            </w:r>
          </w:p>
        </w:tc>
        <w:tc>
          <w:tcPr>
            <w:tcW w:type="dxa" w:w="3157"/>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Uncertainty tempering γ</w:t>
            </w:r>
          </w:p>
        </w:tc>
        <w:tc>
          <w:tcPr>
            <w:tcW w:type="dxa" w:w="48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3.0</w:t>
            </w:r>
          </w:p>
        </w:tc>
      </w:tr>
      <w:tr>
        <w:trPr>
          <w:tblHeader w:val="false"/>
        </w:trPr>
        <w:tc>
          <w:tcPr>
            <w:tcW w:type="dxa" w:w="1052"/>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AMT</w:t>
            </w:r>
          </w:p>
        </w:tc>
        <w:tc>
          <w:tcPr>
            <w:tcW w:type="dxa" w:w="3157"/>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Class forgetting factor</w:t>
            </w:r>
          </w:p>
        </w:tc>
        <w:tc>
          <w:tcPr>
            <w:tcW w:type="dxa" w:w="48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alpha = 0.15 + 0.35 q (quality-adaptive)</w:t>
            </w:r>
          </w:p>
        </w:tc>
      </w:tr>
      <w:tr>
        <w:trPr>
          <w:tblHeader w:val="false"/>
        </w:trPr>
        <w:tc>
          <w:tcPr>
            <w:tcW w:type="dxa" w:w="10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AMT</w:t>
            </w:r>
          </w:p>
        </w:tc>
        <w:tc>
          <w:tcPr>
            <w:tcW w:type="dxa" w:w="3157"/>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Association gate</w:t>
            </w:r>
          </w:p>
        </w:tc>
        <w:tc>
          <w:tcPr>
            <w:tcW w:type="dxa" w:w="48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chi^2(3 dof) = 16.0  (P_G ~ 0.9989)</w:t>
            </w:r>
          </w:p>
        </w:tc>
      </w:tr>
      <w:tr>
        <w:trPr>
          <w:tblHeader w:val="false"/>
        </w:trPr>
        <w:tc>
          <w:tcPr>
            <w:tcW w:type="dxa" w:w="1052"/>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AMT</w:t>
            </w:r>
          </w:p>
        </w:tc>
        <w:tc>
          <w:tcPr>
            <w:tcW w:type="dxa" w:w="3157"/>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Process noise q</w:t>
            </w:r>
          </w:p>
        </w:tc>
        <w:tc>
          <w:tcPr>
            <w:tcW w:type="dxa" w:w="48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4.0</w:t>
            </w:r>
          </w:p>
        </w:tc>
      </w:tr>
      <w:tr>
        <w:trPr>
          <w:tblHeader w:val="false"/>
        </w:trPr>
        <w:tc>
          <w:tcPr>
            <w:tcW w:type="dxa" w:w="10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AMT</w:t>
            </w:r>
          </w:p>
        </w:tc>
        <w:tc>
          <w:tcPr>
            <w:tcW w:type="dxa" w:w="3157"/>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Confirmation / deletion logic</w:t>
            </w:r>
          </w:p>
        </w:tc>
        <w:tc>
          <w:tcPr>
            <w:tcW w:type="dxa" w:w="48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3-of-3 confirm; delete after 8 consecutive misses</w:t>
            </w:r>
          </w:p>
        </w:tc>
      </w:tr>
    </w:tbl>
    <w:p>
      <w:pPr>
        <w:spacing w:after="160"/>
        <w:jc w:val="center"/>
      </w:pPr>
      <w:r>
        <w:rPr>
          <w:rFonts w:ascii="Calibri" w:cs="Calibri" w:eastAsia="Calibri" w:hAnsi="Calibri"/>
          <w:i/>
          <w:iCs/>
          <w:color w:val="555555"/>
          <w:sz w:val="16"/>
          <w:szCs w:val="16"/>
        </w:rPr>
        <w:t xml:space="preserve">Table 2. Hyperparameter configuration of the reference UST-Fuse implementation.</w:t>
      </w:r>
    </w:p>
    <w:p>
      <w:pPr>
        <w:pStyle w:val="Heading1"/>
        <w:spacing w:after="110" w:before="220"/>
      </w:pPr>
      <w:r>
        <w:rPr>
          <w:rFonts w:ascii="Calibri" w:cs="Calibri" w:eastAsia="Calibri" w:hAnsi="Calibri"/>
        </w:rPr>
        <w:t xml:space="preserve">7. Headline metrics with confidence intervals</w:t>
      </w:r>
    </w:p>
    <w:p>
      <w:pPr>
        <w:spacing w:after="120" w:line="264"/>
      </w:pPr>
      <w:r>
        <w:rPr>
          <w:rFonts w:ascii="Calibri" w:cs="Calibri" w:eastAsia="Calibri" w:hAnsi="Calibri"/>
          <w:sz w:val="20"/>
          <w:szCs w:val="20"/>
        </w:rPr>
        <w:t xml:space="preserve">All values below are means over 30 repetitions with standard deviation and a 10,000-resample bootstrap 95% confidence interval on the across-seed mean. Latency here is the S3 analytical model; genuine wall-clock latency is reported in Section 14.</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3788"/>
        <w:gridCol w:w="1804"/>
        <w:gridCol w:w="1262"/>
        <w:gridCol w:w="2164"/>
      </w:tblGrid>
      <w:tr>
        <w:trPr>
          <w:tblHeader/>
        </w:trPr>
        <w:tc>
          <w:tcPr>
            <w:tcW w:type="dxa" w:w="3788"/>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5"/>
                <w:szCs w:val="15"/>
              </w:rPr>
              <w:t xml:space="preserve">Metric</w:t>
            </w:r>
          </w:p>
        </w:tc>
        <w:tc>
          <w:tcPr>
            <w:tcW w:type="dxa" w:w="1804"/>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Mean ± SD</w:t>
            </w:r>
          </w:p>
        </w:tc>
        <w:tc>
          <w:tcPr>
            <w:tcW w:type="dxa" w:w="1262"/>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95% CI (bootstrap)</w:t>
            </w:r>
          </w:p>
        </w:tc>
        <w:tc>
          <w:tcPr>
            <w:tcW w:type="dxa" w:w="2164"/>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Notes</w:t>
            </w:r>
          </w:p>
        </w:tc>
      </w:tr>
      <w:tr>
        <w:trPr>
          <w:tblHeader w:val="false"/>
        </w:trPr>
        <w:tc>
          <w:tcPr>
            <w:tcW w:type="dxa" w:w="378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Probability of detection Pd</w:t>
            </w:r>
          </w:p>
        </w:tc>
        <w:tc>
          <w:tcPr>
            <w:tcW w:type="dxa" w:w="180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0.601 ± 0.008</w:t>
            </w:r>
          </w:p>
        </w:tc>
        <w:tc>
          <w:tcPr>
            <w:tcW w:type="dxa" w:w="126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[0.599, 0.604]</w:t>
            </w:r>
          </w:p>
        </w:tc>
        <w:tc>
          <w:tcPr>
            <w:tcW w:type="dxa" w:w="21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False-alarm rate (per dwell)</w:t>
            </w:r>
          </w:p>
        </w:tc>
        <w:tc>
          <w:tcPr>
            <w:tcW w:type="dxa" w:w="180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0.888 ± 0.007</w:t>
            </w:r>
          </w:p>
        </w:tc>
        <w:tc>
          <w:tcPr>
            <w:tcW w:type="dxa" w:w="126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[0.886, 0.891]</w:t>
            </w:r>
          </w:p>
        </w:tc>
        <w:tc>
          <w:tcPr>
            <w:tcW w:type="dxa" w:w="21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Precision (macro)</w:t>
            </w:r>
          </w:p>
        </w:tc>
        <w:tc>
          <w:tcPr>
            <w:tcW w:type="dxa" w:w="180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0.880 ± 0.007</w:t>
            </w:r>
          </w:p>
        </w:tc>
        <w:tc>
          <w:tcPr>
            <w:tcW w:type="dxa" w:w="126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[0.877, 0.882]</w:t>
            </w:r>
          </w:p>
        </w:tc>
        <w:tc>
          <w:tcPr>
            <w:tcW w:type="dxa" w:w="21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Recall (macro)</w:t>
            </w:r>
          </w:p>
        </w:tc>
        <w:tc>
          <w:tcPr>
            <w:tcW w:type="dxa" w:w="180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0.810 ± 0.009</w:t>
            </w:r>
          </w:p>
        </w:tc>
        <w:tc>
          <w:tcPr>
            <w:tcW w:type="dxa" w:w="126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[0.807, 0.813]</w:t>
            </w:r>
          </w:p>
        </w:tc>
        <w:tc>
          <w:tcPr>
            <w:tcW w:type="dxa" w:w="21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Macro-F1</w:t>
            </w:r>
          </w:p>
        </w:tc>
        <w:tc>
          <w:tcPr>
            <w:tcW w:type="dxa" w:w="180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0.826 ± 0.010</w:t>
            </w:r>
          </w:p>
        </w:tc>
        <w:tc>
          <w:tcPr>
            <w:tcW w:type="dxa" w:w="126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[0.822, 0.829]</w:t>
            </w:r>
          </w:p>
        </w:tc>
        <w:tc>
          <w:tcPr>
            <w:tcW w:type="dxa" w:w="21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ECE</w:t>
            </w:r>
          </w:p>
        </w:tc>
        <w:tc>
          <w:tcPr>
            <w:tcW w:type="dxa" w:w="180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0.207 ± 0.005</w:t>
            </w:r>
          </w:p>
        </w:tc>
        <w:tc>
          <w:tcPr>
            <w:tcW w:type="dxa" w:w="126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[0.206, 0.209]</w:t>
            </w:r>
          </w:p>
        </w:tc>
        <w:tc>
          <w:tcPr>
            <w:tcW w:type="dxa" w:w="21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MCE</w:t>
            </w:r>
          </w:p>
        </w:tc>
        <w:tc>
          <w:tcPr>
            <w:tcW w:type="dxa" w:w="180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0.327 ± 0.012</w:t>
            </w:r>
          </w:p>
        </w:tc>
        <w:tc>
          <w:tcPr>
            <w:tcW w:type="dxa" w:w="126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[0.323, 0.331]</w:t>
            </w:r>
          </w:p>
        </w:tc>
        <w:tc>
          <w:tcPr>
            <w:tcW w:type="dxa" w:w="21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Brier score</w:t>
            </w:r>
          </w:p>
        </w:tc>
        <w:tc>
          <w:tcPr>
            <w:tcW w:type="dxa" w:w="180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0.212 ± 0.005</w:t>
            </w:r>
          </w:p>
        </w:tc>
        <w:tc>
          <w:tcPr>
            <w:tcW w:type="dxa" w:w="126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[0.210, 0.213]</w:t>
            </w:r>
          </w:p>
        </w:tc>
        <w:tc>
          <w:tcPr>
            <w:tcW w:type="dxa" w:w="21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MOTA</w:t>
            </w:r>
          </w:p>
        </w:tc>
        <w:tc>
          <w:tcPr>
            <w:tcW w:type="dxa" w:w="180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0.306 ± 0.008</w:t>
            </w:r>
          </w:p>
        </w:tc>
        <w:tc>
          <w:tcPr>
            <w:tcW w:type="dxa" w:w="126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[0.303, 0.309]</w:t>
            </w:r>
          </w:p>
        </w:tc>
        <w:tc>
          <w:tcPr>
            <w:tcW w:type="dxa" w:w="21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MOTP (m)</w:t>
            </w:r>
          </w:p>
        </w:tc>
        <w:tc>
          <w:tcPr>
            <w:tcW w:type="dxa" w:w="180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15.85 ± 0.18</w:t>
            </w:r>
          </w:p>
        </w:tc>
        <w:tc>
          <w:tcPr>
            <w:tcW w:type="dxa" w:w="126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[15.79, 15.91]</w:t>
            </w:r>
          </w:p>
        </w:tc>
        <w:tc>
          <w:tcPr>
            <w:tcW w:type="dxa" w:w="21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IDF1</w:t>
            </w:r>
          </w:p>
        </w:tc>
        <w:tc>
          <w:tcPr>
            <w:tcW w:type="dxa" w:w="180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0.706 ± 0.004</w:t>
            </w:r>
          </w:p>
        </w:tc>
        <w:tc>
          <w:tcPr>
            <w:tcW w:type="dxa" w:w="126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[0.705, 0.708]</w:t>
            </w:r>
          </w:p>
        </w:tc>
        <w:tc>
          <w:tcPr>
            <w:tcW w:type="dxa" w:w="21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Fragmentation (count)</w:t>
            </w:r>
          </w:p>
        </w:tc>
        <w:tc>
          <w:tcPr>
            <w:tcW w:type="dxa" w:w="180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7132 ± 227</w:t>
            </w:r>
          </w:p>
        </w:tc>
        <w:tc>
          <w:tcPr>
            <w:tcW w:type="dxa" w:w="126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[7055, 7213]</w:t>
            </w:r>
          </w:p>
        </w:tc>
        <w:tc>
          <w:tcPr>
            <w:tcW w:type="dxa" w:w="21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ID switches (count)</w:t>
            </w:r>
          </w:p>
        </w:tc>
        <w:tc>
          <w:tcPr>
            <w:tcW w:type="dxa" w:w="180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12787 ± 362</w:t>
            </w:r>
          </w:p>
        </w:tc>
        <w:tc>
          <w:tcPr>
            <w:tcW w:type="dxa" w:w="126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[12665, 12917]</w:t>
            </w:r>
          </w:p>
        </w:tc>
        <w:tc>
          <w:tcPr>
            <w:tcW w:type="dxa" w:w="21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RMSE (m)</w:t>
            </w:r>
          </w:p>
        </w:tc>
        <w:tc>
          <w:tcPr>
            <w:tcW w:type="dxa" w:w="180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15.85 ± 0.18</w:t>
            </w:r>
          </w:p>
        </w:tc>
        <w:tc>
          <w:tcPr>
            <w:tcW w:type="dxa" w:w="126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[15.79, 15.91]</w:t>
            </w:r>
          </w:p>
        </w:tc>
        <w:tc>
          <w:tcPr>
            <w:tcW w:type="dxa" w:w="21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378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Latency mean (ms, modelled)</w:t>
            </w:r>
          </w:p>
        </w:tc>
        <w:tc>
          <w:tcPr>
            <w:tcW w:type="dxa" w:w="180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2.972 ± 0.021</w:t>
            </w:r>
          </w:p>
        </w:tc>
        <w:tc>
          <w:tcPr>
            <w:tcW w:type="dxa" w:w="126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[2.965, 2.980]</w:t>
            </w:r>
          </w:p>
        </w:tc>
        <w:tc>
          <w:tcPr>
            <w:tcW w:type="dxa" w:w="21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analytical model</w:t>
            </w:r>
          </w:p>
        </w:tc>
      </w:tr>
      <w:tr>
        <w:trPr>
          <w:tblHeader w:val="false"/>
        </w:trPr>
        <w:tc>
          <w:tcPr>
            <w:tcW w:type="dxa" w:w="378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Latency p95 (ms, modelled)</w:t>
            </w:r>
          </w:p>
        </w:tc>
        <w:tc>
          <w:tcPr>
            <w:tcW w:type="dxa" w:w="180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4.622 ± 0.058</w:t>
            </w:r>
          </w:p>
        </w:tc>
        <w:tc>
          <w:tcPr>
            <w:tcW w:type="dxa" w:w="126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[4.602, 4.643]</w:t>
            </w:r>
          </w:p>
        </w:tc>
        <w:tc>
          <w:tcPr>
            <w:tcW w:type="dxa" w:w="21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analytical model</w:t>
            </w:r>
          </w:p>
        </w:tc>
      </w:tr>
    </w:tbl>
    <w:p>
      <w:pPr>
        <w:spacing w:after="160"/>
        <w:jc w:val="center"/>
      </w:pPr>
      <w:r>
        <w:rPr>
          <w:rFonts w:ascii="Calibri" w:cs="Calibri" w:eastAsia="Calibri" w:hAnsi="Calibri"/>
          <w:i/>
          <w:iCs/>
          <w:color w:val="555555"/>
          <w:sz w:val="16"/>
          <w:szCs w:val="16"/>
        </w:rPr>
        <w:t xml:space="preserve">Table 7a. Aggregate UST-Fuse performance (measured, 30 repetitions).</w:t>
      </w:r>
    </w:p>
    <w:p>
      <w:pPr>
        <w:spacing w:after="120" w:line="264"/>
      </w:pPr>
      <w:r>
        <w:rPr>
          <w:rFonts w:ascii="Calibri" w:cs="Calibri" w:eastAsia="Calibri" w:hAnsi="Calibri"/>
          <w:sz w:val="20"/>
          <w:szCs w:val="20"/>
        </w:rPr>
        <w:t xml:space="preserve">Headline: detection probability </w:t>
      </w:r>
      <w:r>
        <w:rPr>
          <w:rFonts w:ascii="Calibri" w:cs="Calibri" w:eastAsia="Calibri" w:hAnsi="Calibri"/>
          <w:b/>
          <w:bCs/>
          <w:sz w:val="20"/>
          <w:szCs w:val="20"/>
        </w:rPr>
        <w:t xml:space="preserve">60.1%</w:t>
      </w:r>
      <w:r>
        <w:rPr>
          <w:rFonts w:ascii="Calibri" w:cs="Calibri" w:eastAsia="Calibri" w:hAnsi="Calibri"/>
          <w:sz w:val="20"/>
          <w:szCs w:val="20"/>
        </w:rPr>
        <w:t xml:space="preserve">, macro-F1 </w:t>
      </w:r>
      <w:r>
        <w:rPr>
          <w:rFonts w:ascii="Calibri" w:cs="Calibri" w:eastAsia="Calibri" w:hAnsi="Calibri"/>
          <w:b/>
          <w:bCs/>
          <w:sz w:val="20"/>
          <w:szCs w:val="20"/>
        </w:rPr>
        <w:t xml:space="preserve">0.826</w:t>
      </w:r>
      <w:r>
        <w:rPr>
          <w:rFonts w:ascii="Calibri" w:cs="Calibri" w:eastAsia="Calibri" w:hAnsi="Calibri"/>
          <w:sz w:val="20"/>
          <w:szCs w:val="20"/>
        </w:rPr>
        <w:t xml:space="preserve"> ± 0.010, ECE </w:t>
      </w:r>
      <w:r>
        <w:rPr>
          <w:rFonts w:ascii="Calibri" w:cs="Calibri" w:eastAsia="Calibri" w:hAnsi="Calibri"/>
          <w:b/>
          <w:bCs/>
          <w:sz w:val="20"/>
          <w:szCs w:val="20"/>
        </w:rPr>
        <w:t xml:space="preserve">0.207</w:t>
      </w:r>
      <w:r>
        <w:rPr>
          <w:rFonts w:ascii="Calibri" w:cs="Calibri" w:eastAsia="Calibri" w:hAnsi="Calibri"/>
          <w:sz w:val="20"/>
          <w:szCs w:val="20"/>
        </w:rPr>
        <w:t xml:space="preserve">, MOTA 30.6%, IDF1 70.6%, RMSE 15.85 m.</w:t>
      </w:r>
    </w:p>
    <w:p>
      <w:r>
        <w:br w:type="page"/>
      </w:r>
    </w:p>
    <w:p>
      <w:pPr>
        <w:pStyle w:val="Heading1"/>
        <w:spacing w:after="110" w:before="220"/>
      </w:pPr>
      <w:r>
        <w:rPr>
          <w:rFonts w:ascii="Calibri" w:cs="Calibri" w:eastAsia="Calibri" w:hAnsi="Calibri"/>
        </w:rPr>
        <w:t xml:space="preserve">8. Detection and classification (Table 4)</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3066"/>
        <w:gridCol w:w="1172"/>
        <w:gridCol w:w="1443"/>
        <w:gridCol w:w="1172"/>
        <w:gridCol w:w="1082"/>
        <w:gridCol w:w="1082"/>
      </w:tblGrid>
      <w:tr>
        <w:trPr>
          <w:tblHeader/>
        </w:trPr>
        <w:tc>
          <w:tcPr>
            <w:tcW w:type="dxa" w:w="3066"/>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5"/>
                <w:szCs w:val="15"/>
              </w:rPr>
              <w:t xml:space="preserve">Method</w:t>
            </w:r>
          </w:p>
        </w:tc>
        <w:tc>
          <w:tcPr>
            <w:tcW w:type="dxa" w:w="1172"/>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Pd (%)</w:t>
            </w:r>
          </w:p>
        </w:tc>
        <w:tc>
          <w:tcPr>
            <w:tcW w:type="dxa" w:w="1443"/>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FAR (per dwell)</w:t>
            </w:r>
          </w:p>
        </w:tc>
        <w:tc>
          <w:tcPr>
            <w:tcW w:type="dxa" w:w="1172"/>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Macro-F1</w:t>
            </w:r>
          </w:p>
        </w:tc>
        <w:tc>
          <w:tcPr>
            <w:tcW w:type="dxa" w:w="1082"/>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Brier</w:t>
            </w:r>
          </w:p>
        </w:tc>
        <w:tc>
          <w:tcPr>
            <w:tcW w:type="dxa" w:w="1082"/>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ECE</w:t>
            </w:r>
          </w:p>
        </w:tc>
      </w:tr>
      <w:tr>
        <w:trPr>
          <w:tblHeader w:val="false"/>
        </w:trPr>
        <w:tc>
          <w:tcPr>
            <w:tcW w:type="dxa" w:w="306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B1 — CNN on Doppler [9] †</w:t>
            </w:r>
          </w:p>
        </w:tc>
        <w:tc>
          <w:tcPr>
            <w:tcW w:type="dxa" w:w="117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55.9</w:t>
            </w:r>
          </w:p>
        </w:tc>
        <w:tc>
          <w:tcPr>
            <w:tcW w:type="dxa" w:w="144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1.422</w:t>
            </w:r>
          </w:p>
        </w:tc>
        <w:tc>
          <w:tcPr>
            <w:tcW w:type="dxa" w:w="117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0.727</w:t>
            </w:r>
          </w:p>
        </w:tc>
        <w:tc>
          <w:tcPr>
            <w:tcW w:type="dxa" w:w="108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0.360</w:t>
            </w:r>
          </w:p>
        </w:tc>
        <w:tc>
          <w:tcPr>
            <w:tcW w:type="dxa" w:w="108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0.394</w:t>
            </w:r>
          </w:p>
        </w:tc>
      </w:tr>
      <w:tr>
        <w:trPr>
          <w:tblHeader w:val="false"/>
        </w:trPr>
        <w:tc>
          <w:tcPr>
            <w:tcW w:type="dxa" w:w="3066"/>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B2 — LSTM sequence [15] †</w:t>
            </w:r>
          </w:p>
        </w:tc>
        <w:tc>
          <w:tcPr>
            <w:tcW w:type="dxa" w:w="117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57.1</w:t>
            </w:r>
          </w:p>
        </w:tc>
        <w:tc>
          <w:tcPr>
            <w:tcW w:type="dxa" w:w="144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1.244</w:t>
            </w:r>
          </w:p>
        </w:tc>
        <w:tc>
          <w:tcPr>
            <w:tcW w:type="dxa" w:w="117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0.785</w:t>
            </w:r>
          </w:p>
        </w:tc>
        <w:tc>
          <w:tcPr>
            <w:tcW w:type="dxa" w:w="108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0.296</w:t>
            </w:r>
          </w:p>
        </w:tc>
        <w:tc>
          <w:tcPr>
            <w:tcW w:type="dxa" w:w="108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0.322</w:t>
            </w:r>
          </w:p>
        </w:tc>
      </w:tr>
      <w:tr>
        <w:trPr>
          <w:tblHeader w:val="false"/>
        </w:trPr>
        <w:tc>
          <w:tcPr>
            <w:tcW w:type="dxa" w:w="306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B6 — DeepSORT [37] †</w:t>
            </w:r>
          </w:p>
        </w:tc>
        <w:tc>
          <w:tcPr>
            <w:tcW w:type="dxa" w:w="117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58.3</w:t>
            </w:r>
          </w:p>
        </w:tc>
        <w:tc>
          <w:tcPr>
            <w:tcW w:type="dxa" w:w="144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1.066</w:t>
            </w:r>
          </w:p>
        </w:tc>
        <w:tc>
          <w:tcPr>
            <w:tcW w:type="dxa" w:w="117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0.793</w:t>
            </w:r>
          </w:p>
        </w:tc>
        <w:tc>
          <w:tcPr>
            <w:tcW w:type="dxa" w:w="108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0.265</w:t>
            </w:r>
          </w:p>
        </w:tc>
        <w:tc>
          <w:tcPr>
            <w:tcW w:type="dxa" w:w="108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0.301</w:t>
            </w:r>
          </w:p>
        </w:tc>
      </w:tr>
      <w:tr>
        <w:trPr>
          <w:tblHeader w:val="false"/>
        </w:trPr>
        <w:tc>
          <w:tcPr>
            <w:tcW w:type="dxa" w:w="3066"/>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B7 — proposed w/o uncertainty</w:t>
            </w:r>
          </w:p>
        </w:tc>
        <w:tc>
          <w:tcPr>
            <w:tcW w:type="dxa" w:w="117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60.1</w:t>
            </w:r>
          </w:p>
        </w:tc>
        <w:tc>
          <w:tcPr>
            <w:tcW w:type="dxa" w:w="144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0.889</w:t>
            </w:r>
          </w:p>
        </w:tc>
        <w:tc>
          <w:tcPr>
            <w:tcW w:type="dxa" w:w="117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0.800</w:t>
            </w:r>
          </w:p>
        </w:tc>
        <w:tc>
          <w:tcPr>
            <w:tcW w:type="dxa" w:w="108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0.180</w:t>
            </w:r>
          </w:p>
        </w:tc>
        <w:tc>
          <w:tcPr>
            <w:tcW w:type="dxa" w:w="1082"/>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0.116</w:t>
            </w:r>
          </w:p>
        </w:tc>
      </w:tr>
      <w:tr>
        <w:trPr>
          <w:tblHeader w:val="false"/>
        </w:trPr>
        <w:tc>
          <w:tcPr>
            <w:tcW w:type="dxa" w:w="306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UST-Fuse (proposed)</w:t>
            </w:r>
          </w:p>
        </w:tc>
        <w:tc>
          <w:tcPr>
            <w:tcW w:type="dxa" w:w="117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60.1</w:t>
            </w:r>
          </w:p>
        </w:tc>
        <w:tc>
          <w:tcPr>
            <w:tcW w:type="dxa" w:w="144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0.888</w:t>
            </w:r>
          </w:p>
        </w:tc>
        <w:tc>
          <w:tcPr>
            <w:tcW w:type="dxa" w:w="117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0.826</w:t>
            </w:r>
          </w:p>
        </w:tc>
        <w:tc>
          <w:tcPr>
            <w:tcW w:type="dxa" w:w="108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0.212</w:t>
            </w:r>
          </w:p>
        </w:tc>
        <w:tc>
          <w:tcPr>
            <w:tcW w:type="dxa" w:w="1082"/>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0.207</w:t>
            </w:r>
          </w:p>
        </w:tc>
      </w:tr>
    </w:tbl>
    <w:p>
      <w:pPr>
        <w:spacing w:after="160"/>
        <w:jc w:val="center"/>
      </w:pPr>
      <w:r>
        <w:rPr>
          <w:rFonts w:ascii="Calibri" w:cs="Calibri" w:eastAsia="Calibri" w:hAnsi="Calibri"/>
          <w:i/>
          <w:iCs/>
          <w:color w:val="555555"/>
          <w:sz w:val="16"/>
          <w:szCs w:val="16"/>
        </w:rPr>
        <w:t xml:space="preserve">Table 4. Detection and classification on the test partition. UST-Fuse and B7 measured; B1/B2/B6 emulated (provisional).</w:t>
      </w:r>
    </w:p>
    <w:p>
      <w:pPr>
        <w:spacing w:after="120" w:line="264"/>
      </w:pPr>
      <w:r>
        <w:rPr>
          <w:rFonts w:ascii="Calibri" w:cs="Calibri" w:eastAsia="Calibri" w:hAnsi="Calibri"/>
          <w:b/>
          <w:bCs/>
          <w:sz w:val="20"/>
          <w:szCs w:val="20"/>
        </w:rPr>
        <w:t xml:space="preserve">Interpretation. </w:t>
      </w:r>
      <w:r>
        <w:rPr>
          <w:rFonts w:ascii="Calibri" w:cs="Calibri" w:eastAsia="Calibri" w:hAnsi="Calibri"/>
          <w:sz w:val="20"/>
          <w:szCs w:val="20"/>
        </w:rPr>
        <w:t xml:space="preserve">The nested comparison B2→B7→UST-Fuse isolates the sources of the classification gain. The measured step from B7 (proposed without uncertainty) to the full framework raises macro-F1 by 0.026 (0.800→0.826; paired Wilcoxon p&lt;10⁻⁸, Holm-corrected), attributable to the five-member ensemble. Against the emulated CNN and LSTM the macro-F1 advantage is +0.099 and +0.041 respectively; these two rows are model-defined and provisional. The false-alarm rate of the reference engine is 0.888 per dwell; note that removing uncertainty (B7) leaves detection and false alarms essentially unchanged, since the detection front-end is shared.</w:t>
      </w:r>
    </w:p>
    <w:p>
      <w:pPr>
        <w:pStyle w:val="Heading1"/>
        <w:spacing w:after="110" w:before="220"/>
      </w:pPr>
      <w:r>
        <w:rPr>
          <w:rFonts w:ascii="Calibri" w:cs="Calibri" w:eastAsia="Calibri" w:hAnsi="Calibri"/>
        </w:rPr>
        <w:t xml:space="preserve">9. Confidence calibration (Table 5, Figures 3–4)</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3152"/>
        <w:gridCol w:w="963"/>
        <w:gridCol w:w="963"/>
        <w:gridCol w:w="1313"/>
        <w:gridCol w:w="1226"/>
        <w:gridCol w:w="1401"/>
      </w:tblGrid>
      <w:tr>
        <w:trPr>
          <w:tblHeader/>
        </w:trPr>
        <w:tc>
          <w:tcPr>
            <w:tcW w:type="dxa" w:w="3152"/>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5"/>
                <w:szCs w:val="15"/>
              </w:rPr>
              <w:t xml:space="preserve">Method</w:t>
            </w:r>
          </w:p>
        </w:tc>
        <w:tc>
          <w:tcPr>
            <w:tcW w:type="dxa" w:w="963"/>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ECE</w:t>
            </w:r>
          </w:p>
        </w:tc>
        <w:tc>
          <w:tcPr>
            <w:tcW w:type="dxa" w:w="963"/>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MCE</w:t>
            </w:r>
          </w:p>
        </w:tc>
        <w:tc>
          <w:tcPr>
            <w:tcW w:type="dxa" w:w="1313"/>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Mean confidence</w:t>
            </w:r>
          </w:p>
        </w:tc>
        <w:tc>
          <w:tcPr>
            <w:tcW w:type="dxa" w:w="1226"/>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Mean accuracy</w:t>
            </w:r>
          </w:p>
        </w:tc>
        <w:tc>
          <w:tcPr>
            <w:tcW w:type="dxa" w:w="1401"/>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Overconfidence gap</w:t>
            </w:r>
          </w:p>
        </w:tc>
      </w:tr>
      <w:tr>
        <w:trPr>
          <w:tblHeader w:val="false"/>
        </w:trPr>
        <w:tc>
          <w:tcPr>
            <w:tcW w:type="dxa" w:w="31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B1 — CNN on Doppler [9] †</w:t>
            </w:r>
          </w:p>
        </w:tc>
        <w:tc>
          <w:tcPr>
            <w:tcW w:type="dxa" w:w="96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0.394</w:t>
            </w:r>
          </w:p>
        </w:tc>
        <w:tc>
          <w:tcPr>
            <w:tcW w:type="dxa" w:w="96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0.523</w:t>
            </w:r>
          </w:p>
        </w:tc>
        <w:tc>
          <w:tcPr>
            <w:tcW w:type="dxa" w:w="131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0.94 (emu)</w:t>
            </w:r>
          </w:p>
        </w:tc>
        <w:tc>
          <w:tcPr>
            <w:tcW w:type="dxa" w:w="122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0.80 (emu)</w:t>
            </w:r>
          </w:p>
        </w:tc>
        <w:tc>
          <w:tcPr>
            <w:tcW w:type="dxa" w:w="1401"/>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0.140</w:t>
            </w:r>
          </w:p>
        </w:tc>
      </w:tr>
      <w:tr>
        <w:trPr>
          <w:tblHeader w:val="false"/>
        </w:trPr>
        <w:tc>
          <w:tcPr>
            <w:tcW w:type="dxa" w:w="3152"/>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B7 — proposed w/o uncertainty</w:t>
            </w:r>
          </w:p>
        </w:tc>
        <w:tc>
          <w:tcPr>
            <w:tcW w:type="dxa" w:w="96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0.116</w:t>
            </w:r>
          </w:p>
        </w:tc>
        <w:tc>
          <w:tcPr>
            <w:tcW w:type="dxa" w:w="96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0.218</w:t>
            </w:r>
          </w:p>
        </w:tc>
        <w:tc>
          <w:tcPr>
            <w:tcW w:type="dxa" w:w="131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0.772</w:t>
            </w:r>
          </w:p>
        </w:tc>
        <w:tc>
          <w:tcPr>
            <w:tcW w:type="dxa" w:w="122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0.905</w:t>
            </w:r>
          </w:p>
        </w:tc>
        <w:tc>
          <w:tcPr>
            <w:tcW w:type="dxa" w:w="1401"/>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-0.133</w:t>
            </w:r>
          </w:p>
        </w:tc>
      </w:tr>
      <w:tr>
        <w:trPr>
          <w:tblHeader w:val="false"/>
        </w:trPr>
        <w:tc>
          <w:tcPr>
            <w:tcW w:type="dxa" w:w="3152"/>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Proposed, ensemble only (no temp. scaling)</w:t>
            </w:r>
          </w:p>
        </w:tc>
        <w:tc>
          <w:tcPr>
            <w:tcW w:type="dxa" w:w="96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0.141</w:t>
            </w:r>
          </w:p>
        </w:tc>
        <w:tc>
          <w:tcPr>
            <w:tcW w:type="dxa" w:w="96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0.261</w:t>
            </w:r>
          </w:p>
        </w:tc>
        <w:tc>
          <w:tcPr>
            <w:tcW w:type="dxa" w:w="131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0.772</w:t>
            </w:r>
          </w:p>
        </w:tc>
        <w:tc>
          <w:tcPr>
            <w:tcW w:type="dxa" w:w="122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0.905</w:t>
            </w:r>
          </w:p>
        </w:tc>
        <w:tc>
          <w:tcPr>
            <w:tcW w:type="dxa" w:w="1401"/>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-0.133</w:t>
            </w:r>
          </w:p>
        </w:tc>
      </w:tr>
      <w:tr>
        <w:trPr>
          <w:tblHeader w:val="false"/>
        </w:trPr>
        <w:tc>
          <w:tcPr>
            <w:tcW w:type="dxa" w:w="3152"/>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UST-Fuse (proposed, calibrated)</w:t>
            </w:r>
          </w:p>
        </w:tc>
        <w:tc>
          <w:tcPr>
            <w:tcW w:type="dxa" w:w="96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0.207</w:t>
            </w:r>
          </w:p>
        </w:tc>
        <w:tc>
          <w:tcPr>
            <w:tcW w:type="dxa" w:w="96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0.327</w:t>
            </w:r>
          </w:p>
        </w:tc>
        <w:tc>
          <w:tcPr>
            <w:tcW w:type="dxa" w:w="131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0.703</w:t>
            </w:r>
          </w:p>
        </w:tc>
        <w:tc>
          <w:tcPr>
            <w:tcW w:type="dxa" w:w="122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0.905</w:t>
            </w:r>
          </w:p>
        </w:tc>
        <w:tc>
          <w:tcPr>
            <w:tcW w:type="dxa" w:w="1401"/>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-0.202</w:t>
            </w:r>
          </w:p>
        </w:tc>
      </w:tr>
    </w:tbl>
    <w:p>
      <w:pPr>
        <w:spacing w:after="160"/>
        <w:jc w:val="center"/>
      </w:pPr>
      <w:r>
        <w:rPr>
          <w:rFonts w:ascii="Calibri" w:cs="Calibri" w:eastAsia="Calibri" w:hAnsi="Calibri"/>
          <w:i/>
          <w:iCs/>
          <w:color w:val="555555"/>
          <w:sz w:val="16"/>
          <w:szCs w:val="16"/>
        </w:rPr>
        <w:t xml:space="preserve">Table 5. Calibration (B=10 bins). Proposed rows measured; B1 emulated.</w:t>
      </w:r>
    </w:p>
    <w:p>
      <w:pPr>
        <w:spacing w:after="40" w:before="8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95550"/>
                    </a:xfrm>
                    <a:prstGeom prst="rect">
                      <a:avLst/>
                    </a:prstGeom>
                  </pic:spPr>
                </pic:pic>
              </a:graphicData>
            </a:graphic>
          </wp:inline>
        </w:drawing>
      </w:r>
    </w:p>
    <w:p>
      <w:pPr>
        <w:spacing w:after="160"/>
        <w:jc w:val="center"/>
      </w:pPr>
      <w:r>
        <w:rPr>
          <w:rFonts w:ascii="Calibri" w:cs="Calibri" w:eastAsia="Calibri" w:hAnsi="Calibri"/>
          <w:i/>
          <w:iCs/>
          <w:color w:val="555555"/>
          <w:sz w:val="16"/>
          <w:szCs w:val="16"/>
        </w:rPr>
        <w:t xml:space="preserve">Figure 3. Reliability diagrams (mean over 30 repetitions; error bars = SD across seeds).</w:t>
      </w:r>
    </w:p>
    <w:p>
      <w:pPr>
        <w:spacing w:after="120" w:line="264"/>
      </w:pPr>
      <w:r>
        <w:rPr>
          <w:rFonts w:ascii="Calibri" w:cs="Calibri" w:eastAsia="Calibri" w:hAnsi="Calibri"/>
          <w:b/>
          <w:bCs/>
          <w:sz w:val="20"/>
          <w:szCs w:val="20"/>
        </w:rPr>
        <w:t xml:space="preserve">Interpretation. </w:t>
      </w:r>
      <w:r>
        <w:rPr>
          <w:rFonts w:ascii="Calibri" w:cs="Calibri" w:eastAsia="Calibri" w:hAnsi="Calibri"/>
          <w:sz w:val="20"/>
          <w:szCs w:val="20"/>
        </w:rPr>
        <w:t xml:space="preserve">The reference model is systematically </w:t>
      </w:r>
      <w:r>
        <w:rPr>
          <w:rFonts w:ascii="Calibri" w:cs="Calibri" w:eastAsia="Calibri" w:hAnsi="Calibri"/>
          <w:b/>
          <w:bCs/>
          <w:sz w:val="20"/>
          <w:szCs w:val="20"/>
        </w:rPr>
        <w:t xml:space="preserve">under-confident</w:t>
      </w:r>
      <w:r>
        <w:rPr>
          <w:rFonts w:ascii="Calibri" w:cs="Calibri" w:eastAsia="Calibri" w:hAnsi="Calibri"/>
          <w:sz w:val="20"/>
          <w:szCs w:val="20"/>
        </w:rPr>
        <w:t xml:space="preserve">: its mean confidence (0.703) is far below its mean accuracy (0.905), an overconfidence gap of −0.202. The residual miscalibration is concentrated in the mid-confidence bins (0.4–0.7), where empirical accuracy exceeds stated confidence by up to 0.31 (bin 0.5–0.6: confidence 0.55, accuracy 0.87); the high-confidence bins (≥0.8) are well calibrated. Because the miscalibration is under-confidence in the mid range rather than over-confidence at the top, it is operationally benign — automated declaration at a high threshold remains safe. A direct consequence, visible in Table 5 and confirmed by ablation, is that the released temperature (T=1.35) </w:t>
      </w:r>
      <w:r>
        <w:rPr>
          <w:rFonts w:ascii="Calibri" w:cs="Calibri" w:eastAsia="Calibri" w:hAnsi="Calibri"/>
          <w:i/>
          <w:iCs/>
          <w:sz w:val="20"/>
          <w:szCs w:val="20"/>
        </w:rPr>
        <w:t xml:space="preserve">increases</w:t>
      </w:r>
      <w:r>
        <w:rPr>
          <w:rFonts w:ascii="Calibri" w:cs="Calibri" w:eastAsia="Calibri" w:hAnsi="Calibri"/>
          <w:sz w:val="20"/>
          <w:szCs w:val="20"/>
        </w:rPr>
        <w:t xml:space="preserve"> ECE (0.141→0.207): temperature scaling softens an already under-confident model. The correct calibration action here is T&lt;1.0.</w:t>
      </w:r>
    </w:p>
    <w:p>
      <w:pPr>
        <w:spacing w:after="40" w:before="80"/>
        <w:jc w:val="center"/>
      </w:pPr>
      <w:r>
        <w:drawing>
          <wp:inline distT="0" distB="0" distL="0" distR="0">
            <wp:extent cx="4095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228975"/>
                    </a:xfrm>
                    <a:prstGeom prst="rect">
                      <a:avLst/>
                    </a:prstGeom>
                  </pic:spPr>
                </pic:pic>
              </a:graphicData>
            </a:graphic>
          </wp:inline>
        </w:drawing>
      </w:r>
    </w:p>
    <w:p>
      <w:pPr>
        <w:spacing w:after="160"/>
        <w:jc w:val="center"/>
      </w:pPr>
      <w:r>
        <w:rPr>
          <w:rFonts w:ascii="Calibri" w:cs="Calibri" w:eastAsia="Calibri" w:hAnsi="Calibri"/>
          <w:i/>
          <w:iCs/>
          <w:color w:val="555555"/>
          <w:sz w:val="16"/>
          <w:szCs w:val="16"/>
        </w:rPr>
        <w:t xml:space="preserve">Figure 4. Epistemic vs aleatoric uncertainty by classification correctness (reference corpus).</w:t>
      </w:r>
    </w:p>
    <w:p>
      <w:pPr>
        <w:spacing w:after="120" w:line="264"/>
      </w:pPr>
      <w:r>
        <w:rPr>
          <w:rFonts w:ascii="Calibri" w:cs="Calibri" w:eastAsia="Calibri" w:hAnsi="Calibri"/>
          <w:sz w:val="20"/>
          <w:szCs w:val="20"/>
        </w:rPr>
        <w:t xml:space="preserve">The uncertainty decomposition is informative: misclassified windows carry higher aleatoric uncertainty (0.255 vs 0.176 nats) and higher epistemic uncertainty (0.0168 vs 0.0129 nats) than correct ones (both differences significant across seeds). Aleatoric uncertainty is the stronger discriminator of error, consistent with degraded observations — rather than unfamiliar objects — driving most mistakes in this corpus.</w:t>
      </w:r>
    </w:p>
    <w:p>
      <w:r>
        <w:br w:type="page"/>
      </w:r>
    </w:p>
    <w:p>
      <w:pPr>
        <w:pStyle w:val="Heading1"/>
        <w:spacing w:after="110" w:before="220"/>
      </w:pPr>
      <w:r>
        <w:rPr>
          <w:rFonts w:ascii="Calibri" w:cs="Calibri" w:eastAsia="Calibri" w:hAnsi="Calibri"/>
        </w:rPr>
        <w:t xml:space="preserve">10. Tracking continuity and identity (Table 6)</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3034"/>
        <w:gridCol w:w="1095"/>
        <w:gridCol w:w="1095"/>
        <w:gridCol w:w="1433"/>
        <w:gridCol w:w="1264"/>
        <w:gridCol w:w="1095"/>
      </w:tblGrid>
      <w:tr>
        <w:trPr>
          <w:tblHeader/>
        </w:trPr>
        <w:tc>
          <w:tcPr>
            <w:tcW w:type="dxa" w:w="3034"/>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5"/>
                <w:szCs w:val="15"/>
              </w:rPr>
              <w:t xml:space="preserve">Method</w:t>
            </w:r>
          </w:p>
        </w:tc>
        <w:tc>
          <w:tcPr>
            <w:tcW w:type="dxa" w:w="1095"/>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MOTA (%)</w:t>
            </w:r>
          </w:p>
        </w:tc>
        <w:tc>
          <w:tcPr>
            <w:tcW w:type="dxa" w:w="1095"/>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IDF1 (%)</w:t>
            </w:r>
          </w:p>
        </w:tc>
        <w:tc>
          <w:tcPr>
            <w:tcW w:type="dxa" w:w="1433"/>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Fragmentation</w:t>
            </w:r>
          </w:p>
        </w:tc>
        <w:tc>
          <w:tcPr>
            <w:tcW w:type="dxa" w:w="1264"/>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ID switches</w:t>
            </w:r>
          </w:p>
        </w:tc>
        <w:tc>
          <w:tcPr>
            <w:tcW w:type="dxa" w:w="1095"/>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RMSE (m)</w:t>
            </w:r>
          </w:p>
        </w:tc>
      </w:tr>
      <w:tr>
        <w:trPr>
          <w:tblHeader w:val="false"/>
        </w:trPr>
        <w:tc>
          <w:tcPr>
            <w:tcW w:type="dxa" w:w="3034"/>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B3 — Kalman + NN [42] †</w:t>
            </w:r>
          </w:p>
        </w:tc>
        <w:tc>
          <w:tcPr>
            <w:tcW w:type="dxa" w:w="109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26.0</w:t>
            </w:r>
          </w:p>
        </w:tc>
        <w:tc>
          <w:tcPr>
            <w:tcW w:type="dxa" w:w="109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55.1</w:t>
            </w:r>
          </w:p>
        </w:tc>
        <w:tc>
          <w:tcPr>
            <w:tcW w:type="dxa" w:w="143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16404</w:t>
            </w:r>
          </w:p>
        </w:tc>
        <w:tc>
          <w:tcPr>
            <w:tcW w:type="dxa" w:w="12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30689</w:t>
            </w:r>
          </w:p>
        </w:tc>
        <w:tc>
          <w:tcPr>
            <w:tcW w:type="dxa" w:w="109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26.94</w:t>
            </w:r>
          </w:p>
        </w:tc>
      </w:tr>
      <w:tr>
        <w:trPr>
          <w:tblHeader w:val="false"/>
        </w:trPr>
        <w:tc>
          <w:tcPr>
            <w:tcW w:type="dxa" w:w="3034"/>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B4 — kinematic-only JPDA [12]</w:t>
            </w:r>
          </w:p>
        </w:tc>
        <w:tc>
          <w:tcPr>
            <w:tcW w:type="dxa" w:w="109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30.6</w:t>
            </w:r>
          </w:p>
        </w:tc>
        <w:tc>
          <w:tcPr>
            <w:tcW w:type="dxa" w:w="109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70.6</w:t>
            </w:r>
          </w:p>
        </w:tc>
        <w:tc>
          <w:tcPr>
            <w:tcW w:type="dxa" w:w="143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7132</w:t>
            </w:r>
          </w:p>
        </w:tc>
        <w:tc>
          <w:tcPr>
            <w:tcW w:type="dxa" w:w="12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12787</w:t>
            </w:r>
          </w:p>
        </w:tc>
        <w:tc>
          <w:tcPr>
            <w:tcW w:type="dxa" w:w="109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15.85</w:t>
            </w:r>
          </w:p>
        </w:tc>
      </w:tr>
      <w:tr>
        <w:trPr>
          <w:tblHeader w:val="false"/>
        </w:trPr>
        <w:tc>
          <w:tcPr>
            <w:tcW w:type="dxa" w:w="3034"/>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B5 — SORT [36] †</w:t>
            </w:r>
          </w:p>
        </w:tc>
        <w:tc>
          <w:tcPr>
            <w:tcW w:type="dxa" w:w="109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26.9</w:t>
            </w:r>
          </w:p>
        </w:tc>
        <w:tc>
          <w:tcPr>
            <w:tcW w:type="dxa" w:w="109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56.5</w:t>
            </w:r>
          </w:p>
        </w:tc>
        <w:tc>
          <w:tcPr>
            <w:tcW w:type="dxa" w:w="143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14264</w:t>
            </w:r>
          </w:p>
        </w:tc>
        <w:tc>
          <w:tcPr>
            <w:tcW w:type="dxa" w:w="12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26853</w:t>
            </w:r>
          </w:p>
        </w:tc>
        <w:tc>
          <w:tcPr>
            <w:tcW w:type="dxa" w:w="109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23.77</w:t>
            </w:r>
          </w:p>
        </w:tc>
      </w:tr>
      <w:tr>
        <w:trPr>
          <w:tblHeader w:val="false"/>
        </w:trPr>
        <w:tc>
          <w:tcPr>
            <w:tcW w:type="dxa" w:w="3034"/>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B6 — DeepSORT [37] †</w:t>
            </w:r>
          </w:p>
        </w:tc>
        <w:tc>
          <w:tcPr>
            <w:tcW w:type="dxa" w:w="109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27.5</w:t>
            </w:r>
          </w:p>
        </w:tc>
        <w:tc>
          <w:tcPr>
            <w:tcW w:type="dxa" w:w="109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63.5</w:t>
            </w:r>
          </w:p>
        </w:tc>
        <w:tc>
          <w:tcPr>
            <w:tcW w:type="dxa" w:w="143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10698</w:t>
            </w:r>
          </w:p>
        </w:tc>
        <w:tc>
          <w:tcPr>
            <w:tcW w:type="dxa" w:w="12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20459</w:t>
            </w:r>
          </w:p>
        </w:tc>
        <w:tc>
          <w:tcPr>
            <w:tcW w:type="dxa" w:w="109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18.23</w:t>
            </w:r>
          </w:p>
        </w:tc>
      </w:tr>
      <w:tr>
        <w:trPr>
          <w:tblHeader w:val="false"/>
        </w:trPr>
        <w:tc>
          <w:tcPr>
            <w:tcW w:type="dxa" w:w="3034"/>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B7 — proposed w/o uncertainty</w:t>
            </w:r>
          </w:p>
        </w:tc>
        <w:tc>
          <w:tcPr>
            <w:tcW w:type="dxa" w:w="109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30.6</w:t>
            </w:r>
          </w:p>
        </w:tc>
        <w:tc>
          <w:tcPr>
            <w:tcW w:type="dxa" w:w="109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70.6</w:t>
            </w:r>
          </w:p>
        </w:tc>
        <w:tc>
          <w:tcPr>
            <w:tcW w:type="dxa" w:w="143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7132</w:t>
            </w:r>
          </w:p>
        </w:tc>
        <w:tc>
          <w:tcPr>
            <w:tcW w:type="dxa" w:w="12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12787</w:t>
            </w:r>
          </w:p>
        </w:tc>
        <w:tc>
          <w:tcPr>
            <w:tcW w:type="dxa" w:w="109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15.85</w:t>
            </w:r>
          </w:p>
        </w:tc>
      </w:tr>
      <w:tr>
        <w:trPr>
          <w:tblHeader w:val="false"/>
        </w:trPr>
        <w:tc>
          <w:tcPr>
            <w:tcW w:type="dxa" w:w="3034"/>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UST-Fuse (proposed)</w:t>
            </w:r>
          </w:p>
        </w:tc>
        <w:tc>
          <w:tcPr>
            <w:tcW w:type="dxa" w:w="109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30.6</w:t>
            </w:r>
          </w:p>
        </w:tc>
        <w:tc>
          <w:tcPr>
            <w:tcW w:type="dxa" w:w="109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70.6</w:t>
            </w:r>
          </w:p>
        </w:tc>
        <w:tc>
          <w:tcPr>
            <w:tcW w:type="dxa" w:w="143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7132</w:t>
            </w:r>
          </w:p>
        </w:tc>
        <w:tc>
          <w:tcPr>
            <w:tcW w:type="dxa" w:w="12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12787</w:t>
            </w:r>
          </w:p>
        </w:tc>
        <w:tc>
          <w:tcPr>
            <w:tcW w:type="dxa" w:w="109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15.85</w:t>
            </w:r>
          </w:p>
        </w:tc>
      </w:tr>
    </w:tbl>
    <w:p>
      <w:pPr>
        <w:spacing w:after="160"/>
        <w:jc w:val="center"/>
      </w:pPr>
      <w:r>
        <w:rPr>
          <w:rFonts w:ascii="Calibri" w:cs="Calibri" w:eastAsia="Calibri" w:hAnsi="Calibri"/>
          <w:i/>
          <w:iCs/>
          <w:color w:val="555555"/>
          <w:sz w:val="16"/>
          <w:szCs w:val="16"/>
        </w:rPr>
        <w:t xml:space="preserve">Table 6. Multi-target tracking on the test partition. UST-Fuse / B4 / B7 measured; B3 / B5 / B6 emulated.</w:t>
      </w:r>
    </w:p>
    <w:p>
      <w:pPr>
        <w:spacing w:after="120" w:line="264"/>
      </w:pPr>
      <w:r>
        <w:rPr>
          <w:rFonts w:ascii="Calibri" w:cs="Calibri" w:eastAsia="Calibri" w:hAnsi="Calibri"/>
          <w:b/>
          <w:bCs/>
          <w:sz w:val="20"/>
          <w:szCs w:val="20"/>
        </w:rPr>
        <w:t xml:space="preserve">Interpretation. </w:t>
      </w:r>
      <w:r>
        <w:rPr>
          <w:rFonts w:ascii="Calibri" w:cs="Calibri" w:eastAsia="Calibri" w:hAnsi="Calibri"/>
          <w:sz w:val="20"/>
          <w:szCs w:val="20"/>
        </w:rPr>
        <w:t xml:space="preserve">UST-Fuse attains MOTA 30.6%, IDF1 70.6%, RMSE 15.85 m, with 7132 fragmentations and 12787 identity switches over the corpus. A notable measured finding: B4 (kinematic-only JPDA, obtained by disabling the semantic factor) is statistically indistinguishable from the full engine on every tracking metric (Δ ID switches = +0.27, p=1.0). In the released reference implementation the semantic association factor is therefore </w:t>
      </w:r>
      <w:r>
        <w:rPr>
          <w:rFonts w:ascii="Calibri" w:cs="Calibri" w:eastAsia="Calibri" w:hAnsi="Calibri"/>
          <w:b/>
          <w:bCs/>
          <w:sz w:val="20"/>
          <w:szCs w:val="20"/>
        </w:rPr>
        <w:t xml:space="preserve">near-inert</w:t>
      </w:r>
      <w:r>
        <w:rPr>
          <w:rFonts w:ascii="Calibri" w:cs="Calibri" w:eastAsia="Calibri" w:hAnsi="Calibri"/>
          <w:sz w:val="20"/>
          <w:szCs w:val="20"/>
        </w:rPr>
        <w:t xml:space="preserve">: the greedy best-measurement association is dominated by the kinematic likelihood, so the class-compatibility term rarely changes the chosen assignment. This is an honest null result that the emulated baselines (B3/B5/B6, which are worse by construction) would otherwise obscure. Section 15 revisits the mechanism through the ζ/γ sensitivity analysis.</w:t>
      </w:r>
    </w:p>
    <w:p>
      <w:pPr>
        <w:pStyle w:val="Heading1"/>
        <w:spacing w:after="110" w:before="220"/>
      </w:pPr>
      <w:r>
        <w:rPr>
          <w:rFonts w:ascii="Calibri" w:cs="Calibri" w:eastAsia="Calibri" w:hAnsi="Calibri"/>
        </w:rPr>
        <w:t xml:space="preserve">11. Robustness under degradation (Figures 5–7)</w:t>
      </w:r>
    </w:p>
    <w:p>
      <w:pPr>
        <w:spacing w:after="40" w:before="80"/>
        <w:jc w:val="center"/>
      </w:pPr>
      <w:r>
        <w:drawing>
          <wp:inline distT="0" distB="0" distL="0" distR="0">
            <wp:extent cx="4762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05175"/>
                    </a:xfrm>
                    <a:prstGeom prst="rect">
                      <a:avLst/>
                    </a:prstGeom>
                  </pic:spPr>
                </pic:pic>
              </a:graphicData>
            </a:graphic>
          </wp:inline>
        </w:drawing>
      </w:r>
    </w:p>
    <w:p>
      <w:pPr>
        <w:spacing w:after="160"/>
        <w:jc w:val="center"/>
      </w:pPr>
      <w:r>
        <w:rPr>
          <w:rFonts w:ascii="Calibri" w:cs="Calibri" w:eastAsia="Calibri" w:hAnsi="Calibri"/>
          <w:i/>
          <w:iCs/>
          <w:color w:val="555555"/>
          <w:sz w:val="16"/>
          <w:szCs w:val="16"/>
        </w:rPr>
        <w:t xml:space="preserve">Figure 5. Macro-F1 vs SNR (solid = measured; dashed = emulated baseline).</w:t>
      </w:r>
    </w:p>
    <w:p>
      <w:pPr>
        <w:spacing w:after="40" w:before="80"/>
        <w:jc w:val="center"/>
      </w:pPr>
      <w:r>
        <w:drawing>
          <wp:inline distT="0" distB="0" distL="0" distR="0">
            <wp:extent cx="4762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05175"/>
                    </a:xfrm>
                    <a:prstGeom prst="rect">
                      <a:avLst/>
                    </a:prstGeom>
                  </pic:spPr>
                </pic:pic>
              </a:graphicData>
            </a:graphic>
          </wp:inline>
        </w:drawing>
      </w:r>
    </w:p>
    <w:p>
      <w:pPr>
        <w:spacing w:after="160"/>
        <w:jc w:val="center"/>
      </w:pPr>
      <w:r>
        <w:rPr>
          <w:rFonts w:ascii="Calibri" w:cs="Calibri" w:eastAsia="Calibri" w:hAnsi="Calibri"/>
          <w:i/>
          <w:iCs/>
          <w:color w:val="555555"/>
          <w:sz w:val="16"/>
          <w:szCs w:val="16"/>
        </w:rPr>
        <w:t xml:space="preserve">Figure 6. Fragmentation vs observation completeness (solid = measured; dashed = emulated).</w:t>
      </w:r>
    </w:p>
    <w:p>
      <w:pPr>
        <w:spacing w:after="120" w:line="264"/>
      </w:pPr>
      <w:r>
        <w:rPr>
          <w:rFonts w:ascii="Calibri" w:cs="Calibri" w:eastAsia="Calibri" w:hAnsi="Calibri"/>
          <w:b/>
          <w:bCs/>
          <w:sz w:val="20"/>
          <w:szCs w:val="20"/>
        </w:rPr>
        <w:t xml:space="preserve">Interpretation. </w:t>
      </w:r>
      <w:r>
        <w:rPr>
          <w:rFonts w:ascii="Calibri" w:cs="Calibri" w:eastAsia="Calibri" w:hAnsi="Calibri"/>
          <w:sz w:val="20"/>
          <w:szCs w:val="20"/>
        </w:rPr>
        <w:t xml:space="preserve">Macro-F1 rises monotonically with SNR, from 0.293 ± 0.014 in the −5…0 dB band to 0.660 ± 0.024 in the 20…30 dB band. Fragmentation falls with observation completeness across the informative range (11.3 per trajectory at ρ=0.5 down to 2.4 at ρ=1.0); the very-low-completeness bin (ρ=0.4) is lower only because such trajectories are barely tracked at all. Against the emulated baselines the measured curve is uniformly superior, but that ordering is model-defined and provisional for the dashed lines.</w:t>
      </w:r>
    </w:p>
    <w:p>
      <w:pPr>
        <w:spacing w:after="40" w:before="80"/>
        <w:jc w:val="center"/>
      </w:pPr>
      <w:r>
        <w:drawing>
          <wp:inline distT="0" distB="0" distL="0" distR="0">
            <wp:extent cx="4762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05175"/>
                    </a:xfrm>
                    <a:prstGeom prst="rect">
                      <a:avLst/>
                    </a:prstGeom>
                  </pic:spPr>
                </pic:pic>
              </a:graphicData>
            </a:graphic>
          </wp:inline>
        </w:drawing>
      </w:r>
    </w:p>
    <w:p>
      <w:pPr>
        <w:spacing w:after="160"/>
        <w:jc w:val="center"/>
      </w:pPr>
      <w:r>
        <w:rPr>
          <w:rFonts w:ascii="Calibri" w:cs="Calibri" w:eastAsia="Calibri" w:hAnsi="Calibri"/>
          <w:i/>
          <w:iCs/>
          <w:color w:val="555555"/>
          <w:sz w:val="16"/>
          <w:szCs w:val="16"/>
        </w:rPr>
        <w:t xml:space="preserve">Figure 7. Cross-feature attention composition vs SNR (measured, 30 seeds).</w:t>
      </w:r>
    </w:p>
    <w:p>
      <w:pPr>
        <w:spacing w:after="120" w:line="264"/>
      </w:pPr>
      <w:r>
        <w:rPr>
          <w:rFonts w:ascii="Calibri" w:cs="Calibri" w:eastAsia="Calibri" w:hAnsi="Calibri"/>
          <w:sz w:val="20"/>
          <w:szCs w:val="20"/>
        </w:rPr>
        <w:t xml:space="preserve">The cross-feature attention mechanism behaves exactly as predicted and provides a mechanistic account of the SNR dependence. As SNR rises the spectral group’s normalised weight grows from 0.30 to 0.39 while the kinematic and trajectory groups contract (0.29→0.23 and 0.24→0.19); the quality group is roughly constant. At low SNR — where micro-Doppler extraction is unreliable — the model shifts mass onto the more graceful kinematic and trajectory evidence. Cross-seed standard deviations are below 0.01 at every bin.</w:t>
      </w:r>
    </w:p>
    <w:p>
      <w:r>
        <w:br w:type="page"/>
      </w:r>
    </w:p>
    <w:p>
      <w:pPr>
        <w:pStyle w:val="Heading1"/>
        <w:spacing w:after="110" w:before="220"/>
      </w:pPr>
      <w:r>
        <w:rPr>
          <w:rFonts w:ascii="Calibri" w:cs="Calibri" w:eastAsia="Calibri" w:hAnsi="Calibri"/>
        </w:rPr>
        <w:t xml:space="preserve">12. Ablation study (Table 7)</w:t>
      </w:r>
    </w:p>
    <w:p>
      <w:pPr>
        <w:spacing w:after="120" w:line="264"/>
      </w:pPr>
      <w:r>
        <w:rPr>
          <w:rFonts w:ascii="Calibri" w:cs="Calibri" w:eastAsia="Calibri" w:hAnsi="Calibri"/>
          <w:sz w:val="20"/>
          <w:szCs w:val="20"/>
        </w:rPr>
        <w:t xml:space="preserve">Each row removes exactly one component from the full engine by a genuine runtime toggle in S2 and re-evaluates over the 30 repetitions. Temporal attention is not present in the reference implementation (it processes each dwell independently) and is marked accordingly.</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2534"/>
        <w:gridCol w:w="745"/>
        <w:gridCol w:w="745"/>
        <w:gridCol w:w="745"/>
        <w:gridCol w:w="745"/>
        <w:gridCol w:w="969"/>
        <w:gridCol w:w="820"/>
        <w:gridCol w:w="894"/>
        <w:gridCol w:w="820"/>
      </w:tblGrid>
      <w:tr>
        <w:trPr>
          <w:tblHeader/>
        </w:trPr>
        <w:tc>
          <w:tcPr>
            <w:tcW w:type="dxa" w:w="2534"/>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4"/>
                <w:szCs w:val="14"/>
              </w:rPr>
              <w:t xml:space="preserve">Configuration</w:t>
            </w:r>
          </w:p>
        </w:tc>
        <w:tc>
          <w:tcPr>
            <w:tcW w:type="dxa" w:w="745"/>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F1</w:t>
            </w:r>
          </w:p>
        </w:tc>
        <w:tc>
          <w:tcPr>
            <w:tcW w:type="dxa" w:w="745"/>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ΔF1</w:t>
            </w:r>
          </w:p>
        </w:tc>
        <w:tc>
          <w:tcPr>
            <w:tcW w:type="dxa" w:w="745"/>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ECE</w:t>
            </w:r>
          </w:p>
        </w:tc>
        <w:tc>
          <w:tcPr>
            <w:tcW w:type="dxa" w:w="745"/>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ΔECE</w:t>
            </w:r>
          </w:p>
        </w:tc>
        <w:tc>
          <w:tcPr>
            <w:tcW w:type="dxa" w:w="969"/>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Fragmentation</w:t>
            </w:r>
          </w:p>
        </w:tc>
        <w:tc>
          <w:tcPr>
            <w:tcW w:type="dxa" w:w="82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ΔFrag</w:t>
            </w:r>
          </w:p>
        </w:tc>
        <w:tc>
          <w:tcPr>
            <w:tcW w:type="dxa" w:w="894"/>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ID switches</w:t>
            </w:r>
          </w:p>
        </w:tc>
        <w:tc>
          <w:tcPr>
            <w:tcW w:type="dxa" w:w="82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ΔIDSW</w:t>
            </w:r>
          </w:p>
        </w:tc>
      </w:tr>
      <w:tr>
        <w:trPr>
          <w:tblHeader w:val="false"/>
        </w:trPr>
        <w:tc>
          <w:tcPr>
            <w:tcW w:type="dxa" w:w="2534"/>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Full framework</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0.826</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0.207</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w:t>
            </w:r>
          </w:p>
        </w:tc>
        <w:tc>
          <w:tcPr>
            <w:tcW w:type="dxa" w:w="969"/>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7132</w:t>
            </w:r>
          </w:p>
        </w:tc>
        <w:tc>
          <w:tcPr>
            <w:tcW w:type="dxa" w:w="82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w:t>
            </w:r>
          </w:p>
        </w:tc>
        <w:tc>
          <w:tcPr>
            <w:tcW w:type="dxa" w:w="89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12787</w:t>
            </w:r>
          </w:p>
        </w:tc>
        <w:tc>
          <w:tcPr>
            <w:tcW w:type="dxa" w:w="82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w:t>
            </w:r>
          </w:p>
        </w:tc>
      </w:tr>
      <w:tr>
        <w:trPr>
          <w:tblHeader w:val="false"/>
        </w:trPr>
        <w:tc>
          <w:tcPr>
            <w:tcW w:type="dxa" w:w="2534"/>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data quality score (uniform q)</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0.825</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-0.001</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0.201</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-0.007</w:t>
            </w:r>
          </w:p>
        </w:tc>
        <w:tc>
          <w:tcPr>
            <w:tcW w:type="dxa" w:w="969"/>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7015</w:t>
            </w:r>
          </w:p>
        </w:tc>
        <w:tc>
          <w:tcPr>
            <w:tcW w:type="dxa" w:w="82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-117</w:t>
            </w:r>
          </w:p>
        </w:tc>
        <w:tc>
          <w:tcPr>
            <w:tcW w:type="dxa" w:w="89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10924</w:t>
            </w:r>
          </w:p>
        </w:tc>
        <w:tc>
          <w:tcPr>
            <w:tcW w:type="dxa" w:w="82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-1863</w:t>
            </w:r>
          </w:p>
        </w:tc>
      </w:tr>
      <w:tr>
        <w:trPr>
          <w:tblHeader w:val="false"/>
        </w:trPr>
        <w:tc>
          <w:tcPr>
            <w:tcW w:type="dxa" w:w="2534"/>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temporal attention (mean pooling)</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n/a</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n/a</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w:t>
            </w:r>
          </w:p>
        </w:tc>
        <w:tc>
          <w:tcPr>
            <w:tcW w:type="dxa" w:w="969"/>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n/a</w:t>
            </w:r>
          </w:p>
        </w:tc>
        <w:tc>
          <w:tcPr>
            <w:tcW w:type="dxa" w:w="82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w:t>
            </w:r>
          </w:p>
        </w:tc>
        <w:tc>
          <w:tcPr>
            <w:tcW w:type="dxa" w:w="89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n/a</w:t>
            </w:r>
          </w:p>
        </w:tc>
        <w:tc>
          <w:tcPr>
            <w:tcW w:type="dxa" w:w="82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w:t>
            </w:r>
          </w:p>
        </w:tc>
      </w:tr>
      <w:tr>
        <w:trPr>
          <w:tblHeader w:val="false"/>
        </w:trPr>
        <w:tc>
          <w:tcPr>
            <w:tcW w:type="dxa" w:w="2534"/>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cross-feature attention (equal β)</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0.735</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-0.091</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0.234</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+0.026</w:t>
            </w:r>
          </w:p>
        </w:tc>
        <w:tc>
          <w:tcPr>
            <w:tcW w:type="dxa" w:w="969"/>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7132</w:t>
            </w:r>
          </w:p>
        </w:tc>
        <w:tc>
          <w:tcPr>
            <w:tcW w:type="dxa" w:w="82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w:t>
            </w:r>
          </w:p>
        </w:tc>
        <w:tc>
          <w:tcPr>
            <w:tcW w:type="dxa" w:w="89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12787</w:t>
            </w:r>
          </w:p>
        </w:tc>
        <w:tc>
          <w:tcPr>
            <w:tcW w:type="dxa" w:w="82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w:t>
            </w:r>
          </w:p>
        </w:tc>
      </w:tr>
      <w:tr>
        <w:trPr>
          <w:tblHeader w:val="false"/>
        </w:trPr>
        <w:tc>
          <w:tcPr>
            <w:tcW w:type="dxa" w:w="2534"/>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ensemble (single head)</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0.800</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-0.026</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0.184</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-0.024</w:t>
            </w:r>
          </w:p>
        </w:tc>
        <w:tc>
          <w:tcPr>
            <w:tcW w:type="dxa" w:w="969"/>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7132</w:t>
            </w:r>
          </w:p>
        </w:tc>
        <w:tc>
          <w:tcPr>
            <w:tcW w:type="dxa" w:w="82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w:t>
            </w:r>
          </w:p>
        </w:tc>
        <w:tc>
          <w:tcPr>
            <w:tcW w:type="dxa" w:w="89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12787</w:t>
            </w:r>
          </w:p>
        </w:tc>
        <w:tc>
          <w:tcPr>
            <w:tcW w:type="dxa" w:w="82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w:t>
            </w:r>
          </w:p>
        </w:tc>
      </w:tr>
      <w:tr>
        <w:trPr>
          <w:tblHeader w:val="false"/>
        </w:trPr>
        <w:tc>
          <w:tcPr>
            <w:tcW w:type="dxa" w:w="2534"/>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temperature scaling</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0.826</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0.141</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-0.066</w:t>
            </w:r>
          </w:p>
        </w:tc>
        <w:tc>
          <w:tcPr>
            <w:tcW w:type="dxa" w:w="969"/>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7132</w:t>
            </w:r>
          </w:p>
        </w:tc>
        <w:tc>
          <w:tcPr>
            <w:tcW w:type="dxa" w:w="82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w:t>
            </w:r>
          </w:p>
        </w:tc>
        <w:tc>
          <w:tcPr>
            <w:tcW w:type="dxa" w:w="89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12787</w:t>
            </w:r>
          </w:p>
        </w:tc>
        <w:tc>
          <w:tcPr>
            <w:tcW w:type="dxa" w:w="82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w:t>
            </w:r>
          </w:p>
        </w:tc>
      </w:tr>
      <w:tr>
        <w:trPr>
          <w:tblHeader w:val="false"/>
        </w:trPr>
        <w:tc>
          <w:tcPr>
            <w:tcW w:type="dxa" w:w="2534"/>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semantic association factor ψ</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0.826</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0.207</w:t>
            </w:r>
          </w:p>
        </w:tc>
        <w:tc>
          <w:tcPr>
            <w:tcW w:type="dxa" w:w="745"/>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w:t>
            </w:r>
          </w:p>
        </w:tc>
        <w:tc>
          <w:tcPr>
            <w:tcW w:type="dxa" w:w="969"/>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7132</w:t>
            </w:r>
          </w:p>
        </w:tc>
        <w:tc>
          <w:tcPr>
            <w:tcW w:type="dxa" w:w="82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w:t>
            </w:r>
          </w:p>
        </w:tc>
        <w:tc>
          <w:tcPr>
            <w:tcW w:type="dxa" w:w="89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12787</w:t>
            </w:r>
          </w:p>
        </w:tc>
        <w:tc>
          <w:tcPr>
            <w:tcW w:type="dxa" w:w="82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w:t>
            </w:r>
          </w:p>
        </w:tc>
      </w:tr>
      <w:tr>
        <w:trPr>
          <w:tblHeader w:val="false"/>
        </w:trPr>
        <w:tc>
          <w:tcPr>
            <w:tcW w:type="dxa" w:w="2534"/>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covariance inflation (fixed R)</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0.826</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0.207</w:t>
            </w:r>
          </w:p>
        </w:tc>
        <w:tc>
          <w:tcPr>
            <w:tcW w:type="dxa" w:w="745"/>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w:t>
            </w:r>
          </w:p>
        </w:tc>
        <w:tc>
          <w:tcPr>
            <w:tcW w:type="dxa" w:w="969"/>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7037</w:t>
            </w:r>
          </w:p>
        </w:tc>
        <w:tc>
          <w:tcPr>
            <w:tcW w:type="dxa" w:w="82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-95</w:t>
            </w:r>
          </w:p>
        </w:tc>
        <w:tc>
          <w:tcPr>
            <w:tcW w:type="dxa" w:w="89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15304</w:t>
            </w:r>
          </w:p>
        </w:tc>
        <w:tc>
          <w:tcPr>
            <w:tcW w:type="dxa" w:w="82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+2517</w:t>
            </w:r>
          </w:p>
        </w:tc>
      </w:tr>
    </w:tbl>
    <w:p>
      <w:pPr>
        <w:spacing w:after="160"/>
        <w:jc w:val="center"/>
      </w:pPr>
      <w:r>
        <w:rPr>
          <w:rFonts w:ascii="Calibri" w:cs="Calibri" w:eastAsia="Calibri" w:hAnsi="Calibri"/>
          <w:i/>
          <w:iCs/>
          <w:color w:val="555555"/>
          <w:sz w:val="16"/>
          <w:szCs w:val="16"/>
        </w:rPr>
        <w:t xml:space="preserve">Table 7. Component ablation (measured, means over 30 repetitions).</w:t>
      </w:r>
    </w:p>
    <w:p>
      <w:pPr>
        <w:spacing w:after="120" w:line="264"/>
      </w:pPr>
      <w:r>
        <w:rPr>
          <w:rFonts w:ascii="Calibri" w:cs="Calibri" w:eastAsia="Calibri" w:hAnsi="Calibri"/>
          <w:b/>
          <w:bCs/>
          <w:sz w:val="20"/>
          <w:szCs w:val="20"/>
        </w:rPr>
        <w:t xml:space="preserve">Interpretation. </w:t>
      </w:r>
      <w:r>
        <w:rPr>
          <w:rFonts w:ascii="Calibri" w:cs="Calibri" w:eastAsia="Calibri" w:hAnsi="Calibri"/>
          <w:sz w:val="20"/>
          <w:szCs w:val="20"/>
        </w:rPr>
        <w:t xml:space="preserve">The measured contributions are: cross-feature attention is the dominant classifier component (removing it costs 0.091 macro-F1 and raises ECE by 0.026); the ensemble contributes 0.026 macro-F1; covariance inflation is the dominant tracking component (removing it adds 2517 identity switches). Two predicted specialisations are </w:t>
      </w:r>
      <w:r>
        <w:rPr>
          <w:rFonts w:ascii="Calibri" w:cs="Calibri" w:eastAsia="Calibri" w:hAnsi="Calibri"/>
          <w:b/>
          <w:bCs/>
          <w:sz w:val="20"/>
          <w:szCs w:val="20"/>
        </w:rPr>
        <w:t xml:space="preserve">not</w:t>
      </w:r>
      <w:r>
        <w:rPr>
          <w:rFonts w:ascii="Calibri" w:cs="Calibri" w:eastAsia="Calibri" w:hAnsi="Calibri"/>
          <w:sz w:val="20"/>
          <w:szCs w:val="20"/>
        </w:rPr>
        <w:t xml:space="preserve"> borne out by the reference implementation and are reported honestly: (i) removing temperature scaling </w:t>
      </w:r>
      <w:r>
        <w:rPr>
          <w:rFonts w:ascii="Calibri" w:cs="Calibri" w:eastAsia="Calibri" w:hAnsi="Calibri"/>
          <w:i/>
          <w:iCs/>
          <w:sz w:val="20"/>
          <w:szCs w:val="20"/>
        </w:rPr>
        <w:t xml:space="preserve">improves</w:t>
      </w:r>
      <w:r>
        <w:rPr>
          <w:rFonts w:ascii="Calibri" w:cs="Calibri" w:eastAsia="Calibri" w:hAnsi="Calibri"/>
          <w:sz w:val="20"/>
          <w:szCs w:val="20"/>
        </w:rPr>
        <w:t xml:space="preserve"> ECE by 0.066 (the model is under-confident, so scaling hurts); (ii) removing the semantic association factor has no measurable effect on identity switches (Δ=0). Removing the quality score paradoxically reduces identity switches by 1863, an unintended interaction. These divergences characterise the released proxy, whose association is greedy and whose classifier is untrained; they are the principal items to address before the manuscript’s mechanism claims can be considered empirically supported.</w:t>
      </w:r>
    </w:p>
    <w:p>
      <w:pPr>
        <w:pStyle w:val="Heading1"/>
        <w:spacing w:after="110" w:before="220"/>
      </w:pPr>
      <w:r>
        <w:rPr>
          <w:rFonts w:ascii="Calibri" w:cs="Calibri" w:eastAsia="Calibri" w:hAnsi="Calibri"/>
        </w:rPr>
        <w:t xml:space="preserve">13. Identity-switch analysis by crossing type</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3608"/>
        <w:gridCol w:w="2706"/>
        <w:gridCol w:w="2706"/>
      </w:tblGrid>
      <w:tr>
        <w:trPr>
          <w:tblHeader/>
        </w:trPr>
        <w:tc>
          <w:tcPr>
            <w:tcW w:type="dxa" w:w="3608"/>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6"/>
                <w:szCs w:val="16"/>
              </w:rPr>
              <w:t xml:space="preserve">Crossing type</w:t>
            </w:r>
          </w:p>
        </w:tc>
        <w:tc>
          <w:tcPr>
            <w:tcW w:type="dxa" w:w="2706"/>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6"/>
                <w:szCs w:val="16"/>
              </w:rPr>
              <w:t xml:space="preserve">Mean count</w:t>
            </w:r>
          </w:p>
        </w:tc>
        <w:tc>
          <w:tcPr>
            <w:tcW w:type="dxa" w:w="2706"/>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6"/>
                <w:szCs w:val="16"/>
              </w:rPr>
              <w:t xml:space="preserve">SD</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UAV-UAV</w:t>
            </w:r>
          </w:p>
        </w:tc>
        <w:tc>
          <w:tcPr>
            <w:tcW w:type="dxa" w:w="270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6975</w:t>
            </w:r>
          </w:p>
        </w:tc>
        <w:tc>
          <w:tcPr>
            <w:tcW w:type="dxa" w:w="270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300</w:t>
            </w:r>
          </w:p>
        </w:tc>
      </w:tr>
      <w:tr>
        <w:trPr>
          <w:tblHeader w:val="false"/>
        </w:trPr>
        <w:tc>
          <w:tcPr>
            <w:tcW w:type="dxa" w:w="360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BIRD-UAV</w:t>
            </w:r>
          </w:p>
        </w:tc>
        <w:tc>
          <w:tcPr>
            <w:tcW w:type="dxa" w:w="270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1015</w:t>
            </w:r>
          </w:p>
        </w:tc>
        <w:tc>
          <w:tcPr>
            <w:tcW w:type="dxa" w:w="270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86</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OTHER-UAV</w:t>
            </w:r>
          </w:p>
        </w:tc>
        <w:tc>
          <w:tcPr>
            <w:tcW w:type="dxa" w:w="270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2433</w:t>
            </w:r>
          </w:p>
        </w:tc>
        <w:tc>
          <w:tcPr>
            <w:tcW w:type="dxa" w:w="270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165</w:t>
            </w:r>
          </w:p>
        </w:tc>
      </w:tr>
      <w:tr>
        <w:trPr>
          <w:tblHeader w:val="false"/>
        </w:trPr>
        <w:tc>
          <w:tcPr>
            <w:tcW w:type="dxa" w:w="360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BIRD-OTHER</w:t>
            </w:r>
          </w:p>
        </w:tc>
        <w:tc>
          <w:tcPr>
            <w:tcW w:type="dxa" w:w="270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347</w:t>
            </w:r>
          </w:p>
        </w:tc>
        <w:tc>
          <w:tcPr>
            <w:tcW w:type="dxa" w:w="270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38</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BIRD-BIRD</w:t>
            </w:r>
          </w:p>
        </w:tc>
        <w:tc>
          <w:tcPr>
            <w:tcW w:type="dxa" w:w="270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323</w:t>
            </w:r>
          </w:p>
        </w:tc>
        <w:tc>
          <w:tcPr>
            <w:tcW w:type="dxa" w:w="270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46</w:t>
            </w:r>
          </w:p>
        </w:tc>
      </w:tr>
      <w:tr>
        <w:trPr>
          <w:tblHeader w:val="false"/>
        </w:trPr>
        <w:tc>
          <w:tcPr>
            <w:tcW w:type="dxa" w:w="3608"/>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OTHER-OTHER</w:t>
            </w:r>
          </w:p>
        </w:tc>
        <w:tc>
          <w:tcPr>
            <w:tcW w:type="dxa" w:w="270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1438</w:t>
            </w:r>
          </w:p>
        </w:tc>
        <w:tc>
          <w:tcPr>
            <w:tcW w:type="dxa" w:w="270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159</w:t>
            </w:r>
          </w:p>
        </w:tc>
      </w:tr>
      <w:tr>
        <w:trPr>
          <w:tblHeader w:val="false"/>
        </w:trPr>
        <w:tc>
          <w:tcPr>
            <w:tcW w:type="dxa" w:w="3608"/>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6"/>
                <w:szCs w:val="16"/>
              </w:rPr>
              <w:t xml:space="preserve">spurious/new-track</w:t>
            </w:r>
          </w:p>
        </w:tc>
        <w:tc>
          <w:tcPr>
            <w:tcW w:type="dxa" w:w="270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256</w:t>
            </w:r>
          </w:p>
        </w:tc>
        <w:tc>
          <w:tcPr>
            <w:tcW w:type="dxa" w:w="270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6"/>
                <w:szCs w:val="16"/>
              </w:rPr>
              <w:t xml:space="preserve">17</w:t>
            </w:r>
          </w:p>
        </w:tc>
      </w:tr>
    </w:tbl>
    <w:p>
      <w:pPr>
        <w:spacing w:after="160"/>
        <w:jc w:val="center"/>
      </w:pPr>
      <w:r>
        <w:rPr>
          <w:rFonts w:ascii="Calibri" w:cs="Calibri" w:eastAsia="Calibri" w:hAnsi="Calibri"/>
          <w:i/>
          <w:iCs/>
          <w:color w:val="555555"/>
          <w:sz w:val="16"/>
          <w:szCs w:val="16"/>
        </w:rPr>
        <w:t xml:space="preserve">Table 13a. Identity switches by class-pair of the crossing (means over 30 repetitions).</w:t>
      </w:r>
    </w:p>
    <w:p>
      <w:pPr>
        <w:spacing w:after="120" w:line="264"/>
      </w:pPr>
      <w:r>
        <w:rPr>
          <w:rFonts w:ascii="Calibri" w:cs="Calibri" w:eastAsia="Calibri" w:hAnsi="Calibri"/>
          <w:sz w:val="20"/>
          <w:szCs w:val="20"/>
        </w:rPr>
        <w:t xml:space="preserve">Most switches (about 70%) are homogeneous same-class crossings, overwhelmingly UAV–UAV (6,975 ± 300), which a class-compatibility term cannot help by construction. Heterogeneous crossings — the only ones a semantic factor could suppress — account for roughly 30% (UAV–OTHER 2,433, UAV–BIRD 1,015, BIRD–OTHER 347). The manuscript’s prediction that semantic association concentrates its benefit on heterogeneous crossings is testable here, but because the semantic factor is near-inert in the reference engine (Section 12), no reduction is observed. Persistent false tracks retained beyond the deletion threshold through high-but-wrong confidence numbered 257 ± 17 per corpus (the “spurious/new-track” category).</w:t>
      </w:r>
    </w:p>
    <w:p>
      <w:pPr>
        <w:pStyle w:val="Heading1"/>
        <w:spacing w:after="110" w:before="220"/>
      </w:pPr>
      <w:r>
        <w:rPr>
          <w:rFonts w:ascii="Calibri" w:cs="Calibri" w:eastAsia="Calibri" w:hAnsi="Calibri"/>
        </w:rPr>
        <w:t xml:space="preserve">14. Latency and scalability (Table 8, measured)</w:t>
      </w:r>
    </w:p>
    <w:p>
      <w:pPr>
        <w:spacing w:after="120" w:line="264"/>
      </w:pPr>
      <w:r>
        <w:rPr>
          <w:rFonts w:ascii="Calibri" w:cs="Calibri" w:eastAsia="Calibri" w:hAnsi="Calibri"/>
          <w:sz w:val="20"/>
          <w:szCs w:val="20"/>
        </w:rPr>
        <w:t xml:space="preserve">Latency was measured as wall-clock time per dwell inside the S2 engine using std::chrono, decomposed into encoder, ensemble and association sections. The first 100 dwells were discarded as warm-up; samples were bucketed by the number of active tracks. Values are microseconds.</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1696"/>
        <w:gridCol w:w="1156"/>
        <w:gridCol w:w="1156"/>
        <w:gridCol w:w="1310"/>
        <w:gridCol w:w="1310"/>
        <w:gridCol w:w="1310"/>
        <w:gridCol w:w="1079"/>
      </w:tblGrid>
      <w:tr>
        <w:trPr>
          <w:tblHeader/>
        </w:trPr>
        <w:tc>
          <w:tcPr>
            <w:tcW w:type="dxa" w:w="1696"/>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5"/>
                <w:szCs w:val="15"/>
              </w:rPr>
              <w:t xml:space="preserve">n_targets</w:t>
            </w:r>
          </w:p>
        </w:tc>
        <w:tc>
          <w:tcPr>
            <w:tcW w:type="dxa" w:w="1156"/>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encoder_us</w:t>
            </w:r>
          </w:p>
        </w:tc>
        <w:tc>
          <w:tcPr>
            <w:tcW w:type="dxa" w:w="1156"/>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ensemble_us</w:t>
            </w:r>
          </w:p>
        </w:tc>
        <w:tc>
          <w:tcPr>
            <w:tcW w:type="dxa" w:w="131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association_us</w:t>
            </w:r>
          </w:p>
        </w:tc>
        <w:tc>
          <w:tcPr>
            <w:tcW w:type="dxa" w:w="131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total_mean_us</w:t>
            </w:r>
          </w:p>
        </w:tc>
        <w:tc>
          <w:tcPr>
            <w:tcW w:type="dxa" w:w="131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total_p95_us</w:t>
            </w:r>
          </w:p>
        </w:tc>
        <w:tc>
          <w:tcPr>
            <w:tcW w:type="dxa" w:w="1079"/>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n_samples</w:t>
            </w:r>
          </w:p>
        </w:tc>
      </w:tr>
      <w:tr>
        <w:trPr>
          <w:tblHeader w:val="false"/>
        </w:trPr>
        <w:tc>
          <w:tcPr>
            <w:tcW w:type="dxa" w:w="169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1</w:t>
            </w:r>
          </w:p>
        </w:tc>
        <w:tc>
          <w:tcPr>
            <w:tcW w:type="dxa" w:w="115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0.229</w:t>
            </w:r>
          </w:p>
        </w:tc>
        <w:tc>
          <w:tcPr>
            <w:tcW w:type="dxa" w:w="115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0.682</w:t>
            </w:r>
          </w:p>
        </w:tc>
        <w:tc>
          <w:tcPr>
            <w:tcW w:type="dxa" w:w="13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0.292</w:t>
            </w:r>
          </w:p>
        </w:tc>
        <w:tc>
          <w:tcPr>
            <w:tcW w:type="dxa" w:w="13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1.562</w:t>
            </w:r>
          </w:p>
        </w:tc>
        <w:tc>
          <w:tcPr>
            <w:tcW w:type="dxa" w:w="13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3.153</w:t>
            </w:r>
          </w:p>
        </w:tc>
        <w:tc>
          <w:tcPr>
            <w:tcW w:type="dxa" w:w="1079"/>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2513</w:t>
            </w:r>
          </w:p>
        </w:tc>
      </w:tr>
      <w:tr>
        <w:trPr>
          <w:tblHeader w:val="false"/>
        </w:trPr>
        <w:tc>
          <w:tcPr>
            <w:tcW w:type="dxa" w:w="1696"/>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5</w:t>
            </w:r>
          </w:p>
        </w:tc>
        <w:tc>
          <w:tcPr>
            <w:tcW w:type="dxa" w:w="115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0.258</w:t>
            </w:r>
          </w:p>
        </w:tc>
        <w:tc>
          <w:tcPr>
            <w:tcW w:type="dxa" w:w="115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0.792</w:t>
            </w:r>
          </w:p>
        </w:tc>
        <w:tc>
          <w:tcPr>
            <w:tcW w:type="dxa" w:w="13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0.620</w:t>
            </w:r>
          </w:p>
        </w:tc>
        <w:tc>
          <w:tcPr>
            <w:tcW w:type="dxa" w:w="13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2.706</w:t>
            </w:r>
          </w:p>
        </w:tc>
        <w:tc>
          <w:tcPr>
            <w:tcW w:type="dxa" w:w="13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4.483</w:t>
            </w:r>
          </w:p>
        </w:tc>
        <w:tc>
          <w:tcPr>
            <w:tcW w:type="dxa" w:w="1079"/>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7827</w:t>
            </w:r>
          </w:p>
        </w:tc>
      </w:tr>
      <w:tr>
        <w:trPr>
          <w:tblHeader w:val="false"/>
        </w:trPr>
        <w:tc>
          <w:tcPr>
            <w:tcW w:type="dxa" w:w="169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10</w:t>
            </w:r>
          </w:p>
        </w:tc>
        <w:tc>
          <w:tcPr>
            <w:tcW w:type="dxa" w:w="115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0.426</w:t>
            </w:r>
          </w:p>
        </w:tc>
        <w:tc>
          <w:tcPr>
            <w:tcW w:type="dxa" w:w="115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1.283</w:t>
            </w:r>
          </w:p>
        </w:tc>
        <w:tc>
          <w:tcPr>
            <w:tcW w:type="dxa" w:w="13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1.367</w:t>
            </w:r>
          </w:p>
        </w:tc>
        <w:tc>
          <w:tcPr>
            <w:tcW w:type="dxa" w:w="13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4.019</w:t>
            </w:r>
          </w:p>
        </w:tc>
        <w:tc>
          <w:tcPr>
            <w:tcW w:type="dxa" w:w="13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7.351</w:t>
            </w:r>
          </w:p>
        </w:tc>
        <w:tc>
          <w:tcPr>
            <w:tcW w:type="dxa" w:w="1079"/>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4175</w:t>
            </w:r>
          </w:p>
        </w:tc>
      </w:tr>
      <w:tr>
        <w:trPr>
          <w:tblHeader w:val="false"/>
        </w:trPr>
        <w:tc>
          <w:tcPr>
            <w:tcW w:type="dxa" w:w="1696"/>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20</w:t>
            </w:r>
          </w:p>
        </w:tc>
        <w:tc>
          <w:tcPr>
            <w:tcW w:type="dxa" w:w="115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0.671</w:t>
            </w:r>
          </w:p>
        </w:tc>
        <w:tc>
          <w:tcPr>
            <w:tcW w:type="dxa" w:w="1156"/>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1.925</w:t>
            </w:r>
          </w:p>
        </w:tc>
        <w:tc>
          <w:tcPr>
            <w:tcW w:type="dxa" w:w="13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3.139</w:t>
            </w:r>
          </w:p>
        </w:tc>
        <w:tc>
          <w:tcPr>
            <w:tcW w:type="dxa" w:w="13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7.123</w:t>
            </w:r>
          </w:p>
        </w:tc>
        <w:tc>
          <w:tcPr>
            <w:tcW w:type="dxa" w:w="131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12.473</w:t>
            </w:r>
          </w:p>
        </w:tc>
        <w:tc>
          <w:tcPr>
            <w:tcW w:type="dxa" w:w="1079"/>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353</w:t>
            </w:r>
          </w:p>
        </w:tc>
      </w:tr>
      <w:tr>
        <w:trPr>
          <w:tblHeader w:val="false"/>
        </w:trPr>
        <w:tc>
          <w:tcPr>
            <w:tcW w:type="dxa" w:w="1696"/>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24 (max observed)</w:t>
            </w:r>
          </w:p>
        </w:tc>
        <w:tc>
          <w:tcPr>
            <w:tcW w:type="dxa" w:w="115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0.637</w:t>
            </w:r>
          </w:p>
        </w:tc>
        <w:tc>
          <w:tcPr>
            <w:tcW w:type="dxa" w:w="1156"/>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1.940</w:t>
            </w:r>
          </w:p>
        </w:tc>
        <w:tc>
          <w:tcPr>
            <w:tcW w:type="dxa" w:w="13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3.540</w:t>
            </w:r>
          </w:p>
        </w:tc>
        <w:tc>
          <w:tcPr>
            <w:tcW w:type="dxa" w:w="13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7.550</w:t>
            </w:r>
          </w:p>
        </w:tc>
        <w:tc>
          <w:tcPr>
            <w:tcW w:type="dxa" w:w="131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12.841</w:t>
            </w:r>
          </w:p>
        </w:tc>
        <w:tc>
          <w:tcPr>
            <w:tcW w:type="dxa" w:w="1079"/>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26</w:t>
            </w:r>
          </w:p>
        </w:tc>
      </w:tr>
    </w:tbl>
    <w:p>
      <w:pPr>
        <w:spacing w:after="160"/>
        <w:jc w:val="center"/>
      </w:pPr>
      <w:r>
        <w:rPr>
          <w:rFonts w:ascii="Calibri" w:cs="Calibri" w:eastAsia="Calibri" w:hAnsi="Calibri"/>
          <w:i/>
          <w:iCs/>
          <w:color w:val="555555"/>
          <w:sz w:val="16"/>
          <w:szCs w:val="16"/>
        </w:rPr>
        <w:t xml:space="preserve">Table 8. Measured per-dwell latency (μs) vs simultaneous targets.</w:t>
      </w:r>
    </w:p>
    <w:p>
      <w:pPr>
        <w:spacing w:after="120" w:line="264"/>
      </w:pPr>
      <w:r>
        <w:rPr>
          <w:rFonts w:ascii="Calibri" w:cs="Calibri" w:eastAsia="Calibri" w:hAnsi="Calibri"/>
          <w:b/>
          <w:bCs/>
          <w:sz w:val="20"/>
          <w:szCs w:val="20"/>
        </w:rPr>
        <w:t xml:space="preserve">Interpretation. </w:t>
      </w:r>
      <w:r>
        <w:rPr>
          <w:rFonts w:ascii="Calibri" w:cs="Calibri" w:eastAsia="Calibri" w:hAnsi="Calibri"/>
          <w:sz w:val="20"/>
          <w:szCs w:val="20"/>
        </w:rPr>
        <w:t xml:space="preserve">The association section grows fastest with target count (0.29→3.14 μs from 1 to 20 targets, consistent with its O(K²) worst case) and overtakes the encoder immediately; the ensemble section is the largest single term. At 20 simultaneous targets the 95th-percentile per-dwell latency is 12.5 μs — about four orders of magnitude below the 100 ms budget of a 10 Hz revisit. Extrapolating the measured p95 (≈0.52 μs per additional target) the real-time bound (p95 &lt; 100 ms) is not reached until on the order of 10⁵ targets. The reference engine is therefore real-time by a very large margin; because it is a lightweight analytical proxy rather than the trained neural architecture of Section 3, these figures should be read as a lower bound on the latency of a production system, not as its expected cost.</w:t>
      </w:r>
    </w:p>
    <w:p>
      <w:pPr>
        <w:pStyle w:val="Heading1"/>
        <w:spacing w:after="110" w:before="220"/>
      </w:pPr>
      <w:r>
        <w:rPr>
          <w:rFonts w:ascii="Calibri" w:cs="Calibri" w:eastAsia="Calibri" w:hAnsi="Calibri"/>
        </w:rPr>
        <w:t xml:space="preserve">15. Sensitivity to ζ and γ (Figure 8)</w:t>
      </w:r>
    </w:p>
    <w:p>
      <w:pPr>
        <w:spacing w:after="40" w:before="8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47925"/>
                    </a:xfrm>
                    <a:prstGeom prst="rect">
                      <a:avLst/>
                    </a:prstGeom>
                  </pic:spPr>
                </pic:pic>
              </a:graphicData>
            </a:graphic>
          </wp:inline>
        </w:drawing>
      </w:r>
    </w:p>
    <w:p>
      <w:pPr>
        <w:spacing w:after="160"/>
        <w:jc w:val="center"/>
      </w:pPr>
      <w:r>
        <w:rPr>
          <w:rFonts w:ascii="Calibri" w:cs="Calibri" w:eastAsia="Calibri" w:hAnsi="Calibri"/>
          <w:i/>
          <w:iCs/>
          <w:color w:val="555555"/>
          <w:sz w:val="16"/>
          <w:szCs w:val="16"/>
        </w:rPr>
        <w:t xml:space="preserve">Figure 8. Sensitivity to covariance inflation ζ and uncertainty tempering γ (measured).</w:t>
      </w:r>
    </w:p>
    <w:p>
      <w:pPr>
        <w:spacing w:after="120" w:line="264"/>
      </w:pPr>
      <w:r>
        <w:rPr>
          <w:rFonts w:ascii="Calibri" w:cs="Calibri" w:eastAsia="Calibri" w:hAnsi="Calibri"/>
          <w:sz w:val="20"/>
          <w:szCs w:val="20"/>
        </w:rPr>
        <w:t xml:space="preserve">The covariance-inflation strength ζ is the single most consequential tracking hyperparameter: sweeping ζ over {1,3,9,27,81} moves MOTA from 0.07 to 0.81 and identity switches from 18,699 to 790, while classification metrics are untouched (ζ affects only the filter). The released default ζ=9 (MOTA 0.32) is conservative; larger inflation stabilises association markedly. By contrast the uncertainty-tempering coefficient γ has no measurable effect on any metric, because it only modulates the near-inert semantic factor. Both findings are genuine and directly actionable: they identify ζ as the knob to tune and the semantic-association pathway as the component to redesign.</w:t>
      </w:r>
    </w:p>
    <w:p>
      <w:r>
        <w:br w:type="page"/>
      </w:r>
    </w:p>
    <w:p>
      <w:pPr>
        <w:pStyle w:val="Heading1"/>
        <w:spacing w:after="110" w:before="220"/>
      </w:pPr>
      <w:r>
        <w:rPr>
          <w:rFonts w:ascii="Calibri" w:cs="Calibri" w:eastAsia="Calibri" w:hAnsi="Calibri"/>
        </w:rPr>
        <w:t xml:space="preserve">16. Statistical significance</w:t>
      </w:r>
    </w:p>
    <w:p>
      <w:pPr>
        <w:spacing w:after="120" w:line="264"/>
      </w:pPr>
      <w:r>
        <w:rPr>
          <w:rFonts w:ascii="Calibri" w:cs="Calibri" w:eastAsia="Calibri" w:hAnsi="Calibri"/>
          <w:sz w:val="20"/>
          <w:szCs w:val="20"/>
        </w:rPr>
        <w:t xml:space="preserve">Differences between the full engine and each measured toggle configuration were assessed with the two-sided Wilcoxon signed-rank test over the 30 paired per-seed scores, with Holm correction across the family of comparisons at α=0.05. Emulated baselines (B1/B2/B3/B5/B6) are not independently sampled and are excluded from significance testing; the comparison against them is model-defined.</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2751"/>
        <w:gridCol w:w="1223"/>
        <w:gridCol w:w="1070"/>
        <w:gridCol w:w="1070"/>
        <w:gridCol w:w="764"/>
        <w:gridCol w:w="1070"/>
        <w:gridCol w:w="1070"/>
      </w:tblGrid>
      <w:tr>
        <w:trPr>
          <w:tblHeader/>
        </w:trPr>
        <w:tc>
          <w:tcPr>
            <w:tcW w:type="dxa" w:w="2751"/>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4"/>
                <w:szCs w:val="14"/>
              </w:rPr>
              <w:t xml:space="preserve">Comparison</w:t>
            </w:r>
          </w:p>
        </w:tc>
        <w:tc>
          <w:tcPr>
            <w:tcW w:type="dxa" w:w="1223"/>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Metric</w:t>
            </w:r>
          </w:p>
        </w:tc>
        <w:tc>
          <w:tcPr>
            <w:tcW w:type="dxa" w:w="107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raw p</w:t>
            </w:r>
          </w:p>
        </w:tc>
        <w:tc>
          <w:tcPr>
            <w:tcW w:type="dxa" w:w="107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Holm p</w:t>
            </w:r>
          </w:p>
        </w:tc>
        <w:tc>
          <w:tcPr>
            <w:tcW w:type="dxa" w:w="764"/>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sig.</w:t>
            </w:r>
          </w:p>
        </w:tc>
        <w:tc>
          <w:tcPr>
            <w:tcW w:type="dxa" w:w="107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abs Δ</w:t>
            </w:r>
          </w:p>
        </w:tc>
        <w:tc>
          <w:tcPr>
            <w:tcW w:type="dxa" w:w="107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4"/>
                <w:szCs w:val="14"/>
              </w:rPr>
              <w:t xml:space="preserve">rel Δ%</w:t>
            </w:r>
          </w:p>
        </w:tc>
      </w:tr>
      <w:tr>
        <w:trPr>
          <w:tblHeader w:val="false"/>
        </w:trPr>
        <w:tc>
          <w:tcPr>
            <w:tcW w:type="dxa" w:w="2751"/>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B7 (no uncertainty)</w:t>
            </w:r>
          </w:p>
        </w:tc>
        <w:tc>
          <w:tcPr>
            <w:tcW w:type="dxa" w:w="122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macro_f1</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1.863e-09</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1.304e-08</w:t>
            </w:r>
          </w:p>
        </w:tc>
        <w:tc>
          <w:tcPr>
            <w:tcW w:type="dxa" w:w="7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yes</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+0.0260</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+3.25</w:t>
            </w:r>
          </w:p>
        </w:tc>
      </w:tr>
      <w:tr>
        <w:trPr>
          <w:tblHeader w:val="false"/>
        </w:trPr>
        <w:tc>
          <w:tcPr>
            <w:tcW w:type="dxa" w:w="2751"/>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B4 (no semantic)</w:t>
            </w:r>
          </w:p>
        </w:tc>
        <w:tc>
          <w:tcPr>
            <w:tcW w:type="dxa" w:w="122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macro_f1</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7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no</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+0.0000</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w:t>
            </w:r>
          </w:p>
        </w:tc>
      </w:tr>
      <w:tr>
        <w:trPr>
          <w:tblHeader w:val="false"/>
        </w:trPr>
        <w:tc>
          <w:tcPr>
            <w:tcW w:type="dxa" w:w="2751"/>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quality</w:t>
            </w:r>
          </w:p>
        </w:tc>
        <w:tc>
          <w:tcPr>
            <w:tcW w:type="dxa" w:w="122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macro_f1</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1.759e-05</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7.036e-05</w:t>
            </w:r>
          </w:p>
        </w:tc>
        <w:tc>
          <w:tcPr>
            <w:tcW w:type="dxa" w:w="7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yes</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+0.0012</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+0.15</w:t>
            </w:r>
          </w:p>
        </w:tc>
      </w:tr>
      <w:tr>
        <w:trPr>
          <w:tblHeader w:val="false"/>
        </w:trPr>
        <w:tc>
          <w:tcPr>
            <w:tcW w:type="dxa" w:w="2751"/>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cross-feature attn</w:t>
            </w:r>
          </w:p>
        </w:tc>
        <w:tc>
          <w:tcPr>
            <w:tcW w:type="dxa" w:w="122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macro_f1</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1.733e-06</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8.667e-06</w:t>
            </w:r>
          </w:p>
        </w:tc>
        <w:tc>
          <w:tcPr>
            <w:tcW w:type="dxa" w:w="7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yes</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+0.0909</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+12.37</w:t>
            </w:r>
          </w:p>
        </w:tc>
      </w:tr>
      <w:tr>
        <w:trPr>
          <w:tblHeader w:val="false"/>
        </w:trPr>
        <w:tc>
          <w:tcPr>
            <w:tcW w:type="dxa" w:w="2751"/>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ensemble</w:t>
            </w:r>
          </w:p>
        </w:tc>
        <w:tc>
          <w:tcPr>
            <w:tcW w:type="dxa" w:w="122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macro_f1</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1.863e-09</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1.304e-08</w:t>
            </w:r>
          </w:p>
        </w:tc>
        <w:tc>
          <w:tcPr>
            <w:tcW w:type="dxa" w:w="7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yes</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+0.0260</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+3.25</w:t>
            </w:r>
          </w:p>
        </w:tc>
      </w:tr>
      <w:tr>
        <w:trPr>
          <w:tblHeader w:val="false"/>
        </w:trPr>
        <w:tc>
          <w:tcPr>
            <w:tcW w:type="dxa" w:w="2751"/>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temperature</w:t>
            </w:r>
          </w:p>
        </w:tc>
        <w:tc>
          <w:tcPr>
            <w:tcW w:type="dxa" w:w="122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macro_f1</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0.006472</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0.01941</w:t>
            </w:r>
          </w:p>
        </w:tc>
        <w:tc>
          <w:tcPr>
            <w:tcW w:type="dxa" w:w="7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yes</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+0.0001</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+0.01</w:t>
            </w:r>
          </w:p>
        </w:tc>
      </w:tr>
      <w:tr>
        <w:trPr>
          <w:tblHeader w:val="false"/>
        </w:trPr>
        <w:tc>
          <w:tcPr>
            <w:tcW w:type="dxa" w:w="2751"/>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covariance inflation</w:t>
            </w:r>
          </w:p>
        </w:tc>
        <w:tc>
          <w:tcPr>
            <w:tcW w:type="dxa" w:w="122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macro_f1</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7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no</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+0.0000</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w:t>
            </w:r>
          </w:p>
        </w:tc>
      </w:tr>
      <w:tr>
        <w:trPr>
          <w:tblHeader w:val="false"/>
        </w:trPr>
        <w:tc>
          <w:tcPr>
            <w:tcW w:type="dxa" w:w="2751"/>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B7 (no uncertainty)</w:t>
            </w:r>
          </w:p>
        </w:tc>
        <w:tc>
          <w:tcPr>
            <w:tcW w:type="dxa" w:w="122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id_switches</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7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no</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+0.0000</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w:t>
            </w:r>
          </w:p>
        </w:tc>
      </w:tr>
      <w:tr>
        <w:trPr>
          <w:tblHeader w:val="false"/>
        </w:trPr>
        <w:tc>
          <w:tcPr>
            <w:tcW w:type="dxa" w:w="2751"/>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B4 (no semantic)</w:t>
            </w:r>
          </w:p>
        </w:tc>
        <w:tc>
          <w:tcPr>
            <w:tcW w:type="dxa" w:w="122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id_switches</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0.3173</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7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no</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+0.2667</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w:t>
            </w:r>
          </w:p>
        </w:tc>
      </w:tr>
      <w:tr>
        <w:trPr>
          <w:tblHeader w:val="false"/>
        </w:trPr>
        <w:tc>
          <w:tcPr>
            <w:tcW w:type="dxa" w:w="2751"/>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quality</w:t>
            </w:r>
          </w:p>
        </w:tc>
        <w:tc>
          <w:tcPr>
            <w:tcW w:type="dxa" w:w="122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id_switches</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1.733e-06</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1.212e-05</w:t>
            </w:r>
          </w:p>
        </w:tc>
        <w:tc>
          <w:tcPr>
            <w:tcW w:type="dxa" w:w="7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yes</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+1863.1667</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+17.06</w:t>
            </w:r>
          </w:p>
        </w:tc>
      </w:tr>
      <w:tr>
        <w:trPr>
          <w:tblHeader w:val="false"/>
        </w:trPr>
        <w:tc>
          <w:tcPr>
            <w:tcW w:type="dxa" w:w="2751"/>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cross-feature attn</w:t>
            </w:r>
          </w:p>
        </w:tc>
        <w:tc>
          <w:tcPr>
            <w:tcW w:type="dxa" w:w="122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id_switches</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7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no</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+0.0000</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w:t>
            </w:r>
          </w:p>
        </w:tc>
      </w:tr>
      <w:tr>
        <w:trPr>
          <w:tblHeader w:val="false"/>
        </w:trPr>
        <w:tc>
          <w:tcPr>
            <w:tcW w:type="dxa" w:w="2751"/>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ensemble</w:t>
            </w:r>
          </w:p>
        </w:tc>
        <w:tc>
          <w:tcPr>
            <w:tcW w:type="dxa" w:w="122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id_switches</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7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no</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+0.0000</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w:t>
            </w:r>
          </w:p>
        </w:tc>
      </w:tr>
      <w:tr>
        <w:trPr>
          <w:tblHeader w:val="false"/>
        </w:trPr>
        <w:tc>
          <w:tcPr>
            <w:tcW w:type="dxa" w:w="2751"/>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temperature</w:t>
            </w:r>
          </w:p>
        </w:tc>
        <w:tc>
          <w:tcPr>
            <w:tcW w:type="dxa" w:w="1223"/>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id_switches</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w:t>
            </w:r>
          </w:p>
        </w:tc>
        <w:tc>
          <w:tcPr>
            <w:tcW w:type="dxa" w:w="764"/>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no</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+0.0000</w:t>
            </w:r>
          </w:p>
        </w:tc>
        <w:tc>
          <w:tcPr>
            <w:tcW w:type="dxa" w:w="107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+0.00</w:t>
            </w:r>
          </w:p>
        </w:tc>
      </w:tr>
      <w:tr>
        <w:trPr>
          <w:tblHeader w:val="false"/>
        </w:trPr>
        <w:tc>
          <w:tcPr>
            <w:tcW w:type="dxa" w:w="2751"/>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4"/>
                <w:szCs w:val="14"/>
              </w:rPr>
              <w:t xml:space="preserve">- covariance inflation</w:t>
            </w:r>
          </w:p>
        </w:tc>
        <w:tc>
          <w:tcPr>
            <w:tcW w:type="dxa" w:w="1223"/>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id_switches</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1.731e-06</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1.212e-05</w:t>
            </w:r>
          </w:p>
        </w:tc>
        <w:tc>
          <w:tcPr>
            <w:tcW w:type="dxa" w:w="764"/>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yes</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-2516.6000</w:t>
            </w:r>
          </w:p>
        </w:tc>
        <w:tc>
          <w:tcPr>
            <w:tcW w:type="dxa" w:w="107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4"/>
                <w:szCs w:val="14"/>
              </w:rPr>
              <w:t xml:space="preserve">-16.44</w:t>
            </w:r>
          </w:p>
        </w:tc>
      </w:tr>
    </w:tbl>
    <w:p>
      <w:pPr>
        <w:spacing w:after="160"/>
        <w:jc w:val="center"/>
      </w:pPr>
      <w:r>
        <w:rPr>
          <w:rFonts w:ascii="Calibri" w:cs="Calibri" w:eastAsia="Calibri" w:hAnsi="Calibri"/>
          <w:i/>
          <w:iCs/>
          <w:color w:val="555555"/>
          <w:sz w:val="16"/>
          <w:szCs w:val="16"/>
        </w:rPr>
        <w:t xml:space="preserve">Table 16a. Paired Wilcoxon signed-rank tests (Holm-corrected), macro-F1 and ID switches.</w:t>
      </w:r>
    </w:p>
    <w:p>
      <w:pPr>
        <w:spacing w:after="120" w:line="264"/>
      </w:pPr>
      <w:r>
        <w:rPr>
          <w:rFonts w:ascii="Calibri" w:cs="Calibri" w:eastAsia="Calibri" w:hAnsi="Calibri"/>
          <w:sz w:val="20"/>
          <w:szCs w:val="20"/>
        </w:rPr>
        <w:t xml:space="preserve">The uncertainty ensemble (B7), cross-feature attention and covariance inflation produce statistically significant, correctly-signed effects. The semantic factor (B4) shows no significant effect, consistent with Sections 10, 12 and 15.</w:t>
      </w:r>
    </w:p>
    <w:p>
      <w:pPr>
        <w:pStyle w:val="Heading1"/>
        <w:spacing w:after="110" w:before="220"/>
      </w:pPr>
      <w:r>
        <w:rPr>
          <w:rFonts w:ascii="Calibri" w:cs="Calibri" w:eastAsia="Calibri" w:hAnsi="Calibri"/>
        </w:rPr>
        <w:t xml:space="preserve">17. Validity, limitations and integrity disclosure</w:t>
      </w:r>
    </w:p>
    <w:tbl>
      <w:tblPr>
        <w:tblW w:type="dxa" w:w="9020"/>
        <w:tblBorders>
          <w:top w:val="single" w:color="C0A000" w:sz="6"/>
          <w:left w:val="single" w:color="C0A000" w:sz="18"/>
          <w:bottom w:val="single" w:color="C0A000" w:sz="6"/>
          <w:right w:val="single" w:color="C0A000" w:sz="6"/>
          <w:insideH w:val="none"/>
          <w:insideV w:val="none"/>
        </w:tblBorders>
      </w:tblPr>
      <w:tblGrid>
        <w:gridCol w:w="9020"/>
      </w:tblGrid>
      <w:tr>
        <w:tc>
          <w:tcPr>
            <w:tcW w:type="dxa" w:w="9020"/>
            <w:shd w:fill="FFF3CD" w:val="clear"/>
            <w:tcMar>
              <w:top w:type="dxa" w:w="120"/>
              <w:left w:type="dxa" w:w="160"/>
              <w:bottom w:type="dxa" w:w="120"/>
              <w:right w:type="dxa" w:w="160"/>
            </w:tcMar>
          </w:tcPr>
          <w:p>
            <w:pPr>
              <w:spacing w:after="80"/>
            </w:pPr>
            <w:r>
              <w:rPr>
                <w:rFonts w:ascii="Calibri" w:cs="Calibri" w:eastAsia="Calibri" w:hAnsi="Calibri"/>
                <w:b/>
                <w:bCs/>
                <w:color w:val="8A6D00"/>
                <w:sz w:val="19"/>
                <w:szCs w:val="19"/>
              </w:rPr>
              <w:t xml:space="preserve">What is measured vs emulated</w:t>
            </w:r>
          </w:p>
          <w:p>
            <w:pPr>
              <w:pStyle w:val="ListParagraph"/>
              <w:numPr>
                <w:ilvl w:val="0"/>
                <w:numId w:val="1"/>
              </w:numPr>
              <w:spacing w:after="60" w:line="252"/>
            </w:pPr>
            <w:r>
              <w:rPr>
                <w:rFonts w:ascii="Calibri" w:cs="Calibri" w:eastAsia="Calibri" w:hAnsi="Calibri"/>
                <w:sz w:val="20"/>
                <w:szCs w:val="20"/>
              </w:rPr>
              <w:t xml:space="preserve">Emulated (provisional): baselines B1 (CNN), B2 (LSTM), B3 (Kalman+NN), B5 (SORT), B6 (DeepSORT). These come from documented degradation multipliers relative to UST-Fuse, extended from the FuseMetrics Lab v1 kBaselines table. They are NOT independent implementations and must be replaced before publication (task §7). The abstract’s false-alarm reduction (16.7%) and fragmentation reduction (33.3%) are computed against the emulated strongest baseline (DeepSORT) and are therefore provisional.</w:t>
            </w:r>
          </w:p>
          <w:p>
            <w:pPr>
              <w:pStyle w:val="ListParagraph"/>
              <w:numPr>
                <w:ilvl w:val="0"/>
                <w:numId w:val="1"/>
              </w:numPr>
              <w:spacing w:after="60" w:line="252"/>
            </w:pPr>
            <w:r>
              <w:rPr>
                <w:rFonts w:ascii="Calibri" w:cs="Calibri" w:eastAsia="Calibri" w:hAnsi="Calibri"/>
                <w:sz w:val="20"/>
                <w:szCs w:val="20"/>
              </w:rPr>
              <w:t xml:space="preserve">Measured (genuine): all UST-Fuse metrics; baselines B4 and B7 (S2 toggles); the full ablation; per-SNR, per-completeness, attention, calibration, uncertainty, ID-switch and latency analyses; and the ζ/γ sensitivity sweeps.</w:t>
            </w:r>
          </w:p>
        </w:tc>
      </w:tr>
    </w:tbl>
    <w:p>
      <w:pPr>
        <w:spacing w:after="120" w:line="264"/>
      </w:pPr>
      <w:r>
        <w:rPr>
          <w:rFonts w:ascii="Calibri" w:cs="Calibri" w:eastAsia="Calibri" w:hAnsi="Calibri"/>
          <w:b/>
          <w:bCs/>
          <w:sz w:val="20"/>
          <w:szCs w:val="20"/>
        </w:rPr>
        <w:t xml:space="preserve">Reference-implementation vs idealised architecture. </w:t>
      </w:r>
      <w:r>
        <w:rPr>
          <w:rFonts w:ascii="Calibri" w:cs="Calibri" w:eastAsia="Calibri" w:hAnsi="Calibri"/>
          <w:sz w:val="20"/>
          <w:szCs w:val="20"/>
        </w:rPr>
        <w:t xml:space="preserve">The released S2 engine is a compact analytical proxy of the architecture described in Section 3, not a trained neural network. It uses fixed prototype logits (no gradient training, no dropout, no Monte-Carlo integration), classifies each dwell independently (no sliding-window temporal attention), and associates greedily. Three consequences were measured and must be disclosed: (i) the classifier is under-confident, so temperature scaling raises rather than lowers ECE; (ii) the semantic association factor and the tempering coefficient γ are near-inert; (iii) covariance inflation ζ, not semantics, is the dominant tracking mechanism. The manuscript’s mechanism narrative should either be qualified accordingly or supported by an upgraded implementation.</w:t>
      </w:r>
    </w:p>
    <w:p>
      <w:pPr>
        <w:spacing w:after="120" w:line="264"/>
      </w:pPr>
      <w:r>
        <w:rPr>
          <w:rFonts w:ascii="Calibri" w:cs="Calibri" w:eastAsia="Calibri" w:hAnsi="Calibri"/>
          <w:b/>
          <w:bCs/>
          <w:sz w:val="20"/>
          <w:szCs w:val="20"/>
        </w:rPr>
        <w:t xml:space="preserve">Simulation-to-reality gap. </w:t>
      </w:r>
      <w:r>
        <w:rPr>
          <w:rFonts w:ascii="Calibri" w:cs="Calibri" w:eastAsia="Calibri" w:hAnsi="Calibri"/>
          <w:sz w:val="20"/>
          <w:szCs w:val="20"/>
        </w:rPr>
        <w:t xml:space="preserve">All results are obtained in the digital twin; absolute figures are an upper bound and the transferable content is the relative ordering. Labels are exact by construction (no label-noise robustness demonstrated), and the paired tests, though multiplicity-corrected, are computed over one generative model, so the effective number of independent samples is smaller than the nominal scenario count.</w:t>
      </w:r>
    </w:p>
    <w:p>
      <w:pPr>
        <w:pStyle w:val="Heading1"/>
        <w:spacing w:after="110" w:before="220"/>
      </w:pPr>
      <w:r>
        <w:rPr>
          <w:rFonts w:ascii="Calibri" w:cs="Calibri" w:eastAsia="Calibri" w:hAnsi="Calibri"/>
        </w:rPr>
        <w:t xml:space="preserve">18. Values transferred to the manuscript</w:t>
      </w:r>
    </w:p>
    <w:p>
      <w:pPr>
        <w:spacing w:after="120" w:line="264"/>
      </w:pPr>
      <w:r>
        <w:rPr>
          <w:rFonts w:ascii="Calibri" w:cs="Calibri" w:eastAsia="Calibri" w:hAnsi="Calibri"/>
          <w:sz w:val="20"/>
          <w:szCs w:val="20"/>
        </w:rPr>
        <w:t xml:space="preserve">The following values (identical in abstract, Section 5, conclusion and the corresponding tables) were written into the manuscript in place of the [TO BE FILLED] markers:</w:t>
      </w:r>
    </w:p>
    <w:tbl>
      <w:tblPr>
        <w:tblW w:type="dxa" w:w="9020"/>
        <w:tblBorders>
          <w:top w:val="single" w:color="8AA0C0" w:sz="4"/>
          <w:left w:val="single" w:color="8AA0C0" w:sz="4"/>
          <w:bottom w:val="single" w:color="8AA0C0" w:sz="4"/>
          <w:right w:val="single" w:color="8AA0C0" w:sz="4"/>
          <w:insideH w:val="single" w:color="C8D4E6" w:sz="2"/>
          <w:insideV w:val="single" w:color="C8D4E6" w:sz="2"/>
        </w:tblBorders>
      </w:tblPr>
      <w:tblGrid>
        <w:gridCol w:w="4100"/>
        <w:gridCol w:w="2460"/>
        <w:gridCol w:w="2460"/>
      </w:tblGrid>
      <w:tr>
        <w:trPr>
          <w:tblHeader/>
        </w:trPr>
        <w:tc>
          <w:tcPr>
            <w:tcW w:type="dxa" w:w="4100"/>
            <w:shd w:fill="1F4E8C" w:val="clear"/>
            <w:tcMar>
              <w:top w:type="dxa" w:w="40"/>
              <w:left w:type="dxa" w:w="70"/>
              <w:bottom w:type="dxa" w:w="40"/>
              <w:right w:type="dxa" w:w="70"/>
            </w:tcMar>
          </w:tcPr>
          <w:p>
            <w:pPr>
              <w:spacing w:after="0" w:line="230"/>
              <w:jc w:val="left"/>
            </w:pPr>
            <w:r>
              <w:rPr>
                <w:rFonts w:ascii="Calibri" w:cs="Calibri" w:eastAsia="Calibri" w:hAnsi="Calibri"/>
                <w:b/>
                <w:bCs/>
                <w:color w:val="FFFFFF"/>
                <w:sz w:val="15"/>
                <w:szCs w:val="15"/>
              </w:rPr>
              <w:t xml:space="preserve">Field</w:t>
            </w:r>
          </w:p>
        </w:tc>
        <w:tc>
          <w:tcPr>
            <w:tcW w:type="dxa" w:w="246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Value</w:t>
            </w:r>
          </w:p>
        </w:tc>
        <w:tc>
          <w:tcPr>
            <w:tcW w:type="dxa" w:w="2460"/>
            <w:shd w:fill="1F4E8C" w:val="clear"/>
            <w:tcMar>
              <w:top w:type="dxa" w:w="40"/>
              <w:left w:type="dxa" w:w="70"/>
              <w:bottom w:type="dxa" w:w="40"/>
              <w:right w:type="dxa" w:w="70"/>
            </w:tcMar>
          </w:tcPr>
          <w:p>
            <w:pPr>
              <w:spacing w:after="0" w:line="230"/>
              <w:jc w:val="center"/>
            </w:pPr>
            <w:r>
              <w:rPr>
                <w:rFonts w:ascii="Calibri" w:cs="Calibri" w:eastAsia="Calibri" w:hAnsi="Calibri"/>
                <w:b/>
                <w:bCs/>
                <w:color w:val="FFFFFF"/>
                <w:sz w:val="15"/>
                <w:szCs w:val="15"/>
              </w:rPr>
              <w:t xml:space="preserve">Provenance</w:t>
            </w:r>
          </w:p>
        </w:tc>
      </w:tr>
      <w:tr>
        <w:trPr>
          <w:tblHeader w:val="false"/>
        </w:trPr>
        <w:tc>
          <w:tcPr>
            <w:tcW w:type="dxa" w:w="4100"/>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Detection probability</w:t>
            </w:r>
          </w:p>
        </w:tc>
        <w:tc>
          <w:tcPr>
            <w:tcW w:type="dxa" w:w="246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60.1%</w:t>
            </w:r>
          </w:p>
        </w:tc>
        <w:tc>
          <w:tcPr>
            <w:tcW w:type="dxa" w:w="246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4100"/>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Macro-F1</w:t>
            </w:r>
          </w:p>
        </w:tc>
        <w:tc>
          <w:tcPr>
            <w:tcW w:type="dxa" w:w="246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0.826 ± 0.010</w:t>
            </w:r>
          </w:p>
        </w:tc>
        <w:tc>
          <w:tcPr>
            <w:tcW w:type="dxa" w:w="246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4100"/>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ECE</w:t>
            </w:r>
          </w:p>
        </w:tc>
        <w:tc>
          <w:tcPr>
            <w:tcW w:type="dxa" w:w="246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0.207</w:t>
            </w:r>
          </w:p>
        </w:tc>
        <w:tc>
          <w:tcPr>
            <w:tcW w:type="dxa" w:w="246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4100"/>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False-alarm reduction vs strongest baseline</w:t>
            </w:r>
          </w:p>
        </w:tc>
        <w:tc>
          <w:tcPr>
            <w:tcW w:type="dxa" w:w="246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16.7%</w:t>
            </w:r>
          </w:p>
        </w:tc>
        <w:tc>
          <w:tcPr>
            <w:tcW w:type="dxa" w:w="246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emulated (provisional)</w:t>
            </w:r>
          </w:p>
        </w:tc>
      </w:tr>
      <w:tr>
        <w:trPr>
          <w:tblHeader w:val="false"/>
        </w:trPr>
        <w:tc>
          <w:tcPr>
            <w:tcW w:type="dxa" w:w="4100"/>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Fragmentation reduction vs strongest baseline</w:t>
            </w:r>
          </w:p>
        </w:tc>
        <w:tc>
          <w:tcPr>
            <w:tcW w:type="dxa" w:w="246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33.3%</w:t>
            </w:r>
          </w:p>
        </w:tc>
        <w:tc>
          <w:tcPr>
            <w:tcW w:type="dxa" w:w="246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emulated (provisional)</w:t>
            </w:r>
          </w:p>
        </w:tc>
      </w:tr>
      <w:tr>
        <w:trPr>
          <w:tblHeader w:val="false"/>
        </w:trPr>
        <w:tc>
          <w:tcPr>
            <w:tcW w:type="dxa" w:w="4100"/>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MOTA / IDF1</w:t>
            </w:r>
          </w:p>
        </w:tc>
        <w:tc>
          <w:tcPr>
            <w:tcW w:type="dxa" w:w="246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30.6% / 70.6%</w:t>
            </w:r>
          </w:p>
        </w:tc>
        <w:tc>
          <w:tcPr>
            <w:tcW w:type="dxa" w:w="246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4100"/>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RMSE</w:t>
            </w:r>
          </w:p>
        </w:tc>
        <w:tc>
          <w:tcPr>
            <w:tcW w:type="dxa" w:w="246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15.85 m</w:t>
            </w:r>
          </w:p>
        </w:tc>
        <w:tc>
          <w:tcPr>
            <w:tcW w:type="dxa" w:w="2460"/>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r>
        <w:trPr>
          <w:tblHeader w:val="false"/>
        </w:trPr>
        <w:tc>
          <w:tcPr>
            <w:tcW w:type="dxa" w:w="4100"/>
            <w:shd w:fill="EEF3FA" w:val="clear"/>
            <w:tcMar>
              <w:top w:type="dxa" w:w="40"/>
              <w:left w:type="dxa" w:w="70"/>
              <w:bottom w:type="dxa" w:w="40"/>
              <w:right w:type="dxa" w:w="70"/>
            </w:tcMar>
          </w:tcPr>
          <w:p>
            <w:pPr>
              <w:spacing w:after="0" w:line="230"/>
              <w:jc w:val="left"/>
            </w:pPr>
            <w:r>
              <w:rPr>
                <w:rFonts w:ascii="Calibri" w:cs="Calibri" w:eastAsia="Calibri" w:hAnsi="Calibri"/>
                <w:b w:val="false"/>
                <w:bCs w:val="false"/>
                <w:color w:val="000000"/>
                <w:sz w:val="15"/>
                <w:szCs w:val="15"/>
              </w:rPr>
              <w:t xml:space="preserve">Max simultaneous targets (real-time)</w:t>
            </w:r>
          </w:p>
        </w:tc>
        <w:tc>
          <w:tcPr>
            <w:tcW w:type="dxa" w:w="246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≥24 measured; ~10⁵ extrapolated</w:t>
            </w:r>
          </w:p>
        </w:tc>
        <w:tc>
          <w:tcPr>
            <w:tcW w:type="dxa" w:w="2460"/>
            <w:shd w:fill="EEF3FA" w:val="clear"/>
            <w:tcMar>
              <w:top w:type="dxa" w:w="40"/>
              <w:left w:type="dxa" w:w="70"/>
              <w:bottom w:type="dxa" w:w="40"/>
              <w:right w:type="dxa" w:w="70"/>
            </w:tcMar>
          </w:tcPr>
          <w:p>
            <w:pPr>
              <w:spacing w:after="0" w:line="230"/>
              <w:jc w:val="center"/>
            </w:pPr>
            <w:r>
              <w:rPr>
                <w:rFonts w:ascii="Calibri" w:cs="Calibri" w:eastAsia="Calibri" w:hAnsi="Calibri"/>
                <w:b w:val="false"/>
                <w:bCs w:val="false"/>
                <w:color w:val="000000"/>
                <w:sz w:val="15"/>
                <w:szCs w:val="15"/>
              </w:rPr>
              <w:t xml:space="preserve">measured</w:t>
            </w:r>
          </w:p>
        </w:tc>
      </w:tr>
    </w:tbl>
    <w:p>
      <w:pPr>
        <w:spacing w:after="160"/>
        <w:jc w:val="center"/>
      </w:pPr>
      <w:r>
        <w:rPr>
          <w:rFonts w:ascii="Calibri" w:cs="Calibri" w:eastAsia="Calibri" w:hAnsi="Calibri"/>
          <w:i/>
          <w:iCs/>
          <w:color w:val="555555"/>
          <w:sz w:val="16"/>
          <w:szCs w:val="16"/>
        </w:rPr>
        <w:t xml:space="preserve">Table 18a. Headline values and their provenance.</w:t>
      </w:r>
    </w:p>
    <w:p>
      <w:pPr>
        <w:pStyle w:val="Heading1"/>
        <w:spacing w:after="110" w:before="220"/>
      </w:pPr>
      <w:r>
        <w:rPr>
          <w:rFonts w:ascii="Calibri" w:cs="Calibri" w:eastAsia="Calibri" w:hAnsi="Calibri"/>
        </w:rPr>
        <w:t xml:space="preserve">19. Reproducibility checklist (task §17)</w:t>
      </w:r>
    </w:p>
    <w:p>
      <w:pPr>
        <w:pStyle w:val="ListParagraph"/>
        <w:numPr>
          <w:ilvl w:val="0"/>
          <w:numId w:val="1"/>
        </w:numPr>
        <w:spacing w:after="60" w:line="252"/>
      </w:pPr>
      <w:r>
        <w:rPr>
          <w:rFonts w:ascii="Calibri" w:cs="Calibri" w:eastAsia="Calibri" w:hAnsi="Calibri"/>
          <w:b/>
          <w:bCs/>
          <w:sz w:val="20"/>
          <w:szCs w:val="20"/>
        </w:rPr>
        <w:t xml:space="preserve">No demo/fallback data: </w:t>
      </w:r>
      <w:r>
        <w:rPr>
          <w:rFonts w:ascii="Calibri" w:cs="Calibri" w:eastAsia="Calibri" w:hAnsi="Calibri"/>
          <w:sz w:val="20"/>
          <w:szCs w:val="20"/>
        </w:rPr>
        <w:t xml:space="preserve">PASS — S3 reported “input: S1+S2 result files” on every run; fallback path never taken.</w:t>
      </w:r>
    </w:p>
    <w:p>
      <w:pPr>
        <w:pStyle w:val="ListParagraph"/>
        <w:numPr>
          <w:ilvl w:val="0"/>
          <w:numId w:val="1"/>
        </w:numPr>
        <w:spacing w:after="60" w:line="252"/>
      </w:pPr>
      <w:r>
        <w:rPr>
          <w:rFonts w:ascii="Calibri" w:cs="Calibri" w:eastAsia="Calibri" w:hAnsi="Calibri"/>
          <w:b/>
          <w:bCs/>
          <w:sz w:val="20"/>
          <w:szCs w:val="20"/>
        </w:rPr>
        <w:t xml:space="preserve">No scenario leakage between folds: </w:t>
      </w:r>
      <w:r>
        <w:rPr>
          <w:rFonts w:ascii="Calibri" w:cs="Calibri" w:eastAsia="Calibri" w:hAnsi="Calibri"/>
          <w:sz w:val="20"/>
          <w:szCs w:val="20"/>
        </w:rPr>
        <w:t xml:space="preserve">PASS — hash split verified pairwise-disjoint for all 30 seeds.</w:t>
      </w:r>
    </w:p>
    <w:p>
      <w:pPr>
        <w:pStyle w:val="ListParagraph"/>
        <w:numPr>
          <w:ilvl w:val="0"/>
          <w:numId w:val="1"/>
        </w:numPr>
        <w:spacing w:after="60" w:line="252"/>
      </w:pPr>
      <w:r>
        <w:rPr>
          <w:rFonts w:ascii="Calibri" w:cs="Calibri" w:eastAsia="Calibri" w:hAnsi="Calibri"/>
          <w:b/>
          <w:bCs/>
          <w:sz w:val="20"/>
          <w:szCs w:val="20"/>
        </w:rPr>
        <w:t xml:space="preserve">Row-count consistency S1/S2/S3: </w:t>
      </w:r>
      <w:r>
        <w:rPr>
          <w:rFonts w:ascii="Calibri" w:cs="Calibri" w:eastAsia="Calibri" w:hAnsi="Calibri"/>
          <w:sz w:val="20"/>
          <w:szCs w:val="20"/>
        </w:rPr>
        <w:t xml:space="preserve">PASS — measurements = classifications rows each seed; truth and track rows logged.</w:t>
      </w:r>
    </w:p>
    <w:p>
      <w:pPr>
        <w:pStyle w:val="ListParagraph"/>
        <w:numPr>
          <w:ilvl w:val="0"/>
          <w:numId w:val="1"/>
        </w:numPr>
        <w:spacing w:after="60" w:line="252"/>
      </w:pPr>
      <w:r>
        <w:rPr>
          <w:rFonts w:ascii="Calibri" w:cs="Calibri" w:eastAsia="Calibri" w:hAnsi="Calibri"/>
          <w:b/>
          <w:bCs/>
          <w:sz w:val="20"/>
          <w:szCs w:val="20"/>
        </w:rPr>
        <w:t xml:space="preserve">Identical seeds in manifest: </w:t>
      </w:r>
      <w:r>
        <w:rPr>
          <w:rFonts w:ascii="Calibri" w:cs="Calibri" w:eastAsia="Calibri" w:hAnsi="Calibri"/>
          <w:sz w:val="20"/>
          <w:szCs w:val="20"/>
        </w:rPr>
        <w:t xml:space="preserve">PASS — 20260730–20260759 recorded in manifest and checksums.</w:t>
      </w:r>
    </w:p>
    <w:p>
      <w:pPr>
        <w:pStyle w:val="ListParagraph"/>
        <w:numPr>
          <w:ilvl w:val="0"/>
          <w:numId w:val="1"/>
        </w:numPr>
        <w:spacing w:after="60" w:line="252"/>
      </w:pPr>
      <w:r>
        <w:rPr>
          <w:rFonts w:ascii="Calibri" w:cs="Calibri" w:eastAsia="Calibri" w:hAnsi="Calibri"/>
          <w:b/>
          <w:bCs/>
          <w:sz w:val="20"/>
          <w:szCs w:val="20"/>
        </w:rPr>
        <w:t xml:space="preserve">Reproducible with fixed configuration: </w:t>
      </w:r>
      <w:r>
        <w:rPr>
          <w:rFonts w:ascii="Calibri" w:cs="Calibri" w:eastAsia="Calibri" w:hAnsi="Calibri"/>
          <w:sz w:val="20"/>
          <w:szCs w:val="20"/>
        </w:rPr>
        <w:t xml:space="preserve">PASS — deterministic given seed; 30 checksummed corpora.</w:t>
      </w:r>
    </w:p>
    <w:p>
      <w:pPr>
        <w:pStyle w:val="ListParagraph"/>
        <w:numPr>
          <w:ilvl w:val="0"/>
          <w:numId w:val="1"/>
        </w:numPr>
        <w:spacing w:after="60" w:line="252"/>
      </w:pPr>
      <w:r>
        <w:rPr>
          <w:rFonts w:ascii="Calibri" w:cs="Calibri" w:eastAsia="Calibri" w:hAnsi="Calibri"/>
          <w:b/>
          <w:bCs/>
          <w:sz w:val="20"/>
          <w:szCs w:val="20"/>
        </w:rPr>
        <w:t xml:space="preserve">relative-improvement formula correct: </w:t>
      </w:r>
      <w:r>
        <w:rPr>
          <w:rFonts w:ascii="Calibri" w:cs="Calibri" w:eastAsia="Calibri" w:hAnsi="Calibri"/>
          <w:sz w:val="20"/>
          <w:szCs w:val="20"/>
        </w:rPr>
        <w:t xml:space="preserve">PASS — (baseline−ours)/baseline×100; provisional where baseline emulated.</w:t>
      </w:r>
    </w:p>
    <w:p>
      <w:pPr>
        <w:pStyle w:val="ListParagraph"/>
        <w:numPr>
          <w:ilvl w:val="0"/>
          <w:numId w:val="1"/>
        </w:numPr>
        <w:spacing w:after="60" w:line="252"/>
      </w:pPr>
      <w:r>
        <w:rPr>
          <w:rFonts w:ascii="Calibri" w:cs="Calibri" w:eastAsia="Calibri" w:hAnsi="Calibri"/>
          <w:b/>
          <w:bCs/>
          <w:sz w:val="20"/>
          <w:szCs w:val="20"/>
        </w:rPr>
        <w:t xml:space="preserve">Metrics identical across CSV / LaTeX / manuscript: </w:t>
      </w:r>
      <w:r>
        <w:rPr>
          <w:rFonts w:ascii="Calibri" w:cs="Calibri" w:eastAsia="Calibri" w:hAnsi="Calibri"/>
          <w:sz w:val="20"/>
          <w:szCs w:val="20"/>
        </w:rPr>
        <w:t xml:space="preserve">PASS — all derived from tables/results.json.</w:t>
      </w:r>
    </w:p>
    <w:p>
      <w:pPr>
        <w:pStyle w:val="ListParagraph"/>
        <w:numPr>
          <w:ilvl w:val="0"/>
          <w:numId w:val="1"/>
        </w:numPr>
        <w:spacing w:after="60" w:line="252"/>
      </w:pPr>
      <w:r>
        <w:rPr>
          <w:rFonts w:ascii="Calibri" w:cs="Calibri" w:eastAsia="Calibri" w:hAnsi="Calibri"/>
          <w:b/>
          <w:bCs/>
          <w:sz w:val="20"/>
          <w:szCs w:val="20"/>
        </w:rPr>
        <w:t xml:space="preserve">No hand-invented numbers: </w:t>
      </w:r>
      <w:r>
        <w:rPr>
          <w:rFonts w:ascii="Calibri" w:cs="Calibri" w:eastAsia="Calibri" w:hAnsi="Calibri"/>
          <w:sz w:val="20"/>
          <w:szCs w:val="20"/>
        </w:rPr>
        <w:t xml:space="preserve">PASS for measured cells; emulated cells traceable to the documented model and labelled.</w:t>
      </w:r>
    </w:p>
    <w:p>
      <w:pPr>
        <w:pStyle w:val="Heading1"/>
        <w:spacing w:after="110" w:before="220"/>
      </w:pPr>
      <w:r>
        <w:rPr>
          <w:rFonts w:ascii="Calibri" w:cs="Calibri" w:eastAsia="Calibri" w:hAnsi="Calibri"/>
        </w:rPr>
        <w:t xml:space="preserve">20. Archive contents</w:t>
      </w:r>
    </w:p>
    <w:p>
      <w:pPr>
        <w:spacing w:after="120" w:line="264"/>
      </w:pPr>
      <w:r>
        <w:rPr>
          <w:rFonts w:ascii="Calibri" w:cs="Calibri" w:eastAsia="Calibri" w:hAnsi="Calibri"/>
          <w:sz w:val="20"/>
          <w:szCs w:val="20"/>
        </w:rPr>
        <w:t xml:space="preserve">src/ (S1–S3 sources, ablation/timed variants, analysis scripts); build/ (binaries); runs/ (reference corpus, per-seed metric files, aggregate, checksums, stratified data); tables/ (all CSV + LaTeX); figures/ (SVG + PNG for Figures 3–8); manifest/ (split manifest, checksums); manuscript/ (filled manuscript). This appendix and results.json make every number regenerable by re-running the pipeline with the recorded seeds.</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8d38bed2b7c6e4985e375e3bccc32572299cab.png"/><Relationship Id="rId8" Type="http://schemas.openxmlformats.org/officeDocument/2006/relationships/image" Target="media/2d6bbd0e3acf9a289539829281cf4dfa5a5ca882.png"/><Relationship Id="rId9" Type="http://schemas.openxmlformats.org/officeDocument/2006/relationships/image" Target="media/7ba63ff9e8ac57595fc4c55a6e78bdc9dcb2e24f.png"/><Relationship Id="rId10" Type="http://schemas.openxmlformats.org/officeDocument/2006/relationships/image" Target="media/eef42cdb785debfcc56ebca8e62fc7a3c8d04127.png"/><Relationship Id="rId11" Type="http://schemas.openxmlformats.org/officeDocument/2006/relationships/image" Target="media/17a02417c583a3a92342c515b4570acde4805148.png"/><Relationship Id="rId12" Type="http://schemas.openxmlformats.org/officeDocument/2006/relationships/image" Target="media/b147e4030df1a7fe49883c973db509bc7931ef3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2026-07-30T09:11:30.665Z</dcterms:created>
  <dcterms:modified xsi:type="dcterms:W3CDTF">2026-07-30T09:11:30.665Z</dcterms:modified>
</cp:coreProperties>
</file>

<file path=docProps/custom.xml><?xml version="1.0" encoding="utf-8"?>
<Properties xmlns="http://schemas.openxmlformats.org/officeDocument/2006/custom-properties" xmlns:vt="http://schemas.openxmlformats.org/officeDocument/2006/docPropsVTypes"/>
</file>