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rFonts w:ascii="Times New Roman" w:cs="Times New Roman" w:eastAsia="Times New Roman" w:hAnsi="Times New Roman"/>
          <w:b/>
          <w:bCs/>
          <w:sz w:val="28"/>
          <w:szCs w:val="28"/>
        </w:rPr>
        <w:t xml:space="preserve">ВІДПОВІДЬ</w:t>
      </w:r>
    </w:p>
    <w:p>
      <w:pPr>
        <w:spacing w:after="0" w:before="0" w:line="360"/>
        <w:jc w:val="center"/>
      </w:pPr>
      <w:r>
        <w:rPr>
          <w:rFonts w:ascii="Times New Roman" w:cs="Times New Roman" w:eastAsia="Times New Roman" w:hAnsi="Times New Roman"/>
          <w:b w:val="false"/>
          <w:bCs w:val="false"/>
          <w:sz w:val="28"/>
          <w:szCs w:val="28"/>
        </w:rPr>
        <w:t xml:space="preserve">здобувача ступеня доктора філософії Івчука Віктора Михайловича на зауваження офіційного опонента, доктора наук з державного управління, професора Шевчук Інни Володимирівни, щодо дисертації «Механізми реалізації публічної політики реінтеграції звільнених оборонців України: національний та міжнародні підходи», поданої на здобуття ступеня доктора філософії за спеціальністю 281 – Публічне управління та адміністрування</w:t>
      </w:r>
    </w:p>
    <w:p>
      <w:pPr>
        <w:spacing w:after="0" w:before="0" w:line="360"/>
      </w:pPr>
      <w:r>
        <w:rPr>
          <w:rFonts w:ascii="Times New Roman" w:cs="Times New Roman" w:eastAsia="Times New Roman" w:hAnsi="Times New Roman"/>
          <w:sz w:val="28"/>
          <w:szCs w:val="28"/>
        </w:rPr>
        <w:t xml:space="preserve"/>
      </w:r>
    </w:p>
    <w:p>
      <w:pPr>
        <w:spacing w:after="120" w:before="0" w:line="360"/>
        <w:jc w:val="center"/>
      </w:pPr>
      <w:r>
        <w:rPr>
          <w:rFonts w:ascii="Times New Roman" w:cs="Times New Roman" w:eastAsia="Times New Roman" w:hAnsi="Times New Roman"/>
          <w:b/>
          <w:bCs/>
          <w:sz w:val="28"/>
          <w:szCs w:val="28"/>
        </w:rPr>
        <w:t xml:space="preserve">Шановна Інно Володимирівно!</w:t>
      </w:r>
    </w:p>
    <w:p>
      <w:pPr>
        <w:spacing w:after="0" w:before="0" w:line="360"/>
        <w:ind w:firstLine="709"/>
        <w:jc w:val="both"/>
      </w:pPr>
      <w:r>
        <w:rPr>
          <w:rFonts w:ascii="Times New Roman" w:cs="Times New Roman" w:eastAsia="Times New Roman" w:hAnsi="Times New Roman"/>
          <w:sz w:val="28"/>
          <w:szCs w:val="28"/>
        </w:rPr>
        <w:t xml:space="preserve">Насамперед хочу щиро подякувати Вам за ту увагу, з якою Ви прочитали мою дисертацію, і за той час, який Ви присвятили її глибокому аналізу. Для мене як для здобувача надзвичайно цінно, що Ваші зауваження стосуються не другорядних формальних моментів, а самої суті механізмів публічного управління: підзвітності, рівності доступу, використання результатів моніторингу, участі людини в оцінюванні послуг та управлінської завершеності запропонованих рішень. Я сприймаю їх не як перелік недоліків, а як професійну підказку щодо того, у якому напрямі варто розвивати дослідження далі. Дозвольте відповісти на кожне з них послідовно, пояснивши, що вже закладено в роботі, у чому я з Вами повністю погоджуюся та як бачу подальше уточнення своїх пропозицій.</w:t>
      </w:r>
    </w:p>
    <w:p>
      <w:pPr>
        <w:spacing w:after="0" w:before="0" w:line="360"/>
        <w:ind w:firstLine="709"/>
        <w:jc w:val="both"/>
      </w:pPr>
      <w:r>
        <w:rPr>
          <w:rFonts w:ascii="Times New Roman" w:cs="Times New Roman" w:eastAsia="Times New Roman" w:hAnsi="Times New Roman"/>
          <w:sz w:val="28"/>
          <w:szCs w:val="28"/>
        </w:rPr>
        <w:t xml:space="preserve">Щодо першого зауваження, яке стосується міжвідомчого координаційного контуру та матриці RACI у підрозділі 3.1, хочу сказати, що Ви точно вказали на найчутливіше місце будь-якої моделі координації. Розподілити ролі на папері відносно нескладно; набагато складніше відповісти на питання, що відбувається тоді, коли установи не погоджуються між собою, коли строк порушено або коли погоджене рішення не виконується. У роботі я намагався закласти основу для такої відповіді. Я розмежував три види відповідальності: політичну підзвітність уряду за загальну результативність і міжвідомчу узгодженість, адміністративну відповідальність центральних органів виконавчої влади за організацію процесів і коригування підвідомчих процедур, а також сервісну відповідальність надавачів за доступність і якість конкретної допомоги. У матриці RACI для кожного ключового процесу визначено один суб’єкт підсумкової відповідальності, а міжвідомчій координаційній групі свідомо відведено дорадчо-координаційну роль. Окремо в тексті та в додатку М закріплено правило, за яким передавання справи вважається завершеним лише тоді, коли новий відповідальний суб’єкт підтвердив її прийняття, а відсутність такого підтвердження розглядається як незавершений перехід, що потребує управлінської реакції.</w:t>
      </w:r>
    </w:p>
    <w:p>
      <w:pPr>
        <w:spacing w:after="0" w:before="0" w:line="360"/>
        <w:ind w:firstLine="709"/>
        <w:jc w:val="both"/>
      </w:pPr>
      <w:r>
        <w:rPr>
          <w:rFonts w:ascii="Times New Roman" w:cs="Times New Roman" w:eastAsia="Times New Roman" w:hAnsi="Times New Roman"/>
          <w:sz w:val="28"/>
          <w:szCs w:val="28"/>
        </w:rPr>
        <w:t xml:space="preserve">Водночас я погоджуюся, що механізм врегулювання міжвідомчої незгоди та реагування на порушення строків у роботі описано радше як принцип, ніж як завершена процедура. Уточнюючи свою позицію, я бачу його так. Розбіжність, яка виникла на рівні конкретного маршруту, насамперед має вирішувати той суб’єкт, який за матрицею відповідає за кінцевий результат відповідного процесу, у межах власних повноважень і в установлений строк. Якщо цього не вдалося зробити, питання передається на регіональний рівень координації, а далі до міжвідомчої координаційної групи, яка фіксує суть розбіжності, позиції сторін і готує пропозицію рішення. Обов’язкове ж рішення може ухвалювати лише орган, що має відповідні повноваження за законом: профільний центральний орган виконавчої влади, якщо питання лежить у межах його компетенції, Координаційний штаб у межах визначеного йому мандату, або Кабінет Міністрів України, коли спір зачіпає кілька відомств і не може бути розв’язаний на нижчому рівні. Я свідомо не наділяв координаційну групу владними повноваженнями, оскільки це означало б фактичне створення нового органу, а метою моделі було саме упорядкування взаємодії наявних суб’єктів без паралельної вертикалі управління.</w:t>
      </w:r>
    </w:p>
    <w:p>
      <w:pPr>
        <w:spacing w:after="0" w:before="0" w:line="360"/>
        <w:ind w:firstLine="709"/>
        <w:jc w:val="both"/>
      </w:pPr>
      <w:r>
        <w:rPr>
          <w:rFonts w:ascii="Times New Roman" w:cs="Times New Roman" w:eastAsia="Times New Roman" w:hAnsi="Times New Roman"/>
          <w:sz w:val="28"/>
          <w:szCs w:val="28"/>
        </w:rPr>
        <w:t xml:space="preserve">Реагування на порушення строків у такій логіці покладається на суб’єкта підсумкової відповідальності, до якого має надходити сигнал про прострочений перехід. Повторювані порушення вже не є індивідуальною проблемою, тому вони стають предметом розгляду на вищому рівні і відображаються в показнику своєчасності міжвідомчих запитів та в показнику управлінських рішень, ухвалених за результатами моніторингу. Контроль виконання погоджених рішень, на мою думку, має забезпечуватися через протокол, у якому зазначено зміст рішення, відповідального, строк і показник, за яким можна переконатися у його виконанні, а стан виконання фіксується й переглядається на наступному засіданні. Саме такий ланцюг дає змогу перейти від функціонального розподілу ролей до того, що Ви дуже влучно назвали дієвою системою публічної підзвітності. Я вдячний Вам за це зауваження і вважаю за потрібне в подальших публікаціях окремо описати порядок ескалації та врегулювання міжвідомчих розбіжностей.</w:t>
      </w:r>
    </w:p>
    <w:p>
      <w:pPr>
        <w:spacing w:after="0" w:before="0" w:line="360"/>
        <w:ind w:firstLine="709"/>
        <w:jc w:val="both"/>
      </w:pPr>
      <w:r>
        <w:rPr>
          <w:rFonts w:ascii="Times New Roman" w:cs="Times New Roman" w:eastAsia="Times New Roman" w:hAnsi="Times New Roman"/>
          <w:sz w:val="28"/>
          <w:szCs w:val="28"/>
        </w:rPr>
        <w:t xml:space="preserve">Друге зауваження стосується запропонованої в підрозділі 2.2 типології громад і того, як оцінка доступності послуг має впливати на реальні управлінські рішення. Для мене територіальна нерівність є, без перебільшення, однією з найболючіших проблем, виявлених у дослідженні. Розрив між обласним центром і громадою з обмеженою сервісною інфраструктурою свідчить про те, що люди з однаковим правовим статусом фактично живуть у різних режимах доступу до гарантованих державою прав. Саме тому я не розглядав типологію як інструмент рейтингування громад. У підрозділі 3.5 прямо зазначено, що оцінювання готовності громад має на меті не виключити території з нижчою спроможністю, а визначити різний обсяг підтримки для них, зокрема через мобільні команди, спільних міжмуніципальних фахівців, додаткове навчання і ресурсний резерв. У ризик-реєстрі територіальна нерівність розглядається не як імовірна подія, а як уже наявна умова, що потребує адресного ресурсного вирівнювання.</w:t>
      </w:r>
    </w:p>
    <w:p>
      <w:pPr>
        <w:spacing w:after="0" w:before="0" w:line="360"/>
        <w:ind w:firstLine="709"/>
        <w:jc w:val="both"/>
      </w:pPr>
      <w:r>
        <w:rPr>
          <w:rFonts w:ascii="Times New Roman" w:cs="Times New Roman" w:eastAsia="Times New Roman" w:hAnsi="Times New Roman"/>
          <w:sz w:val="28"/>
          <w:szCs w:val="28"/>
        </w:rPr>
        <w:t xml:space="preserve">Поділяю Вашу думку, що зв’язок між результатами оцінювання і рішеннями державного та місцевого рівнів варто розкрити докладніше. Я бачу його так. Для центрального рівня низькі значення доступності мають ставати підставою для визначення пріоритетів підтримки, спрямування цільових ресурсів і кадрових програм у ті типи громад, де розрив найбільший. Для обласного рівня ці дані є орієнтиром для організації міжмуніципального співробітництва, коли кілька громад спільно утримують фахівця або мобільну команду, а також для перерозподілу навантаження між надавачами. Для самої громади результати оцінювання показують, які саме послуги в неї найменш доступні і де вона потребує допомоги ззовні, а не формальну позицію в загальному списку.</w:t>
      </w:r>
    </w:p>
    <w:p>
      <w:pPr>
        <w:spacing w:after="0" w:before="0" w:line="360"/>
        <w:ind w:firstLine="709"/>
        <w:jc w:val="both"/>
      </w:pPr>
      <w:r>
        <w:rPr>
          <w:rFonts w:ascii="Times New Roman" w:cs="Times New Roman" w:eastAsia="Times New Roman" w:hAnsi="Times New Roman"/>
          <w:sz w:val="28"/>
          <w:szCs w:val="28"/>
        </w:rPr>
        <w:t xml:space="preserve">Щодо співвідношення загальнодержавних гарантій і можливостей місцевого самоврядування, моя позиція полягає в тому, що гарантований рівень підтримки звільненого оборонця не може залежати від спроможності громади, у якій він проживає. Держава встановлює спільні правила і гарантії та відповідає за їх фактичне забезпечення, а громада має організаційний простір для вибору способів їх реалізації з урахуванням місцевих умов. Якщо громада об’єктивно не може забезпечити певну послугу, обов’язок держави від цього не зникає: він має виконуватися через регіональний рівень, сусідню громаду, мобільний формат або дистанційну допомогу. Так само, як держава не може перекладати свої гарантійні обов’язки на сім’ю, вона не може перекладати їх і на найслабші громади.</w:t>
      </w:r>
    </w:p>
    <w:p>
      <w:pPr>
        <w:spacing w:after="0" w:before="0" w:line="360"/>
        <w:ind w:firstLine="709"/>
        <w:jc w:val="both"/>
      </w:pPr>
      <w:r>
        <w:rPr>
          <w:rFonts w:ascii="Times New Roman" w:cs="Times New Roman" w:eastAsia="Times New Roman" w:hAnsi="Times New Roman"/>
          <w:sz w:val="28"/>
          <w:szCs w:val="28"/>
        </w:rPr>
        <w:t xml:space="preserve">Окремо хочу відповісти на Ваше застереження щодо модельного характеру оцінок. Ви абсолютно праві, і я прагнув чесно позначити це в тексті: значення інтегрального індексу отримано на основі експертного оцінювання з рівними вагами, тому вони відображають структуру проблеми, а не точні виміряні величини. Використовувати їх для безпосереднього розподілу публічних ресурсів без попередньої перевірки було б методологічно некоректно. Перед таким використанням, на мою думку, необхідно замінити експертні бали вимірюваними характеристиками, такими як час доїзду до найближчої послуги, наявність фахівців на певну кількість отримувачів і тривалість очікування; зіставити результати з адміністративними даними; перевірити, наскільки висновки змінюються за іншої системи ваг; обговорити отримані оцінки з представниками громад і перевірити їх у пілотних громадах. До завершення такої перевірки результати типології доречно використовувати лише для визначення того, на які території слід звернути першочергову увагу, і для початку діалогу з ними, але не для формульного розподілу коштів.</w:t>
      </w:r>
    </w:p>
    <w:p>
      <w:pPr>
        <w:spacing w:after="0" w:before="0" w:line="360"/>
        <w:ind w:firstLine="709"/>
        <w:jc w:val="both"/>
      </w:pPr>
      <w:r>
        <w:rPr>
          <w:rFonts w:ascii="Times New Roman" w:cs="Times New Roman" w:eastAsia="Times New Roman" w:hAnsi="Times New Roman"/>
          <w:sz w:val="28"/>
          <w:szCs w:val="28"/>
        </w:rPr>
        <w:t xml:space="preserve">Третє зауваження стосується організаційного механізму використання результатів моніторингу, викладеного в підрозділах 2.3 та 3.3. Я цілком згоден, що система показників сама по собі нічого не змінює, якщо незрозуміло, хто розглядає звіти, коли і на якій підставі ухвалюється рішення про перегляд програми. Саме тому в систему показників було включено метаіндикатор кількості управлінських рішень, ухвалених за результатами моніторингу, який вимірює не якість окремих заходів, а здатність системи виправляти себе. У роботі визначено, що сигнал про прострочений перехід має надходити суб’єкту, відповідальному за завершення процесу, повторювані проблеми громади мають передаватися на регіональний і центральний рівні, а системне погіршення якості даних має розглядати орган, що встановлює правила їх формування. Відповідальним за аналіз визначено аналітичний підрозділ секретаріату координаційної групи, а підсумкову підзвітність за моніторинг і коригування політики покладено на уряд. Для періоду пілоту запропоновано щомісячний робочий перегляд і щоквартальний спільний розгляд із представниками громад та отримувачів послуг.</w:t>
      </w:r>
    </w:p>
    <w:p>
      <w:pPr>
        <w:spacing w:after="0" w:before="0" w:line="360"/>
        <w:ind w:firstLine="709"/>
        <w:jc w:val="both"/>
      </w:pPr>
      <w:r>
        <w:rPr>
          <w:rFonts w:ascii="Times New Roman" w:cs="Times New Roman" w:eastAsia="Times New Roman" w:hAnsi="Times New Roman"/>
          <w:sz w:val="28"/>
          <w:szCs w:val="28"/>
        </w:rPr>
        <w:t xml:space="preserve">Підставою для ініціювання перегляду програми, як я її бачу, мають бути нетипове відхилення показника, виявлене засобами статистичного контролю процесу, стійкий розрив між типами громад або групами отримувачів, а також будь-яке критичне порушення прав людини чи безперервності гарантованої допомоги. Останнє повинно розглядатися невідкладно, а не в черговому звітному циклі. Для оцінювання пілотного інструменту в підрозділі 3.3 сформульовано правило рішення, яке не зводиться до вибору між поширенням і відмовою: стійке поліпшення без порушення прав дає підстави для наступної хвилі, невелика позитивна зміна за наявності процедурних проблем означає продовження й коригування пілоту, відсутність ефекту за належного впровадження або виявлена шкода означає припинення інструменту, а недостатня якість даних вимагає насамперед виправити облік і повторити оцінювання. Погоджуюся з Вами, що строки ухвалення коригувальних рішень і порядок контролю їх виконання варто було визначити чіткіше. Я вважаю доцільним, щоб кожне рішення фіксувалося з визначеним строком, відповідальним і показником виконання, а стан його реалізації обов’язково розглядався на наступному плановому засіданні.</w:t>
      </w:r>
    </w:p>
    <w:p>
      <w:pPr>
        <w:spacing w:after="0" w:before="0" w:line="360"/>
        <w:ind w:firstLine="709"/>
        <w:jc w:val="both"/>
      </w:pPr>
      <w:r>
        <w:rPr>
          <w:rFonts w:ascii="Times New Roman" w:cs="Times New Roman" w:eastAsia="Times New Roman" w:hAnsi="Times New Roman"/>
          <w:sz w:val="28"/>
          <w:szCs w:val="28"/>
        </w:rPr>
        <w:t xml:space="preserve">Ваша думка про потребу розмежувати результативність окремого надавача послуг і результативність міжвідомчої політики в цілому є для мене особливо важливою. Надавача доцільно оцінювати за тим, що перебуває в межах його впливу: своєчасністю та якістю власних дій, завершеністю прийнятих направлень, повнотою даних, а також результатами, скоригованими на складність потреб людей, з якими він працює. Результативність політики натомість проявляється на переходах між установами і на рівні території: у частці безперервних маршрутів, своєчасності міжвідомчих запитів, частці повторних нерозв’язаних звернень, розривах доступу між громадами та здатності системи ухвалювати коригувальні рішення. Змішування цих рівнів призводить або до того, що окремого надавача карають за системні прогалини, або до того, що системні вади приховуються за сумлінною роботою окремих виконавців.</w:t>
      </w:r>
    </w:p>
    <w:p>
      <w:pPr>
        <w:spacing w:after="0" w:before="0" w:line="360"/>
        <w:ind w:firstLine="709"/>
        <w:jc w:val="both"/>
      </w:pPr>
      <w:r>
        <w:rPr>
          <w:rFonts w:ascii="Times New Roman" w:cs="Times New Roman" w:eastAsia="Times New Roman" w:hAnsi="Times New Roman"/>
          <w:sz w:val="28"/>
          <w:szCs w:val="28"/>
        </w:rPr>
        <w:t xml:space="preserve">Щодо критеріїв успіху пілотування та умов масштабування, у підрозділах 3.3 і 3.5 визначено, що очікуваним результатом пілоту є насамперед працездатна процедура, а не заздалегідь проголошена ефективність: людина має визначеного відповідального, переходи фіксуються, повторний збір відомостей мінімізовано, частка перерваних маршрутів перебуває в прийнятних межах, критичних порушень прав і безпеки немає, а різні групи користувачів позитивно оцінюють доступність. Масштабування можливе лише після незалежного оцінювання результату, повної вартості, правомірності, кадрової спроможності й територіальної справедливості, і лише хвилями, які зберігають можливість подальшого порівняння. Я свідомо намагався в усьому тексті розмежовувати очікуване й підтверджене: порогові значення показників якості маршруту позначено як проєктні орієнтири, що підлягають перевірці в пілоті, а ілюстрація дизайну порівняння пілотних і зіставних громад прямо названа схематичною і не містить результатів експерименту. Утім, Ваше зауваження переконує мене, що це розмежування варто зробити ще помітнішим у висновках.</w:t>
      </w:r>
    </w:p>
    <w:p>
      <w:pPr>
        <w:spacing w:after="0" w:before="0" w:line="360"/>
        <w:ind w:firstLine="709"/>
        <w:jc w:val="both"/>
      </w:pPr>
      <w:r>
        <w:rPr>
          <w:rFonts w:ascii="Times New Roman" w:cs="Times New Roman" w:eastAsia="Times New Roman" w:hAnsi="Times New Roman"/>
          <w:sz w:val="28"/>
          <w:szCs w:val="28"/>
        </w:rPr>
        <w:t xml:space="preserve">Четверте зауваження стосується цифрового маршруту з підрозділу 3.2 як інструменту організації публічних послуг і взаємодії влади з людиною. Мені дуже близький Ваш підхід, адже я розглядав цифровий маршрут саме так: не як окрему інформаційну систему чи новий реєстр, а як організаційну підтримку безперервного супроводу людини, у якому цифрові засоби лише допомагають, але не замінюють професійного судження, особистої розмови та відповідальності органів влади. Щодо адміністративної відповідальності за повноту й актуальність відомостей, у роботі запропоновано зберігати персональні дані в первинних державних інформаційних ресурсах, а в маршруті використовувати лише підтвердження подій, статуси та посилання. З цього випливає, що за достовірність і актуальність самих відомостей відповідає володілець відповідного первинного ресурсу, фахівець супроводу відповідає за своєчасне внесення статусів на закріплених за ним етапах, а надавач послуги відповідає за фіксацію результату власної дії. Журнал обліку дій користувачів дає змогу встановити, хто, коли і на якій підставі вніс чи змінив відомості.</w:t>
      </w:r>
    </w:p>
    <w:p>
      <w:pPr>
        <w:spacing w:after="0" w:before="0" w:line="360"/>
        <w:ind w:firstLine="709"/>
        <w:jc w:val="both"/>
      </w:pPr>
      <w:r>
        <w:rPr>
          <w:rFonts w:ascii="Times New Roman" w:cs="Times New Roman" w:eastAsia="Times New Roman" w:hAnsi="Times New Roman"/>
          <w:sz w:val="28"/>
          <w:szCs w:val="28"/>
        </w:rPr>
        <w:t xml:space="preserve">Погоджуюся, що порядок виправлення помилок і розгляду звернень отримувачів допомоги потребує детальнішого опису. У роботі закріплено право людини знати, які відомості про неї використовуються, порядок їх виправлення та оскарження неправомірних дій, а також вимогу випробувати порядок розгляду скарг ще до першого звернення учасника пілоту. Розвиваючи цю думку, я вважаю, що звернення щодо помилки має прийматися будь-яким зручним для людини способом, зокрема особисто, телефоном або через центр надання адміністративних послуг, і реєструватися відповідальним фахівцем. Виправлення відомостей має здійснювати володілець первинного ресурсу у визначений строк, а якщо на підставі помилкових даних уже ухвалено рішення, його має переглянути той орган, який його ухвалив, із повідомленням людини про результат. За людиною зберігається право на адміністративне та судове оскарження. Особливо важливо, щоб людина не мусила самостійно доводити помилку держави, повторно відтворюючи травматичні обставини свого полону.</w:t>
      </w:r>
    </w:p>
    <w:p>
      <w:pPr>
        <w:spacing w:after="0" w:before="0" w:line="360"/>
        <w:ind w:firstLine="709"/>
        <w:jc w:val="both"/>
      </w:pPr>
      <w:r>
        <w:rPr>
          <w:rFonts w:ascii="Times New Roman" w:cs="Times New Roman" w:eastAsia="Times New Roman" w:hAnsi="Times New Roman"/>
          <w:sz w:val="28"/>
          <w:szCs w:val="28"/>
        </w:rPr>
        <w:t xml:space="preserve">Щодо участі звільнених оборонців, їхніх сімей і громадських організацій в оцінюванні якості супроводу, у роботі передбачено залучення представників цільової групи до погодження правил пілоту, щоквартального перегляду, визначення оплачуваних результатів і підсумкового оцінювання, а зворотний зв’язок отримувачів запропоновано враховувати нарівні з адміністративними показниками. Громадським і ветеранським організаціям відведено роль незалежного зворотного зв’язку та представлення інтересів отримувачів. Однак я погоджуюся з Вами, що цей напрям заслуговує на окреме розроблення, наприклад через постійну дорадчу участь представників звільнених оборонців і сімей у розгляді результатів моніторингу та через регулярне незалежне опитування досвіду отримувачів, результати якого мали б обов’язкові наслідки у вигляді управлінських рішень. Що стосується людей, які потребують особистого супроводу, то в роботі прямо зазначено, що цифровий канал обов’язково доповнюється телефонним зв’язком, особистим прийомом і роботою фахівця громади, а вибір нецифрового способу комунікації не може впливати на обсяг прав чи пріоритетність допомоги. Для мене це принципова позиція: цифровізація має розширювати доступ, а не створювати новий бар’єр для найбільш уразливих.</w:t>
      </w:r>
    </w:p>
    <w:p>
      <w:pPr>
        <w:spacing w:after="0" w:before="0" w:line="360"/>
        <w:ind w:firstLine="709"/>
        <w:jc w:val="both"/>
      </w:pPr>
      <w:r>
        <w:rPr>
          <w:rFonts w:ascii="Times New Roman" w:cs="Times New Roman" w:eastAsia="Times New Roman" w:hAnsi="Times New Roman"/>
          <w:sz w:val="28"/>
          <w:szCs w:val="28"/>
        </w:rPr>
        <w:t xml:space="preserve">П’яте зауваження стосується соціального замовлення та фінансування за результат, обґрунтованих у підрозділі 3.4. Хочу підкреслити, що в роботі ця модель запропонована обережно і лише як додатковий компонент змішаного фінансування. Базове утримання установ і гарантований мінімум послуг не можуть залежати від досягнення індивідуального результату, а змінна частина має бути обмеженою і запроваджуватися лише в пілоті після стабілізації показників. Я також прямо зазначив, що чинне законодавство не містить спеціальної моделі оплати за результат для реінтеграції звільнених оборонців, тому кожен елемент запропонованої схеми потребує правової експертизи.</w:t>
      </w:r>
    </w:p>
    <w:p>
      <w:pPr>
        <w:spacing w:after="0" w:before="0" w:line="360"/>
        <w:ind w:firstLine="709"/>
        <w:jc w:val="both"/>
      </w:pPr>
      <w:r>
        <w:rPr>
          <w:rFonts w:ascii="Times New Roman" w:cs="Times New Roman" w:eastAsia="Times New Roman" w:hAnsi="Times New Roman"/>
          <w:sz w:val="28"/>
          <w:szCs w:val="28"/>
        </w:rPr>
        <w:t xml:space="preserve">Щодо розподілу управлінських функцій, у моделі розмежовано роль публічного замовника, який визначає потребу, вимоги до доступності й якості, правила фінансування та захисту прав; роль надавача, який організовує допомогу та фіксує безпосередні результати; роль незалежного оцінювача, який перевіряє досягнення результату і якість даних, не втручаючись у професійні рішення фахівця; і роль самої людини та її сім’ї, які беруть участь у погодженні індивідуального плану. Погоджуюся, що функцію органу контролю варто виокремити ще чіткіше. На мою думку, зовнішній контроль за правомірністю й цільовим використанням коштів має здійснюватися органами державного фінансового контролю та аудиту в межах їхньої компетенції, і цей контроль не повинен змішуватися ні з функцією замовника, ні з функцією оцінювача результату. Саме поєднання в одних руках визначення показника, надання послуги і підтвердження власного результату створює найбільший ризик викривлення.</w:t>
      </w:r>
    </w:p>
    <w:p>
      <w:pPr>
        <w:spacing w:after="0" w:before="0" w:line="360"/>
        <w:ind w:firstLine="709"/>
        <w:jc w:val="both"/>
      </w:pPr>
      <w:r>
        <w:rPr>
          <w:rFonts w:ascii="Times New Roman" w:cs="Times New Roman" w:eastAsia="Times New Roman" w:hAnsi="Times New Roman"/>
          <w:sz w:val="28"/>
          <w:szCs w:val="28"/>
        </w:rPr>
        <w:t xml:space="preserve">Критерії якості, як зазначено в роботі, мають погоджуватися до укладення договору через паспорти показників за участі надавачів і представників цільової групи та однаково застосовуватися до всіх виконавців. Щодо реагування на невиконання зобов’язань, я виходив з того, що негативний результат сам по собі не є підставою для санкції, якщо надавач дотримався процедури, а невдача зумовлена обставинами поза його контролем. Водночас договір має передбачати вибіркову перевірку, виправлення помилок, повернення необґрунтованих виплат, незалежний розгляд скарг отримувачів і можливість зупинити змінну оплату в разі маніпулювання показниками.</w:t>
      </w:r>
    </w:p>
    <w:p>
      <w:pPr>
        <w:spacing w:after="0" w:before="0" w:line="360"/>
        <w:ind w:firstLine="709"/>
        <w:jc w:val="both"/>
      </w:pPr>
      <w:r>
        <w:rPr>
          <w:rFonts w:ascii="Times New Roman" w:cs="Times New Roman" w:eastAsia="Times New Roman" w:hAnsi="Times New Roman"/>
          <w:sz w:val="28"/>
          <w:szCs w:val="28"/>
        </w:rPr>
        <w:t xml:space="preserve">Ваше застереження щодо безперервності допомоги у разі зміни надавача є дуже слушним, і я визнаю, що окремо це питання в роботі не розглянуто. Відповідь на нього, як мені видається, випливає з логіки ведення випадку. Фахівець супроводу громади залишається єдиною точкою відповідальності для людини незалежно від того, який надавач виконує окрему послугу. Тому зміна надавача має оформлюватися як звичайний контрольований перехід: попередній виконавець передає результати й необхідні відомості, новий підтверджує прийняття справи, і лише після цього попередні зобов’язання вважаються виконаними. Договір соціального замовлення має містити обов’язок надавача забезпечити належне передавання справ у разі припинення договору, а замовник має заздалегідь передбачити резервний варіант надання послуги, щоб людина не опинилася без підтримки.</w:t>
      </w:r>
    </w:p>
    <w:p>
      <w:pPr>
        <w:spacing w:after="0" w:before="0" w:line="360"/>
        <w:ind w:firstLine="709"/>
        <w:jc w:val="both"/>
      </w:pPr>
      <w:r>
        <w:rPr>
          <w:rFonts w:ascii="Times New Roman" w:cs="Times New Roman" w:eastAsia="Times New Roman" w:hAnsi="Times New Roman"/>
          <w:sz w:val="28"/>
          <w:szCs w:val="28"/>
        </w:rPr>
        <w:t xml:space="preserve">Найбільше значення в цьому зауваженні я вбачаю в питанні узгодження стимулів до результативності з гарантіями підтримки складних випадків. Ризик відбору тих отримувачів, з якими простіше досягти показників, я вважаю найістотнішим ризиком фінансування за результат. Тому в роботі запропоновано обов’язок приймати направлення за прозорими правилами, коригування фінансової оцінки на складність потреб, окрему компенсацію витрат на складні випадки, контроль відмов і роздільне подання результатів за групами складності, щоб середній показник не приховував недофінансування найважчих випадків. Рішення про продовження пілоту має ухвалюватися з урахуванням територіальної справедливості та відсутності неприйнятних побічних стимулів. Для мене принципово, щоб механізм фінансування сприяв рівності доступу, а не перетворював людину зі складною долею на невигідного клієнта.</w:t>
      </w:r>
    </w:p>
    <w:p>
      <w:pPr>
        <w:spacing w:after="0" w:before="0" w:line="360"/>
        <w:ind w:firstLine="709"/>
        <w:jc w:val="both"/>
      </w:pPr>
      <w:r>
        <w:rPr>
          <w:rFonts w:ascii="Times New Roman" w:cs="Times New Roman" w:eastAsia="Times New Roman" w:hAnsi="Times New Roman"/>
          <w:sz w:val="28"/>
          <w:szCs w:val="28"/>
        </w:rPr>
        <w:t xml:space="preserve">Шосте зауваження стосується дорожньої карти на 2026–2028 роки та ризик-реєстру. Я вдячний Вам за те, що Ви звернули увагу саме на умови переходу між етапами, адже саме цьому я прагнув приділити основну увагу. У роботі визначено, що календарна дата сама по собі не є підставою для переходу, а кожна контрольна умова оформлюється окремим протоколом із доказами її виконання та одним із чотирьох рішень: перейти далі, перейти з обмеженнями, продовжити поточний етап або зупинити відповідний інструмент. До першого звернення учасника пілоту мають бути завершені навчання фахівців, перевірка доступів, інформування про права і випробування порядку скарг. Перед кожним етапом підтверджується не лише наявність коштів на запуск, а й спроможність завершити спостереження та безпечно припинити пілот, якщо умови не виконано. Для управління впровадженням запропоновано тимчасову урядову координаційну групу на строк пілоту, яка затверджує спільний календар, фіксує розбіжності, погоджує перехід між етапами та готує рішення Кабінету Міністрів України, а за кожним робочим потоком закріплюється один підзвітний суб’єкт.</w:t>
      </w:r>
    </w:p>
    <w:p>
      <w:pPr>
        <w:spacing w:after="0" w:before="0" w:line="360"/>
        <w:ind w:firstLine="709"/>
        <w:jc w:val="both"/>
      </w:pPr>
      <w:r>
        <w:rPr>
          <w:rFonts w:ascii="Times New Roman" w:cs="Times New Roman" w:eastAsia="Times New Roman" w:hAnsi="Times New Roman"/>
          <w:sz w:val="28"/>
          <w:szCs w:val="28"/>
        </w:rPr>
        <w:t xml:space="preserve">Разом з тим я погоджуюся, що суб’єкта управління впровадженням можна визначити однозначніше. Моє бачення полягає в тому, що політичним власником впровадження має бути Кабінет Міністрів України, а оперативне управління, підготовку рішень і щоденну координацію має забезпечувати визначений урядовим рішенням провідний центральний орган виконавчої влади, при якому діє секретаріат координаційної групи. Узгодження дій між рівнями влади відбувається через обласні військові адміністрації, які координують ресурсну взаємодію громад, і через щоквартальні спільні перегляди за участю громад. Перегляд самої дорожньої карти, на мою думку, має ініціюватися у випадках, коли критична контрольна точка не досягнута, коли суттєво змінилися безпекові чи бюджетні умови або коли незалежне оцінювання виявило шкоду чи відсутність ефекту. Готовність установ до зміни процедур доцільно перевіряти за тими самими єдиними критеріями, що й готовність громад, зокрема за наявністю відповідального фахівця, прийнятним навантаженням, затвердженими регламентами та здатністю забезпечити офлайн-доступ.</w:t>
      </w:r>
    </w:p>
    <w:p>
      <w:pPr>
        <w:spacing w:after="0" w:before="0" w:line="360"/>
        <w:ind w:firstLine="709"/>
        <w:jc w:val="both"/>
      </w:pPr>
      <w:r>
        <w:rPr>
          <w:rFonts w:ascii="Times New Roman" w:cs="Times New Roman" w:eastAsia="Times New Roman" w:hAnsi="Times New Roman"/>
          <w:sz w:val="28"/>
          <w:szCs w:val="28"/>
        </w:rPr>
        <w:t xml:space="preserve">Особливо важливою для мене є друга частина цього зауваження, що стосується розмежування розроблених рекомендацій і перевірених практикою результатів. Я прагнув бути максимально чесним щодо меж свого дослідження. У висновках до третього розділу прямо зазначено, що робочу гіпотезу концептуально підтримано на рівні проєктної моделі, але фактичний причинний ефект запропонованих інструментів потребує перевірки в пілотних громадах на реальних знеособлених даних, а практична цінність розділу полягає у формуванні перевірюваної рамки впровадження, а не в заяві про вже досягнуту ефективність. Отримані довідки та акти про впровадження засвідчують, що окремі рекомендації дослідження використовуються суб’єктами публічного управління в їхній діяльності, однак вони не є доказом підтвердженого причинного ефекту моделі в цілому. Тому я підтримую Вашу думку і вважаю правильним формулювати результати роботи так: це науково обґрунтовані проєктні управлінські рішення, підготовлені до перевірки, а не перевірені практикою результати. Таке формулювання, на мою думку, не применшує цінності дослідження, а навпаки, робить його чеснішим і кориснішим для науки та практики публічного управління.</w:t>
      </w:r>
    </w:p>
    <w:p>
      <w:pPr>
        <w:spacing w:after="0" w:before="0" w:line="360"/>
        <w:ind w:firstLine="709"/>
        <w:jc w:val="both"/>
      </w:pPr>
      <w:r>
        <w:rPr>
          <w:rFonts w:ascii="Times New Roman" w:cs="Times New Roman" w:eastAsia="Times New Roman" w:hAnsi="Times New Roman"/>
          <w:sz w:val="28"/>
          <w:szCs w:val="28"/>
        </w:rPr>
        <w:t xml:space="preserve">На завершення хочу ще раз щиро подякувати Вам, шановна Інно Володимирівно, за глибокий, доброзичливий і водночас вимогливий аналіз моєї роботи. Ваші зауваження допомогли мені побачити власне дослідження з позиції досвідченого фахівця з публічного управління і чіткіше зрозуміти, де закінчується вже зроблене і де починається робота, яку ще належить виконати. Більшість висловлених Вами думок я сприймаю як напрями подальших наукових пошуків і обов’язково врахую їх у наступних публікаціях та в практичній роботі над впровадженням запропонованих рішень. Для мене тема реінтеграції звільнених оборонців є не лише предметом наукового інтересу, а й питанням відповідальності перед людьми, які пройшли через полон і повертаються до цивільного життя. Тому кожна порада, яка допомагає зробити модель більш підзвітною, справедливою і людяною, має для мене особливу цінність.</w:t>
      </w:r>
    </w:p>
    <w:p>
      <w:pPr>
        <w:spacing w:after="0" w:before="240" w:line="360"/>
      </w:pPr>
      <w:r>
        <w:rPr>
          <w:rFonts w:ascii="Times New Roman" w:cs="Times New Roman" w:eastAsia="Times New Roman" w:hAnsi="Times New Roman"/>
          <w:sz w:val="28"/>
          <w:szCs w:val="28"/>
        </w:rPr>
        <w:t xml:space="preserve">З глибокою повагою та вдячністю</w:t>
      </w:r>
    </w:p>
    <w:p>
      <w:pPr>
        <w:tabs>
          <w:tab w:val="right" w:pos="9638"/>
        </w:tabs>
        <w:spacing w:after="0" w:before="240" w:line="360"/>
      </w:pPr>
      <w:r>
        <w:rPr>
          <w:rFonts w:ascii="Times New Roman" w:cs="Times New Roman" w:eastAsia="Times New Roman" w:hAnsi="Times New Roman"/>
          <w:sz w:val="28"/>
          <w:szCs w:val="28"/>
        </w:rPr>
        <w:t xml:space="preserve">Здобувач</w:t>
      </w:r>
      <w:r>
        <w:rPr>
          <w:rFonts w:ascii="Times New Roman" w:cs="Times New Roman" w:eastAsia="Times New Roman" w:hAnsi="Times New Roman"/>
          <w:sz w:val="28"/>
          <w:szCs w:val="28"/>
        </w:rPr>
        <w:t xml:space="preserve">	______________ В. М. Івчук</w:t>
      </w:r>
    </w:p>
    <w:p>
      <w:pPr>
        <w:spacing w:after="0" w:before="240" w:line="360"/>
      </w:pPr>
      <w:r>
        <w:rPr>
          <w:rFonts w:ascii="Times New Roman" w:cs="Times New Roman" w:eastAsia="Times New Roman" w:hAnsi="Times New Roman"/>
          <w:sz w:val="28"/>
          <w:szCs w:val="28"/>
        </w:rPr>
        <w:t xml:space="preserve">«____» ______________ 2026 р.</w:t>
      </w:r>
    </w:p>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2026-10-13T10:33:09.794Z</dcterms:created>
  <dcterms:modified xsi:type="dcterms:W3CDTF">2026-10-13T10:33:09.801Z</dcterms:modified>
</cp:coreProperties>
</file>

<file path=docProps/custom.xml><?xml version="1.0" encoding="utf-8"?>
<Properties xmlns="http://schemas.openxmlformats.org/officeDocument/2006/custom-properties" xmlns:vt="http://schemas.openxmlformats.org/officeDocument/2006/docPropsVTypes"/>
</file>