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sz w:val="28"/>
        </w:rPr>
        <w:t>Review Report</w:t>
      </w:r>
    </w:p>
    <w:p>
      <w:pPr>
        <w:spacing w:after="120" w:line="276" w:lineRule="auto"/>
      </w:pPr>
      <w:r>
        <w:rPr>
          <w:i/>
        </w:rPr>
        <w:t>Manuscript: mathematics-4619379, "A Linkable Ring Signature Based on Polar Codes with Reusable Authorization"</w:t>
      </w:r>
    </w:p>
    <w:p>
      <w:pPr>
        <w:spacing w:after="120" w:line="276" w:lineRule="auto"/>
        <w:ind w:firstLine="567"/>
        <w:jc w:val="both"/>
      </w:pPr>
      <w:r>
        <w:t>The manuscript proposes a code-based linkable ring signature in which a ring member first produces a one-time anonymous authorization certificate and then signs an arbitrary number of messages with a short PolarSig signature under an online key bound to that certificate. The certificate is an MPC-in-the-head (Fiat–Shamir ZKB++) proof that a hidden ring member holds the opening of a registered commitment to a linking secret and has signed, with its registered PolarSig key, a digest that binds the ring, the global linking tag and the fresh online public key. The authors also point out that evaluating the public linear maps (H_i ⊕ H_0)e before selecting the hidden member reduces the nonlinear cost of the syndrome check from dn to d(L−1) AND gates. They prove unforgeability, anonymity, linkability and non-frameability in the classical random oracle model, and give an analytical communication study in which cached authorization leads to 137-byte online packets and, for 4096 messages over a 1024-member ring, an average of about 20.3 kB per message.</w:t>
      </w:r>
    </w:p>
    <w:p>
      <w:pPr>
        <w:spacing w:after="120" w:line="276" w:lineRule="auto"/>
        <w:ind w:firstLine="567"/>
        <w:jc w:val="both"/>
      </w:pPr>
      <w:r>
        <w:t>The manuscript is carefully written and technically consistent, and I appreciate that the authors are open about the scope of their comparisons. I recomputed the main quantities (the gate counts in Equation (12), the proof lengths in Tables 2 and 3, the ring size in Equation (18), the totals in Equation (19), and the break-even point in Equation (17)) and they all agree with the stated formulas. Separating an expensive anonymous authorization from cheap repeated signing is a reasonable engineering idea. However, I have several concerns about the security foundation, the precision of the proofs, the framing of the efficiency claims and the novelty of the circuit optimization. I think these need to be addressed before the paper can be considered for publication.</w:t>
      </w:r>
    </w:p>
    <w:p>
      <w:pPr>
        <w:spacing w:after="120" w:line="276" w:lineRule="auto"/>
      </w:pPr>
      <w:r>
        <w:rPr>
          <w:b/>
          <w:sz w:val="24"/>
        </w:rPr>
        <w:t>Main comments</w:t>
      </w:r>
    </w:p>
    <w:p>
      <w:pPr>
        <w:spacing w:after="120" w:line="276" w:lineRule="auto"/>
        <w:ind w:firstLine="567"/>
        <w:jc w:val="both"/>
      </w:pPr>
      <w:r>
        <w:t>The whole construction relies on PolarSig as both the member-level and the online signature, but the paper does not discuss how much confidence the community has in its security. Polar-code-based McEliece variants have been the target of structural key-recovery attacks, for example the cryptanalysis by Bardet, Chaulet, Dragoi, Otmani and Tillich at PQCrypto 2016. As far as I can tell, PolarSig with n = 788, k = 246 has received very little independent cryptanalysis since 2020. For a paper whose main motivation is post-quantum authentication, I would expect a dedicated paragraph on the known attacks against polar-code-based public-key schemes, on why the modified polar codes of PolarSig are believed to resist them, and on the concrete cost of generic information-set decoding for the reference parameters. The phrase "nominal 128-bit" in Section 5.3 is honest, but it also shows that the security level of the whole scheme is not really established. It would also be useful to state exactly what the weight predicate W_θ(e) is (an upper bound, an exact weight or a window) and how the threshold value 187 enters it, since this matters for both the security argument and the weight circuit in Section 5.2.</w:t>
      </w:r>
    </w:p>
    <w:p>
      <w:pPr>
        <w:spacing w:after="120" w:line="276" w:lineRule="auto"/>
        <w:ind w:firstLine="567"/>
        <w:jc w:val="both"/>
      </w:pPr>
      <w:r>
        <w:t>The scheme is presented as post-quantum, but all proofs are in the classical random oracle model, and the extraction argument relies on rewinding a Fiat–Shamir ZKB++ proof. The authors cite the QROM literature (references 27 and 28) but do not use it. I suggest that the authors either give at least a sketch of the QROM analysis, with a discussion of how the rewinding-based extractor and the simulation-soundness argument carry over, or state the limitation clearly in the abstract and the conclusion. Otherwise a reader may conclude that the scheme is quantum-secure in the same sense as the NIST standards cited in the introduction.</w:t>
      </w:r>
    </w:p>
    <w:p>
      <w:pPr>
        <w:spacing w:after="120" w:line="276" w:lineRule="auto"/>
        <w:ind w:firstLine="567"/>
        <w:jc w:val="both"/>
      </w:pPr>
      <w:r>
        <w:t>The security proofs in Section 4 are short proof sketches rather than full reductions, and some steps need more care. In Theorem 3 the adversary may output polynomially many signatures, and the proof says only that they are "handled by polynomially many extraction invocations". With a rewinding extractor in the random oracle model, extracting many witnesses from one adversary run is a known subtle issue, because nested or sequential rewinding can blow up the running time. The authors should either explain why straight-line extraction is available for their instantiation or give a careful argument (for example, a single forking step on a guessed output, with the corresponding loss in the bound). Similarly, the anonymity bound in Equation (7) contains a term δ_secret that is never quantified. It should be expressed in terms of the number of random-oracle queries and the secret length ℓ. In the unforgeability proof, the losses from guessing the attacked user and the attacked authorization, together with the running time of the extractor, should be reflected explicitly in the final bound and not only described in words.</w:t>
      </w:r>
    </w:p>
    <w:p>
      <w:pPr>
        <w:spacing w:after="120" w:line="276" w:lineRule="auto"/>
        <w:ind w:firstLine="567"/>
        <w:jc w:val="both"/>
      </w:pPr>
      <w:r>
        <w:t>The security model in Section 3.1 is given informally in prose, and it does not quite match the syntax introduced in Section 2.2. There, LRS.Sign and LRS.Verify are single algorithms and Verify outputs a bit, while the construction splits signing into Authorize, Install and SignOnline, and VerifyOnline returns a tag or ⊥. I recommend stating the syntax of the two-stage scheme formally and writing each security experiment as pseudocode with explicit oracles, winning conditions and freshness rules. This would make it much easier to check the proofs. It would also make clear the rather strong restrictions of the anonymity game, in which the adversary may never obtain identity-labelled authorizations or signatures from either candidate, and of the honest-registration assumption, which excludes adversarially generated keys in the ring. Both restrictions are much weaker than the insider-corruption and adversarial-key notions studied in the work of Bultel and Olivier-Anclin that the authors cite. They should be justified in terms of the intended applications.</w:t>
      </w:r>
    </w:p>
    <w:p>
      <w:pPr>
        <w:spacing w:after="120" w:line="276" w:lineRule="auto"/>
        <w:ind w:firstLine="567"/>
        <w:jc w:val="both"/>
      </w:pPr>
      <w:r>
        <w:t>The linking tag T = H_T(x) is global and deterministic, so any two signatures of the same member are linkable across all rings and all time. This is a stronger form of linking than the event-scoped or context-scoped tags used in most applications of linkable ring signatures (e-voting, anonymous reporting, cryptocurrencies). It also means that if one signature is de-anonymized through any side channel, the member's entire history becomes attributable. I would ask the authors to discuss this privacy consequence and to consider whether a scoped tag of the form H_T(x, scope) could be supported, since the relation in Equation (4) seems to accommodate it with only a small change.</w:t>
      </w:r>
    </w:p>
    <w:p>
      <w:pPr>
        <w:spacing w:after="120" w:line="276" w:lineRule="auto"/>
        <w:ind w:firstLine="567"/>
        <w:jc w:val="both"/>
      </w:pPr>
      <w:r>
        <w:t>My most important concern about presentation is the framing of the efficiency results. The abstract and the contributions emphasize the 137-byte online packet and the 30.1% saving compared with Xue et al., but the certificate itself is very large: about 5.65 MB for a 32-member ring and about 27.8 MB for a 1024-member ring. The public ring for L = 1024 is about 54.7 MB. A standalone signature therefore costs roughly three orders of magnitude more than the 29 kB signature of Xue et al. By my computation, the amortized cost falls below 29,000 bytes per message only after about 964 messages without ring distribution, and after about 2859 messages when the ring is included, all sent to a verifier that caches the same certificate. These figures follow directly from the authors' own formulas, and I think they belong in the abstract and in Section 6.3 so that readers can judge in which workloads the scheme is actually advantageous. The same applies to the proof-size reduction of 75.08%. It is measured against a selected-matrix baseline that is itself very expensive, and the absolute size of the resulting proof remains in the megabyte range. The comparison with Xue et al. is also asymmetric because Xue et al. also support reusable offline work, as the authors themselves acknowledge. A comparison under a matching amortization, or with other code-based linkable ring signatures such as those of Liu and Wang and of Branco and Mateus (ProvSec 2018), would be more informative. Finally, the value of 29 kB is interpreted as 29,000 bytes. If it means 29 × 1024 bytes, the saving becomes about 31.7%, so the unit should be checked against the original paper.</w:t>
      </w:r>
    </w:p>
    <w:p>
      <w:pPr>
        <w:spacing w:after="120" w:line="276" w:lineRule="auto"/>
        <w:ind w:firstLine="567"/>
        <w:jc w:val="both"/>
      </w:pPr>
      <w:r>
        <w:t>Regarding novelty, the observation in Section 5.1 that a one-hot selection vector multiplied by publicly computable linear images costs d(L−1) nonlinear gates instead of dn is essentially linearity combined with standard one-hot membership techniques, which already appear in MPC-in-the-head set-membership proofs such as those of Goel et al. The authors partly acknowledge this at line 371. I think the paper would be stronger if this step were presented as an instantiation detail rather than as a main contribution. The authors could then give more weight to the parts that are genuinely new, namely the certificate structure and its security analysis.</w:t>
      </w:r>
    </w:p>
    <w:p>
      <w:pPr>
        <w:spacing w:after="120" w:line="276" w:lineRule="auto"/>
        <w:ind w:firstLine="567"/>
        <w:jc w:val="both"/>
      </w:pPr>
      <w:r>
        <w:t>Several choices that strongly affect the concrete numbers deserve discussion. In Table 1 the packed public key K = 53,387 bytes corresponds to the full d × n parity-check matrix. A systematic form would need only about d × k bits, roughly 16.7 kB, which would reduce the ring, the certificate and the verifier cache considerably, provided that the systematic form is compatible with PolarSig security. In the circuit, the three Keccak-f[1600] permutations account for 115,200 of the 134,079 AND gates at L = 32, so the proof is dominated by hashing rather than by the syndrome. A short discussion of MPC-friendly hash choices, or of more recent proof systems such as KKW, Banquet-style optimizations or VOLE-in-the-head, which the authors cite but do not use, would show how far the absolute certificate size could be reduced. The paper also gives no running times at all. Even rough estimates of prover and verifier time for a 5–28 MB ZKB++ proof over about 134,000 to 690,000 AND gates with 329 repetitions would help readers judge practicality. A prototype implementation would be even better.</w:t>
      </w:r>
    </w:p>
    <w:p>
      <w:pPr>
        <w:spacing w:after="120" w:line="276" w:lineRule="auto"/>
        <w:ind w:firstLine="567"/>
        <w:jc w:val="both"/>
      </w:pPr>
      <w:r>
        <w:t>The practical implications of reusable authorization also need attention. The certificate is bound to one exact ring, so every membership change requires every member to issue a new multi-megabyte certificate. There is no mechanism for expiry or revocation of an online key, so a compromised esk allows messages to be signed on behalf of the member indefinitely. Verifiers must also store about 53 kB per cached authorization. A paragraph discussing dynamic rings, key compromise and cache management would make the application scenario more convincing.</w:t>
      </w:r>
    </w:p>
    <w:p>
      <w:pPr>
        <w:spacing w:after="120" w:line="276" w:lineRule="auto"/>
      </w:pPr>
      <w:r>
        <w:rPr>
          <w:b/>
          <w:sz w:val="24"/>
        </w:rPr>
        <w:t>Minor comments</w:t>
      </w:r>
    </w:p>
    <w:p>
      <w:pPr>
        <w:spacing w:after="120" w:line="276" w:lineRule="auto"/>
        <w:ind w:firstLine="567"/>
        <w:jc w:val="both"/>
      </w:pPr>
      <w:r>
        <w:t>In the proof of Proposition 1 the authors refer to "all four conditions in Equation (4)", but Equation (4) lists five conditions. ValidEnc_θ in Algorithm 3 is used but never defined. Equation (5) uses Verify(X_b) = ⊥, which does not match the {0,1} output of LRS.Verify in Section 2.2. Figure 1 conveys very little information, and a diagram showing which values are sent, cached and publicly linked would be more useful. Table 3 reports averages without the ring cost, while Section 6.3 includes it, so this difference should be stated in the caption. The statement that the syndrome optimization is strict when L &lt; n + 1 should mention that the decoder cost L − 2 has been accounted for on both sides. The symbol K is used both for the certificate cache in Algorithms 3 and 4 and for the packed public-key length in Equation (14), which is confusing. In Section 5.2 it would help to state explicitly which hash is h_PS and that its 542-bit output is obtained from a single squeeze. Finally, the use of an AI assistant is properly disclosed in the acknowledgments, but the authors should make sure that every numerical value and every reference was checked independently.</w:t>
      </w:r>
    </w:p>
    <w:p>
      <w:pPr>
        <w:spacing w:after="120" w:line="276" w:lineRule="auto"/>
      </w:pPr>
      <w:r>
        <w:rPr>
          <w:b/>
          <w:sz w:val="24"/>
        </w:rPr>
        <w:t>Recommendation</w:t>
      </w:r>
    </w:p>
    <w:p>
      <w:pPr>
        <w:spacing w:after="120" w:line="276" w:lineRule="auto"/>
        <w:ind w:firstLine="567"/>
        <w:jc w:val="both"/>
      </w:pPr>
      <w:r>
        <w:t>The idea of amortizing an expensive anonymous membership proof over many short code-based signatures is interesting, and the analytical work is careful. At present, however, the security of the underlying primitive is not well supported, the proofs are only sketched at several critical points, the model is informal and quite restrictive, and the headline efficiency claims do not make it clear enough how large certificates and rings really are. I recommend major revision.</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