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sz w:val="28"/>
        </w:rPr>
        <w:t>Рецензія</w:t>
      </w:r>
    </w:p>
    <w:p>
      <w:pPr>
        <w:spacing w:after="120" w:line="276" w:lineRule="auto"/>
      </w:pPr>
      <w:r>
        <w:rPr>
          <w:i/>
        </w:rPr>
        <w:t>Рукопис: mathematics-4619379, «A Linkable Ring Signature Based on Polar Codes with Reusable Authorization»</w:t>
      </w:r>
    </w:p>
    <w:p>
      <w:pPr>
        <w:spacing w:after="120" w:line="276" w:lineRule="auto"/>
        <w:ind w:firstLine="567"/>
        <w:jc w:val="both"/>
      </w:pPr>
      <w:r>
        <w:t>У рукописі запропоновано кодовий зв'язуваний кільцевий підпис. Спочатку учасник кільця формує одноразовий анонімний сертифікат авторизації, а потім підписує довільну кількість повідомлень коротким підписом PolarSig за онлайн-ключем, прив'язаним до цього сертифіката. Сертифікат є доведенням MPC-in-the-head (Fiat–Shamir ZKB++). Він показує, що прихований учасник кільця знає розкриття зареєстрованого зобов'язання до секрету зв'язування і підписав своїм зареєстрованим ключем PolarSig дайджест, який пов'язує кільце, глобальну мітку зв'язування та новий онлайн-відкритий ключ. Автори також показують, що обчислення публічних лінійних відображень (H_i ⊕ H_0)e до вибору прихованого учасника зменшує нелінійну вартість перевірки синдрому з dn до d(L−1) вентилів AND. Вони доводять незламність (unforgeability), анонімність, зв'язуваність і стійкість до підставлення (non-frameability) у класичній моделі випадкового оракула. Також наведено аналітичну оцінку обсягу передавання: за кешованої авторизації онлайн-пакет займає 137 байтів, а для 4096 повідомлень у кільці з 1024 учасників середній обсяг становить близько 20,3 кБ на повідомлення.</w:t>
      </w:r>
    </w:p>
    <w:p>
      <w:pPr>
        <w:spacing w:after="120" w:line="276" w:lineRule="auto"/>
        <w:ind w:firstLine="567"/>
        <w:jc w:val="both"/>
      </w:pPr>
      <w:r>
        <w:t>Рукопис написано ретельно, технічно він узгоджений, і я ціную відвертість авторів щодо меж проведених порівнянь. Я перерахував основні величини: кількість вентилів у рівнянні (12), довжини доведень у таблицях 2 і 3, розмір кільця в рівнянні (18), підсумки в рівнянні (19) та точку беззбитковості в рівнянні (17). Усі вони відповідають наведеним формулам. Відокремлення дорогої анонімної авторизації від дешевого повторного підписування є слушною інженерною ідеєю. Проте в мене є кілька суттєвих зауважень щодо безпекового підґрунтя, строгості доведень, подання результатів ефективності та новизни оптимізації схеми. На мою думку, їх потрібно усунути, перш ніж рукопис можна буде розглядати для публікації.</w:t>
      </w:r>
    </w:p>
    <w:p>
      <w:pPr>
        <w:spacing w:after="120" w:line="276" w:lineRule="auto"/>
      </w:pPr>
      <w:r>
        <w:rPr>
          <w:b/>
          <w:sz w:val="24"/>
        </w:rPr>
        <w:t>Основні зауваження</w:t>
      </w:r>
    </w:p>
    <w:p>
      <w:pPr>
        <w:spacing w:after="120" w:line="276" w:lineRule="auto"/>
        <w:ind w:firstLine="567"/>
        <w:jc w:val="both"/>
      </w:pPr>
      <w:r>
        <w:t>Уся конструкція спирається на PolarSig як на підпис рівня учасника і як на онлайн-підпис, але в статті не обговорено, наскільки спільнота довіряє його стійкості. Варіанти McEliece на полярних кодах уже зазнавали структурних атак на відновлення ключа, наприклад у криптоаналізі Bardet, Chaulet, Dragoi, Otmani та Tillich на PQCrypto 2016. Наскільки мені відомо, PolarSig з параметрами n = 788, k = 246 від 2020 року майже не мав незалежного криптоаналізу. Для статті, головна мотивація якої полягає в постквантовій автентифікації, варто окремо описати відомі атаки на криптосистеми з відкритим ключем на полярних кодах і пояснити, чому модифіковані полярні коди PolarSig вважаються стійкими до них. Також слід оцінити конкретну вартість загального декодування інформаційними множинами (ISD) для еталонних параметрів. Формулювання «номінальні 128 біт» у розділі 5.3 чесне, але воно ж показує, що рівень стійкості всієї схеми фактично не встановлено. Корисно також точно визначити ваговий предикат W_θ(e) (верхня межа, точна вага чи інтервал) і пояснити, як до нього входить порогове значення 187. Від цього залежать і безпековий аргумент, і вагова схема в розділі 5.2.</w:t>
      </w:r>
    </w:p>
    <w:p>
      <w:pPr>
        <w:spacing w:after="120" w:line="276" w:lineRule="auto"/>
        <w:ind w:firstLine="567"/>
        <w:jc w:val="both"/>
      </w:pPr>
      <w:r>
        <w:t>Схему подано як постквантову, але всі доведення наведено в класичній моделі випадкового оракула, а аргумент екстракції ґрунтується на перемотуванні (rewinding) доведення Fiat–Shamir ZKB++. Автори цитують праці про QROM (посилання 27 і 28), але ніяк їх не використовують. Я пропоную або навести принаймні ескіз аналізу в QROM, пояснивши, як переносяться екстрактор на основі перемотування та аргумент simulation soundness, або чітко вказати це обмеження в анотації та висновках. Інакше читач може вирішити, що схема квантовостійка в тому самому сенсі, що й стандарти NIST, згадані у вступі.</w:t>
      </w:r>
    </w:p>
    <w:p>
      <w:pPr>
        <w:spacing w:after="120" w:line="276" w:lineRule="auto"/>
        <w:ind w:firstLine="567"/>
        <w:jc w:val="both"/>
      </w:pPr>
      <w:r>
        <w:t>Доведення в розділі 4 є радше короткими ескізами, ніж повними зведеннями, і деякі кроки потребують більшої ретельності. У теоремі 3 супротивник може видати поліноміально багато підписів, а в доведенні сказано лише, що їх «опрацьовують поліноміально багатьма викликами екстрактора». Коли екстрактор у моделі випадкового оракула працює перемотуванням, вилучення багатьох свідків з одного запуску супротивника є відомою тонкою проблемою: вкладені або послідовні перемотування можуть експоненційно збільшити час роботи. Автори мають або пояснити, чому для їхньої реалізації доступна пряма (straight-line) екстракція, або навести ретельний аргумент, наприклад з одним кроком розгалуження на вгаданому виході та відповідною втратою в оцінці. Так само оцінка анонімності в рівнянні (7) містить доданок δ_secret, який ніде кількісно не визначено. Його слід виразити через кількість запитів до випадкового оракула та довжину секрету ℓ. У доведенні незламності втрати від вгадування атакованого користувача й атакованої авторизації, а також час роботи екстрактора треба явно врахувати в підсумковій оцінці, а не лише описати словами.</w:t>
      </w:r>
    </w:p>
    <w:p>
      <w:pPr>
        <w:spacing w:after="120" w:line="276" w:lineRule="auto"/>
        <w:ind w:firstLine="567"/>
        <w:jc w:val="both"/>
      </w:pPr>
      <w:r>
        <w:t>Модель безпеки в розділі 3.1 описано неформально, і вона не зовсім відповідає синтаксису з розділу 2.2. Там LRS.Sign і LRS.Verify є окремими алгоритмами, а Verify повертає біт. Натомість у конструкції підписування розбито на Authorize, Install і SignOnline, а VerifyOnline повертає мітку або ⊥. Рекомендую формально задати синтаксис двоетапної схеми, а кожен безпековий експеримент записати псевдокодом з явними оракулами, умовами виграшу та правилами «свіжості». Це значно спростить перевірку доведень. Так стануть помітнішими й доволі жорсткі обмеження гри анонімності, де супротивник ніколи не може отримати авторизації чи підписи з позначеною особою від жодного з кандидатів, та припущення про чесну реєстрацію, яке виключає згенеровані супротивником ключі в кільці. Обидва обмеження значно слабші за моделі з внутрішньою компрометацією та зловмисними ключами, які розглядають Bultel і Olivier-Anclin у цитованій авторами праці. Їх слід обґрунтувати з огляду на цільові застосування.</w:t>
      </w:r>
    </w:p>
    <w:p>
      <w:pPr>
        <w:spacing w:after="120" w:line="276" w:lineRule="auto"/>
        <w:ind w:firstLine="567"/>
        <w:jc w:val="both"/>
      </w:pPr>
      <w:r>
        <w:t>Мітка зв'язування T = H_T(x) глобальна й детермінована, тож будь-які два підписи одного учасника зв'язуються в усіх кільцях і на весь час. Це сильніша форма зв'язування, ніж мітки з обмеженою подією чи контекстом, які використовують у більшості застосувань зв'язуваних кільцевих підписів (електронне голосування, анонімні повідомлення, криптовалюти). До того ж деанонімізація одного підпису через будь-який побічний канал робить приписуваною всю історію учасника. Прошу авторів обговорити цей наслідок для приватності та розглянути мітку вигляду H_T(x, scope). Схоже, що відношення (4) дозволяє її з незначними змінами.</w:t>
      </w:r>
    </w:p>
    <w:p>
      <w:pPr>
        <w:spacing w:after="120" w:line="276" w:lineRule="auto"/>
        <w:ind w:firstLine="567"/>
        <w:jc w:val="both"/>
      </w:pPr>
      <w:r>
        <w:t>Найважливіше моє зауваження щодо подання стосується результатів ефективності. В анотації та переліку внесків наголошено на 137-байтовому онлайн-пакеті та на 30,1 % економії порівняно з Xue et al., але сам сертифікат дуже великий: близько 5,65 МБ для кільця з 32 учасників і близько 27,8 МБ для кільця з 1024 учасників. Публічне кільце для L = 1024 займає близько 54,7 МБ. Отже, окремий підпис приблизно на три порядки більший за 29-кілобайтовий підпис Xue et al. За моїми розрахунками, амортизована вартість стає меншою за 29 000 байтів на повідомлення лише після приблизно 964 повідомлень без передавання кільця і після приблизно 2859 повідомлень з урахуванням кільця. До того ж усі ці повідомлення мають надходити до верифікатора, який кешує той самий сертифікат. Ці значення прямо випливають з формул самих авторів, і, на мою думку, їх варто навести в анотації та в розділі 6.3, щоб читач міг оцінити, за яких навантажень схема справді вигідна. Те саме стосується скорочення доведення на 75,08 %. Його виміряно відносно базового варіанта з вибором матриці, який сам по собі дуже дорогий, а абсолютний розмір отриманого доведення все одно вимірюється мегабайтами. Порівняння з Xue et al. також несиметричне, оскільки їхня схема теж підтримує повторно використовувану офлайн-роботу, що визнають і самі автори. Інформативнішим було б порівняння за однакової амортизації або з іншими кодовими зв'язуваними кільцевими підписами, наприклад Liu і Wang та Branco і Mateus (ProvSec 2018). Нарешті, 29 кБ тлумачать як 29 000 байтів. Якщо мається на увазі 29 × 1024 байтів, економія становить близько 31,7 %, тому одиницю слід звірити з оригінальною статтею.</w:t>
      </w:r>
    </w:p>
    <w:p>
      <w:pPr>
        <w:spacing w:after="120" w:line="276" w:lineRule="auto"/>
        <w:ind w:firstLine="567"/>
        <w:jc w:val="both"/>
      </w:pPr>
      <w:r>
        <w:t>Щодо новизни: спостереження з розділу 5.1 про те, що добуток унітарного (one-hot) вектора вибору на публічно обчислювані лінійні образи коштує d(L−1) нелінійних вентилів замість dn, по суті є наслідком лінійності та стандартних one-hot технік доведення членства. Такі техніки вже використовують у доведеннях належності до множини на основі MPC-in-the-head, зокрема в Goel et al. Автори частково визнають це в рядку 371. На мою думку, стаття виграла б, якби цей крок було подано як деталь реалізації, а не як один з основних внесків. Тоді більше уваги можна приділити справді новим елементам, а саме структурі сертифіката та її безпековому аналізу.</w:t>
      </w:r>
    </w:p>
    <w:p>
      <w:pPr>
        <w:spacing w:after="120" w:line="276" w:lineRule="auto"/>
        <w:ind w:firstLine="567"/>
        <w:jc w:val="both"/>
      </w:pPr>
      <w:r>
        <w:t>Кілька рішень, які сильно впливають на конкретні числа, заслуговують на обговорення. У таблиці 1 упакований відкритий ключ K = 53 387 байтів відповідає повній перевірній матриці розміру d × n. Систематична форма потребувала б лише близько d × k бітів, тобто приблизно 16,7 кБ, що суттєво зменшило б кільце, сертифікат і кеш верифікатора, якщо така форма сумісна зі стійкістю PolarSig. У схемі три перестановки Keccak-f[1600] дають 115 200 із 134 079 вентилів AND при L = 32, тож розмір доведення визначає переважно гешування, а не синдром. Варто коротко обговорити геш-функції, зручні для MPC, або новіші системи доведень, як-от KKW, оптимізації в стилі Banquet чи VOLE-in-the-head. Автори їх цитують, але не застосовують, а таке обговорення показало б, наскільки можна зменшити абсолютний розмір сертифіката. Крім того, у статті немає жодних оцінок часу виконання. Навіть приблизні оцінки часу роботи доводжувача та верифікатора для доведення ZKB++ обсягом 5–28 МБ на схемі з приблизно 134 000–690 000 вентилів AND і 329 повтореннями допомогли б оцінити практичність. Ще краще було б навести прототипну реалізацію.</w:t>
      </w:r>
    </w:p>
    <w:p>
      <w:pPr>
        <w:spacing w:after="120" w:line="276" w:lineRule="auto"/>
        <w:ind w:firstLine="567"/>
        <w:jc w:val="both"/>
      </w:pPr>
      <w:r>
        <w:t>Уваги потребують і практичні наслідки повторного використання авторизації. Сертифікат прив'язано до одного конкретного кільця, тож кожна зміна складу змушує всіх учасників випускати нові сертифікати обсягом кілька мегабайтів. Немає механізму завершення строку дії чи відкликання онлайн-ключа, тому скомпрометований esk дозволяє необмежено довго підписувати повідомлення від імені учасника. Верифікатори також мають зберігати близько 53 кБ на кожну кешовану авторизацію. Абзац про динамічні кільця, компрометацію ключів і керування кешем зробив би сценарій застосування переконливішим.</w:t>
      </w:r>
    </w:p>
    <w:p>
      <w:pPr>
        <w:spacing w:after="120" w:line="276" w:lineRule="auto"/>
      </w:pPr>
      <w:r>
        <w:rPr>
          <w:b/>
          <w:sz w:val="24"/>
        </w:rPr>
        <w:t>Дрібні зауваження</w:t>
      </w:r>
    </w:p>
    <w:p>
      <w:pPr>
        <w:spacing w:after="120" w:line="276" w:lineRule="auto"/>
        <w:ind w:firstLine="567"/>
        <w:jc w:val="both"/>
      </w:pPr>
      <w:r>
        <w:t>У доведенні твердження 1 автори згадують «усі чотири умови рівняння (4)», хоча рівняння (4) містить п'ять умов. Функцію ValidEnc_θ в алгоритмі 3 використано, але не визначено. У рівнянні (5) записано Verify(X_b) = ⊥, що не відповідає виходу {0,1} алгоритму LRS.Verify з розділу 2.2. Рисунок 1 майже не несе інформації. Корисніша була б схема, яка показує, що саме передається, що кешується і що публічно зв'язується. Таблиця 3 наводить середні значення без вартості кільця, а розділ 6.3 її враховує, тож цю різницю варто зазначити в підписі до таблиці. У твердженні, що оптимізація синдрому строга при L &lt; n + 1, слід уточнити, що вартість декодера L − 2 враховано з обох боків. Символ K позначає і кеш сертифікатів в алгоритмах 3 і 4, і довжину упакованого відкритого ключа в рівнянні (14), що заплутує. У розділі 5.2 варто явно вказати, яку геш-функцію використано як h_PS і що її 542-бітовий вихід отримують за одне вичавлювання (squeeze). Нарешті, використання ШІ-асистента належно розкрито в подяках, але автори мають переконатися, що кожне числове значення та кожне посилання перевірено незалежно.</w:t>
      </w:r>
    </w:p>
    <w:p>
      <w:pPr>
        <w:spacing w:after="120" w:line="276" w:lineRule="auto"/>
      </w:pPr>
      <w:r>
        <w:rPr>
          <w:b/>
          <w:sz w:val="24"/>
        </w:rPr>
        <w:t>Рекомендація</w:t>
      </w:r>
    </w:p>
    <w:p>
      <w:pPr>
        <w:spacing w:after="120" w:line="276" w:lineRule="auto"/>
        <w:ind w:firstLine="567"/>
        <w:jc w:val="both"/>
      </w:pPr>
      <w:r>
        <w:t>Ідея амортизувати дороге анонімне доведення членства за рахунок багатьох коротких кодових підписів цікава, а аналітичну роботу виконано ретельно. Однак наразі стійкість базового примітиву недостатньо обґрунтована, доведення в кількох критичних місцях лише намічено, модель неформальна й доволі обмежена, а основні твердження про ефективність недостатньо чітко показують реальні розміри сертифікатів і кілець. Рекомендую серйозне доопрацювання (major revision).</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