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t>Data Descriptor</w:t>
      </w:r>
    </w:p>
    <w:p>
      <w:pPr>
        <w:pStyle w:val="MDPI12title"/>
      </w:pPr>
      <w:r>
        <w:t>Building and Validating a Multisource, Multimodal Spatiotemporal Dataset for Early Warning of Approaching Small Unmanned Aerial Vehicles</w:t>
      </w:r>
    </w:p>
    <w:p>
      <w:pPr>
        <w:pStyle w:val="MDPI13authornames"/>
      </w:pPr>
      <w:r>
        <w:rPr>
          <w:b/>
        </w:rPr>
        <w:t>Dmytro Prokopovych-Tkachenko</w:t>
      </w:r>
      <w:r>
        <w:t xml:space="preserve"> 1,*</w:t>
      </w:r>
    </w:p>
    <w:p>
      <w:pPr>
        <w:pStyle w:val="MDPI16affiliation"/>
      </w:pPr>
      <w:r>
        <w:t>1 Department of Cybersecurity and Information Technologies, University of Customs and Finance, 2/4 Volodymyr Vernadsky Street, Dnipro 49000, Ukraine; omega2417@umsf.dp.ua; ORCID: 0000-0002-6590-3898</w:t>
      </w:r>
    </w:p>
    <w:p>
      <w:pPr>
        <w:pStyle w:val="MDPI16affiliation"/>
      </w:pPr>
      <w:r>
        <w:t>* Correspondence: omega2417@umsf.dp.ua</w:t>
      </w:r>
    </w:p>
    <w:p>
      <w:pPr>
        <w:pStyle w:val="MDPI32textnoindent"/>
        <w:spacing w:before="120" w:after="160"/>
        <w:shd w:fill="FFF2CC"/>
        <w:pBdr>
          <w:top w:val="single" w:sz="8" w:space="4" w:color="D39E2F"/>
          <w:bottom w:val="single" w:sz="8" w:space="4" w:color="D39E2F"/>
          <w:left w:val="single" w:sz="8" w:space="4" w:color="D39E2F"/>
          <w:right w:val="single" w:sz="8" w:space="4" w:color="D39E2F"/>
        </w:pBdr>
      </w:pPr>
      <w:r>
        <w:rPr>
          <w:b/>
        </w:rPr>
        <w:t>AUTHOR COMPLETION NOTE - REMOVE BEFORE SUBMISSION.</w:t>
      </w:r>
      <w:r>
        <w:t xml:space="preserve"> Bracketed yellow fields require empirical or institutional information that was not present in the supplied materials. The journal requires the completed dataset to be deposited and its technical validation to be reported before a Data Descriptor can be published. No numerical value, sensor specification, ethics approval, license, or repository identifier has been invented.</w:t>
      </w:r>
    </w:p>
    <w:p>
      <w:pPr>
        <w:pStyle w:val="MDPI17abstract"/>
      </w:pPr>
      <w:r>
        <w:rPr>
          <w:b/>
        </w:rPr>
        <w:t>Abstract:</w:t>
      </w:r>
      <w:r>
        <w:t xml:space="preserve"> Small unmanned aerial vehicles can be difficult to distinguish from birds, helicopters, ground vehicles, wind-induced motion, and anthropogenic noise when warning decisions rely on a single sensing channel. This Data Descriptor presents </w:t>
      </w:r>
      <w:r>
        <w:rPr>
          <w:b/>
          <w:color w:val="9C0006"/>
          <w:highlight w:val="yellow"/>
        </w:rPr>
        <w:t>[[DATASET_TITLE]]</w:t>
      </w:r>
      <w:r>
        <w:t xml:space="preserve">, an event-centered collection that aligns four streams: takeoff-indication events from a controlled area, public-warning events, voluntary mobile reports and sensor observations, and visual-acoustic records from authorized monitoring sites. Version </w:t>
      </w:r>
      <w:r>
        <w:rPr>
          <w:b/>
          <w:color w:val="9C0006"/>
          <w:highlight w:val="yellow"/>
        </w:rPr>
        <w:t>[[DATASET_VERSION]]</w:t>
      </w:r>
      <w:r>
        <w:t xml:space="preserve"> covers </w:t>
      </w:r>
      <w:r>
        <w:rPr>
          <w:b/>
          <w:color w:val="9C0006"/>
          <w:highlight w:val="yellow"/>
        </w:rPr>
        <w:t>[[COLLECTION_PERIOD]]</w:t>
      </w:r>
      <w:r>
        <w:t xml:space="preserve">, </w:t>
      </w:r>
      <w:r>
        <w:rPr>
          <w:b/>
          <w:color w:val="9C0006"/>
          <w:highlight w:val="yellow"/>
        </w:rPr>
        <w:t>[[N_LOCATIONS]]</w:t>
      </w:r>
      <w:r>
        <w:t xml:space="preserve"> generalized locations, and </w:t>
      </w:r>
      <w:r>
        <w:rPr>
          <w:b/>
          <w:color w:val="9C0006"/>
          <w:highlight w:val="yellow"/>
        </w:rPr>
        <w:t>[[N_FLIGHT_EVENTS]]</w:t>
      </w:r>
      <w:r>
        <w:t xml:space="preserve"> flight events, comprising </w:t>
      </w:r>
      <w:r>
        <w:rPr>
          <w:b/>
          <w:color w:val="9C0006"/>
          <w:highlight w:val="yellow"/>
        </w:rPr>
        <w:t>[[N_OBSERVATIONS]]</w:t>
      </w:r>
      <w:r>
        <w:t xml:space="preserve"> structured observations, </w:t>
      </w:r>
      <w:r>
        <w:rPr>
          <w:b/>
          <w:color w:val="9C0006"/>
          <w:highlight w:val="yellow"/>
        </w:rPr>
        <w:t>[[AUDIO_HOURS]]</w:t>
      </w:r>
      <w:r>
        <w:t xml:space="preserve"> h of audio, and </w:t>
      </w:r>
      <w:r>
        <w:rPr>
          <w:b/>
          <w:color w:val="9C0006"/>
          <w:highlight w:val="yellow"/>
        </w:rPr>
        <w:t>[[N_VISUAL_OBJECTS]]</w:t>
      </w:r>
      <w:r>
        <w:t xml:space="preserve"> visual objects. Records use Coordinated Universal Time, generalized location, source and modality descriptors, digital-object references, SHA-256 checksums, quality indicators, and provenance. Labels separate controlled ground truth, expert-verified observations, and weak public-report evidence; conflicting labels are adjudicated. Technical validation quantifies completeness, synchronization error, missingness, duplication, audiovisual quality, inter-annotator agreement, and cross-modal consistency. Event-, location-, and time-disjoint manifests reduce spatiotemporal leakage. The repository includes a data dictionary, annotation handbook, versioned preprocessing code, and baseline protocols for detection, approach-direction prediction, and warning-time estimation. A sanitized open tier and documented controlled-access tier balance reuse with privacy and dual-use safeguards.</w:t>
      </w:r>
    </w:p>
    <w:p>
      <w:pPr>
        <w:pStyle w:val="MDPI18keywords"/>
      </w:pPr>
      <w:r>
        <w:rPr>
          <w:b/>
        </w:rPr>
        <w:t>Dataset:</w:t>
      </w:r>
      <w:r>
        <w:t xml:space="preserve"> </w:t>
      </w:r>
      <w:r>
        <w:rPr>
          <w:b/>
          <w:color w:val="9C0006"/>
          <w:highlight w:val="yellow"/>
        </w:rPr>
        <w:t>[[DATASET DOI OR PERSISTENT REPOSITORY URL]]</w:t>
      </w:r>
      <w:r>
        <w:t xml:space="preserve"> [1]</w:t>
      </w:r>
    </w:p>
    <w:p>
      <w:pPr>
        <w:pStyle w:val="MDPI18keywords"/>
      </w:pPr>
      <w:r>
        <w:rPr>
          <w:b/>
        </w:rPr>
        <w:t>Dataset License:</w:t>
      </w:r>
      <w:r>
        <w:t xml:space="preserve"> </w:t>
      </w:r>
      <w:r>
        <w:rPr>
          <w:b/>
          <w:color w:val="9C0006"/>
          <w:highlight w:val="yellow"/>
        </w:rPr>
        <w:t>[[OPEN-TIER LICENSE; SPECIFY CONTROLLED-TIER TERMS]]</w:t>
      </w:r>
    </w:p>
    <w:p>
      <w:pPr>
        <w:pStyle w:val="MDPI18keywords"/>
      </w:pPr>
      <w:r>
        <w:rPr>
          <w:b/>
        </w:rPr>
        <w:t>Keywords:</w:t>
      </w:r>
      <w:r>
        <w:t xml:space="preserve"> small unmanned aerial vehicle; multimodal dataset; early warning; spatiotemporal data; acoustic sensing; visual sensing; data provenance; technical validation</w:t>
      </w:r>
    </w:p>
    <w:p>
      <w:pPr>
        <w:pStyle w:val="MDPI21heading1"/>
        <w:keepNext/>
      </w:pPr>
      <w:r>
        <w:t>1. Summary</w:t>
      </w:r>
    </w:p>
    <w:p>
      <w:pPr>
        <w:pStyle w:val="MDPI31text"/>
      </w:pPr>
      <w:r>
        <w:t>Reusable data for early warning must represent more than the physical signature of an airborne object. They must also preserve when and how an observation was produced, the evidence supporting its label, the spatial and temporal relation to a protected zone, and the uncertainty that separates an actionable approach from a visually or acoustically similar negative event. The Findable, Accessible, Interoperable, and Reusable (FAIR) principles make these requirements explicit at the level of identifiers, metadata, access conditions, vocabularies, provenance, and licensing [2].</w:t>
      </w:r>
    </w:p>
    <w:p>
      <w:pPr>
        <w:pStyle w:val="MDPI31text"/>
      </w:pPr>
      <w:r>
        <w:t>Existing resources address important but narrower tasks. The MMAUD benchmark synchronizes stereo vision, LiDAR, millimeter-wave radar, and audio for detection, classification, tracking, and trajectory estimation [3]. Anti-UAV provides paired visible and infrared sequences for tracking [4], while DroneRF characterizes radio-frequency emissions under several operating states [5]. The Drone-vs-Bird challenge exposes difficult visual negatives and false-alarm conditions [6], and acoustic collections support sound-based detection and identification [7]. These resources demonstrate the value of complementary modalities, but they generally begin at the sensor level. They do not jointly encode upstream takeoff indications, public-warning events, participatory observations, authorized audiovisual records, evidence strength, and warning lead time within one event-centered model. Multimodal fusion is most reliable when temporal alignment, uncertainty, missing channels, and source dependence are documented rather than hidden inside preprocessing [8].</w:t>
      </w:r>
    </w:p>
    <w:p>
      <w:pPr>
        <w:pStyle w:val="MDPI31text"/>
      </w:pPr>
      <w:r>
        <w:t>The dataset described here is designed to close that documentation gap. Its unit of organization is a flight event linked to one or more synchronized observation windows. Four source families are aligned by Coordinated Universal Time (UTC), associated with generalized locations, and joined through persistent event, window, source, observation, media-object, and label identifiers. The design distinguishes controlled-flight ground truth, expert-verified observations, and weak evidence from public reports. It also retains hard negative events, including birds, helicopters, ground vehicles, wind, and anthropogenic noise, because false alarms are a central property of an early-warning resource rather than an incidental classification error.</w:t>
      </w:r>
    </w:p>
    <w:p>
      <w:pPr>
        <w:pStyle w:val="MDPI35textbeforelist"/>
      </w:pPr>
      <w:r>
        <w:t>The resource makes four contributions:</w:t>
      </w:r>
    </w:p>
    <w:p>
      <w:pPr>
        <w:pStyle w:val="MDPI38bullet"/>
      </w:pPr>
      <w:r>
        <w:t>an event-centered schema that connects operational events, public alerts, mobile observations, and visual-acoustic objects without exposing precise operational locations;</w:t>
      </w:r>
    </w:p>
    <w:p>
      <w:pPr>
        <w:pStyle w:val="MDPI38bullet"/>
      </w:pPr>
      <w:r>
        <w:t>an evidence-tiered annotation model with confidence, provenance, conflict adjudication, and explicit uncertainty for approach direction, platform class, distance interval, and time to zone entry;</w:t>
      </w:r>
    </w:p>
    <w:p>
      <w:pPr>
        <w:pStyle w:val="MDPI38bullet"/>
      </w:pPr>
      <w:r>
        <w:t>a technical-validation framework covering completeness, synchronization, missingness, duplicates, media quality, annotation agreement, cross-modal consistency, and integrity;</w:t>
      </w:r>
    </w:p>
    <w:p>
      <w:pPr>
        <w:pStyle w:val="MDPI38bullet"/>
      </w:pPr>
      <w:r>
        <w:t>event-, location-, and time-disjoint evaluation manifests, together with privacy-preserving open and controlled-access release tiers.</w:t>
      </w:r>
    </w:p>
    <w:p>
      <w:pPr>
        <w:pStyle w:val="MDPI31text"/>
      </w:pPr>
      <w:r>
        <w:t xml:space="preserve">Version </w:t>
      </w:r>
      <w:r>
        <w:rPr>
          <w:b/>
          <w:color w:val="9C0006"/>
          <w:highlight w:val="yellow"/>
        </w:rPr>
        <w:t>[[DATASET_VERSION]]</w:t>
      </w:r>
      <w:r>
        <w:t xml:space="preserve"> contains </w:t>
      </w:r>
      <w:r>
        <w:rPr>
          <w:b/>
          <w:color w:val="9C0006"/>
          <w:highlight w:val="yellow"/>
        </w:rPr>
        <w:t>[[N_FLIGHT_EVENTS]]</w:t>
      </w:r>
      <w:r>
        <w:t xml:space="preserve"> flight events and </w:t>
      </w:r>
      <w:r>
        <w:rPr>
          <w:b/>
          <w:color w:val="9C0006"/>
          <w:highlight w:val="yellow"/>
        </w:rPr>
        <w:t>[[N_NEGATIVE_EVENTS]]</w:t>
      </w:r>
      <w:r>
        <w:t xml:space="preserve"> challenging negative events collected from </w:t>
      </w:r>
      <w:r>
        <w:rPr>
          <w:b/>
          <w:color w:val="9C0006"/>
          <w:highlight w:val="yellow"/>
        </w:rPr>
        <w:t>[[COLLECTION_START]]</w:t>
      </w:r>
      <w:r>
        <w:t xml:space="preserve"> to </w:t>
      </w:r>
      <w:r>
        <w:rPr>
          <w:b/>
          <w:color w:val="9C0006"/>
          <w:highlight w:val="yellow"/>
        </w:rPr>
        <w:t>[[COLLECTION_END]]</w:t>
      </w:r>
      <w:r>
        <w:t xml:space="preserve"> at </w:t>
      </w:r>
      <w:r>
        <w:rPr>
          <w:b/>
          <w:color w:val="9C0006"/>
          <w:highlight w:val="yellow"/>
        </w:rPr>
        <w:t>[[N_LOCATIONS]]</w:t>
      </w:r>
      <w:r>
        <w:t xml:space="preserve"> generalized locations. The public release contains </w:t>
      </w:r>
      <w:r>
        <w:rPr>
          <w:b/>
          <w:color w:val="9C0006"/>
          <w:highlight w:val="yellow"/>
        </w:rPr>
        <w:t>[[PUBLIC_RELEASE_SIZE]]</w:t>
      </w:r>
      <w:r>
        <w:t xml:space="preserve"> GB, while </w:t>
      </w:r>
      <w:r>
        <w:rPr>
          <w:b/>
          <w:color w:val="9C0006"/>
          <w:highlight w:val="yellow"/>
        </w:rPr>
        <w:t>[[CONTROLLED_RELEASE_SIZE]]</w:t>
      </w:r>
      <w:r>
        <w:t xml:space="preserve"> GB are governed by controlled access. These values, the repository identifier, and the observed validation statistics must be confirmed from the deposited release before submission. The manuscript does not claim predictive superiority; baseline models are included to verify data usability and define comparable evaluation protocols.</w:t>
      </w:r>
    </w:p>
    <w:p>
      <w:pPr>
        <w:pStyle w:val="MDPI21heading1"/>
        <w:keepNext/>
      </w:pPr>
      <w:r>
        <w:t>2. Data Description</w:t>
      </w:r>
    </w:p>
    <w:p>
      <w:pPr>
        <w:pStyle w:val="MDPI22heading2"/>
        <w:keepNext/>
      </w:pPr>
      <w:r>
        <w:t>2.1. Dataset Scope and Composition</w:t>
      </w:r>
    </w:p>
    <w:p>
      <w:pPr>
        <w:pStyle w:val="MDPI31text"/>
      </w:pPr>
      <w:r>
        <w:t xml:space="preserve">The deposited resource, </w:t>
      </w:r>
      <w:r>
        <w:rPr>
          <w:b/>
          <w:color w:val="9C0006"/>
          <w:highlight w:val="yellow"/>
        </w:rPr>
        <w:t>[[DATASET_TITLE]]</w:t>
      </w:r>
      <w:r>
        <w:t xml:space="preserve">, version </w:t>
      </w:r>
      <w:r>
        <w:rPr>
          <w:b/>
          <w:color w:val="9C0006"/>
          <w:highlight w:val="yellow"/>
        </w:rPr>
        <w:t>[[DATASET_VERSION]]</w:t>
      </w:r>
      <w:r>
        <w:t xml:space="preserve"> [1], represents one dataset with two access tiers. It covers authorized controlled flights, observational episodes, and hard negatives. Each event can contain zero or more records from each source family; missing modalities are represented explicitly and are never silently imputed in the canonical release. This design follows recent event-centered and multimodal data descriptors that publish source characteristics, sampling properties, labels, synchronization rules, and limitations as first-class metadata [9–13].</w:t>
      </w:r>
    </w:p>
    <w:p>
      <w:pPr>
        <w:pStyle w:val="MDPI41tablecaption"/>
        <w:keepNext/>
      </w:pPr>
      <w:r>
        <w:t>Table 1. Source streams and their roles in the event-centered dataset.</w:t>
      </w:r>
    </w:p>
    <w:tbl>
      <w:tblPr>
        <w:tblW w:type="dxa" w:w="10346"/>
        <w:jc w:val="left"/>
        <w:tblLayout w:type="fixed"/>
        <w:tblLook w:firstColumn="1" w:firstRow="1" w:lastColumn="0" w:lastRow="0" w:noHBand="0" w:noVBand="1" w:val="04A0"/>
        <w:tblInd w:type="dxa" w:w="80"/>
      </w:tblPr>
      <w:tblGrid>
        <w:gridCol w:w="813"/>
        <w:gridCol w:w="2143"/>
        <w:gridCol w:w="3326"/>
        <w:gridCol w:w="4064"/>
      </w:tblGrid>
      <w:tr>
        <w:trPr>
          <w:tblHeader w:val="true"/>
          <w:cantSplit/>
        </w:trPr>
        <w:tc>
          <w:tcPr>
            <w:tcW w:type="dxa" w:w="813"/>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Stream</w:t>
            </w:r>
          </w:p>
        </w:tc>
        <w:tc>
          <w:tcPr>
            <w:tcW w:type="dxa" w:w="2143"/>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Canonical record</w:t>
            </w:r>
          </w:p>
        </w:tc>
        <w:tc>
          <w:tcPr>
            <w:tcW w:type="dxa" w:w="3326"/>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Primary contribution</w:t>
            </w:r>
          </w:p>
        </w:tc>
        <w:tc>
          <w:tcPr>
            <w:tcW w:type="dxa" w:w="4064"/>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Release treatment</w:t>
            </w:r>
          </w:p>
        </w:tc>
      </w:tr>
      <w:tr>
        <w:trPr>
          <w:cantSplit/>
        </w:trPr>
        <w:tc>
          <w:tcPr>
            <w:tcW w:type="dxa" w:w="81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S1</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Takeoff indication event</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Event anchor, authorized ground truth, initial UTC interval</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Generalized time/location; operational identifiers removed</w:t>
            </w:r>
          </w:p>
        </w:tc>
      </w:tr>
      <w:tr>
        <w:trPr>
          <w:cantSplit/>
        </w:trPr>
        <w:tc>
          <w:tcPr>
            <w:tcW w:type="dxa" w:w="81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S2</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Public warning event</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External warning context and temporal reference</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Normalized text/category; source rights retained</w:t>
            </w:r>
          </w:p>
        </w:tc>
      </w:tr>
      <w:tr>
        <w:trPr>
          <w:cantSplit/>
        </w:trPr>
        <w:tc>
          <w:tcPr>
            <w:tcW w:type="dxa" w:w="81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S3</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Mobile report or sensor observation</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Distributed human/sensor evidence in the risk zone</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Pseudonymized contributor; consent and minimization applied</w:t>
            </w:r>
          </w:p>
        </w:tc>
      </w:tr>
      <w:tr>
        <w:trPr>
          <w:cantSplit/>
        </w:trPr>
        <w:tc>
          <w:tcPr>
            <w:tcW w:type="dxa" w:w="81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S4</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Visual or acoustic object</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Image/video/audio evidence from authorized sites</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Faces, plates, speech, precise coordinates, and device metadata sanitized</w:t>
            </w:r>
          </w:p>
        </w:tc>
      </w:tr>
    </w:tbl>
    <w:p>
      <w:pPr>
        <w:spacing w:after="80"/>
      </w:pPr>
    </w:p>
    <w:p>
      <w:pPr>
        <w:pStyle w:val="MDPI43tablefooter"/>
      </w:pPr>
      <w:r>
        <w:t>UTC = Coordinated Universal Time. The exact open-versus-controlled allocation is recorded per object in the access_tier field.</w:t>
      </w:r>
    </w:p>
    <w:p>
      <w:pPr>
        <w:pStyle w:val="MDPI52figure"/>
        <w:keepNext/>
        <w:jc w:val="center"/>
      </w:pPr>
      <w:r>
        <w:drawing>
          <wp:inline xmlns:a="http://schemas.openxmlformats.org/drawingml/2006/main">
            <wp:extent cx="5852160" cy="3292309"/>
            <wp:docPr id="1" name="Picture 1" descr="Four source streams feed secure ingestion and UTC normalization, then an event-centered dataset, followed by sanitized open and controlled access tiers."/>
            <wp:cNvGraphicFramePr>
              <a:graphicFrameLocks noChangeAspect="1"/>
            </wp:cNvGraphicFramePr>
            <a:graphic>
              <a:graphicData uri="http://schemas.openxmlformats.org/drawingml/2006/picture">
                <pic:pic>
                  <pic:nvPicPr>
                    <pic:cNvPr id="0" name="Figure_01_Architecture.png"/>
                    <pic:cNvPicPr/>
                  </pic:nvPicPr>
                  <pic:blipFill>
                    <a:blip r:embed="rId16"/>
                    <a:stretch>
                      <a:fillRect/>
                    </a:stretch>
                  </pic:blipFill>
                  <pic:spPr>
                    <a:xfrm>
                      <a:off x="0" y="0"/>
                      <a:ext cx="5852160" cy="3292309"/>
                    </a:xfrm>
                    <a:prstGeom prst="rect"/>
                  </pic:spPr>
                </pic:pic>
              </a:graphicData>
            </a:graphic>
          </wp:inline>
        </w:drawing>
      </w:r>
    </w:p>
    <w:p>
      <w:pPr>
        <w:pStyle w:val="MDPI51figurecaption"/>
      </w:pPr>
      <w:r>
        <w:t>Figure 1. Collection, curation, and tiered-release architecture. Exact site locations, network topology, and operational thresholds are deliberately excluded from the public description.</w:t>
      </w:r>
    </w:p>
    <w:p>
      <w:pPr>
        <w:pStyle w:val="MDPI41tablecaption"/>
        <w:keepNext/>
      </w:pPr>
      <w:r>
        <w:t>Table 2. Release-level dataset statistics to be replaced with values computed from the deposited version.</w:t>
      </w:r>
    </w:p>
    <w:tbl>
      <w:tblPr>
        <w:tblW w:type="dxa" w:w="10346"/>
        <w:jc w:val="left"/>
        <w:tblLayout w:type="fixed"/>
        <w:tblLook w:firstColumn="1" w:firstRow="1" w:lastColumn="0" w:lastRow="0" w:noHBand="0" w:noVBand="1" w:val="04A0"/>
        <w:tblInd w:type="dxa" w:w="80"/>
      </w:tblPr>
      <w:tblGrid>
        <w:gridCol w:w="2956"/>
        <w:gridCol w:w="2660"/>
        <w:gridCol w:w="4730"/>
      </w:tblGrid>
      <w:tr>
        <w:trPr>
          <w:tblHeader w:val="true"/>
          <w:cantSplit/>
        </w:trPr>
        <w:tc>
          <w:tcPr>
            <w:tcW w:type="dxa" w:w="2956"/>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Statistic</w:t>
            </w:r>
          </w:p>
        </w:tc>
        <w:tc>
          <w:tcPr>
            <w:tcW w:type="dxa" w:w="2660"/>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Observed value</w:t>
            </w:r>
          </w:p>
        </w:tc>
        <w:tc>
          <w:tcPr>
            <w:tcW w:type="dxa" w:w="4730"/>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Computation source</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Collection period</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[[COLLECTION_START]]</w:t>
            </w:r>
            <w:r>
              <w:rPr>
                <w:sz w:val="16"/>
              </w:rPr>
              <w:t xml:space="preserve"> to </w:t>
            </w:r>
            <w:r>
              <w:rPr>
                <w:b/>
                <w:color w:val="9C0006"/>
                <w:sz w:val="16"/>
                <w:highlight w:val="yellow"/>
              </w:rPr>
              <w:t>[[COLLECTION_END]]</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release_metadata.json</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Generalized locations</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[[N_LOCATIONS]]</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sites_public.parquet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Controlled flight events</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[[N_CONTROLLED_EVENTS]]</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events.parquet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Expert-verified observational events</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[[N_VERIFIED_EVENTS]]</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events.parquet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Weakly labeled events</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[[N_WEAK_EVENTS]]</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labels.parquet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Hard negative events</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[[N_NEGATIVE_EVENTS]]</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labels.parquet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Structured observations</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[[N_OBSERVATIONS]]</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observations.parquet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Audio duration</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[[AUDIO_HOURS]]</w:t>
            </w:r>
            <w:r>
              <w:rPr>
                <w:sz w:val="16"/>
              </w:rPr>
              <w:t xml:space="preserve"> h</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media_manifest.parquet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Images/video frames</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[[N_VISUAL_OBJECTS]]</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media_manifest.parquet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Public/open tier size</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[[PUBLIC_RELEASE_SIZE]]</w:t>
            </w:r>
            <w:r>
              <w:rPr>
                <w:sz w:val="16"/>
              </w:rPr>
              <w:t xml:space="preserve"> GB</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checksums_sha256.txt</w:t>
            </w:r>
          </w:p>
        </w:tc>
      </w:tr>
      <w:tr>
        <w:trPr>
          <w:cantSplit/>
        </w:trPr>
        <w:tc>
          <w:tcPr>
            <w:tcW w:type="dxa" w:w="295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Controlled tier size</w:t>
            </w:r>
          </w:p>
        </w:tc>
        <w:tc>
          <w:tcPr>
            <w:tcW w:type="dxa" w:w="26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[[CONTROLLED_RELEASE_SIZE]]</w:t>
            </w:r>
            <w:r>
              <w:rPr>
                <w:sz w:val="16"/>
              </w:rPr>
              <w:t xml:space="preserve"> GB</w:t>
            </w:r>
          </w:p>
        </w:tc>
        <w:tc>
          <w:tcPr>
            <w:tcW w:type="dxa" w:w="47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controlled manifest</w:t>
            </w:r>
          </w:p>
        </w:tc>
      </w:tr>
    </w:tbl>
    <w:p>
      <w:pPr>
        <w:spacing w:after="80"/>
      </w:pPr>
    </w:p>
    <w:p>
      <w:pPr>
        <w:pStyle w:val="MDPI22heading2"/>
        <w:keepNext/>
      </w:pPr>
      <w:r>
        <w:t>2.2. Repository Package, Formats, and Versioning</w:t>
      </w:r>
    </w:p>
    <w:p>
      <w:pPr>
        <w:pStyle w:val="MDPI31text"/>
      </w:pPr>
      <w:r>
        <w:t>The repository package is a versioned Research Object Crate (RO-Crate). RO-Crate provides a lightweight method for connecting data objects, code, people, licenses, and provenance within a machine-readable package [15]. The top-level metadata record follows DataCite fields for title, creators, publisher, publication year, version, subjects, rights, related identifiers, and descriptions [16]. Provenance activities and agents are represented with the W3C PROV-O vocabulary [17].</w:t>
      </w:r>
    </w:p>
    <w:p>
      <w:pPr>
        <w:pStyle w:val="MDPI41tablecaption"/>
        <w:keepNext/>
      </w:pPr>
      <w:r>
        <w:t>Table 3. Proposed repository package and canonical files.</w:t>
      </w:r>
    </w:p>
    <w:tbl>
      <w:tblPr>
        <w:tblW w:type="dxa" w:w="10346"/>
        <w:jc w:val="left"/>
        <w:tblLayout w:type="fixed"/>
        <w:tblLook w:firstColumn="1" w:firstRow="1" w:lastColumn="0" w:lastRow="0" w:noHBand="0" w:noVBand="1" w:val="04A0"/>
        <w:tblInd w:type="dxa" w:w="80"/>
      </w:tblPr>
      <w:tblGrid>
        <w:gridCol w:w="3030"/>
        <w:gridCol w:w="1848"/>
        <w:gridCol w:w="5468"/>
      </w:tblGrid>
      <w:tr>
        <w:trPr>
          <w:tblHeader w:val="true"/>
          <w:cantSplit/>
        </w:trPr>
        <w:tc>
          <w:tcPr>
            <w:tcW w:type="dxa" w:w="3030"/>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Path</w:t>
            </w:r>
          </w:p>
        </w:tc>
        <w:tc>
          <w:tcPr>
            <w:tcW w:type="dxa" w:w="1848"/>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Format</w:t>
            </w:r>
          </w:p>
        </w:tc>
        <w:tc>
          <w:tcPr>
            <w:tcW w:type="dxa" w:w="5468"/>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Purpose</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ro-crate-metadata.json</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JSON-LD</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Dataset-level metadata, creators, licenses, relations, and provenance links</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metadata/release_metadata.json</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JSON</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Version, coverage, coordinate generalization, clocks, controlled vocabularies</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tables/events.parquet</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Apache Parquet</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One row per flight, observational, or negative event</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tables/windows.parquet</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Apache Parquet</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Synchronized pre-event, event, and post-event windows</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tables/observations.parquet</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Apache Parquet</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Source records linked to events and windows</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tables/labels.parquet</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Apache Parquet</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Targets, evidence tier, confidence, adjudication, and annotator-independent IDs</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tables/media_manifest.parquet</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Apache Parquet</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Object URI, media properties, quality flags, access tier, and SHA-256</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metadata/provenance.jsonl</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JSON Lines</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Capture, transformation, review, and release activities</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splits/*.csv</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CSV</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Event/location/time-disjoint train, validation, and test manifests</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docs/data_dictionary.csv</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CSV</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Field name, type, unit, allowed values, missingness code, and definition</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docs/annotation_handbook.pdf</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PDF</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Labeling rules, examples, uncertainty policy, and adjudication procedure</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code/</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Source code</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Validation, sanitization, manifest generation, and baseline evaluation</w:t>
            </w:r>
          </w:p>
        </w:tc>
      </w:tr>
      <w:tr>
        <w:trPr>
          <w:cantSplit/>
        </w:trPr>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checksums_sha256.txt</w:t>
            </w:r>
          </w:p>
        </w:tc>
        <w:tc>
          <w:tcPr>
            <w:tcW w:type="dxa" w:w="184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Text</w:t>
            </w:r>
          </w:p>
        </w:tc>
        <w:tc>
          <w:tcPr>
            <w:tcW w:type="dxa" w:w="546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Integrity manifest for every released file</w:t>
            </w:r>
          </w:p>
        </w:tc>
      </w:tr>
    </w:tbl>
    <w:p>
      <w:pPr>
        <w:spacing w:after="80"/>
      </w:pPr>
    </w:p>
    <w:p>
      <w:pPr>
        <w:pStyle w:val="MDPI31text"/>
      </w:pPr>
      <w:r>
        <w:t>Canonical tables use Parquet for typed columns and efficient filtering; human-readable CSV exports are provided for the data dictionary and split manifests. Time stamps use RFC 3339 UTC strings in interchange files and signed 64-bit UTC nanoseconds in analytic tables. Missing values are typed and accompanied by a reason code (not_observed, sensor_unavailable, withheld_privacy, corrupted, or not_applicable). Release versions follow semantic versioning. A major version changes the schema or label meaning; a minor version adds backward-compatible records or fields; and a patch version repairs metadata or file-level defects without changing scientific content.</w:t>
      </w:r>
    </w:p>
    <w:p>
      <w:pPr>
        <w:pStyle w:val="MDPI31text"/>
      </w:pPr>
      <w:r>
        <w:t xml:space="preserve">The code/ component of the package is the pipeline described in Section 3.12; it is versioned with the release, and the parameter file it was executed with is named in every provenance activity.</w:t>
      </w:r>
    </w:p>
    <w:p>
      <w:pPr>
        <w:pStyle w:val="MDPI22heading2"/>
        <w:keepNext/>
      </w:pPr>
      <w:r>
        <w:t>2.3. Event-Centered Logical Model</w:t>
      </w:r>
    </w:p>
    <w:p>
      <w:pPr>
        <w:pStyle w:val="MDPI31text"/>
      </w:pPr>
      <w:r>
        <w:t>Figure 2 shows the core join structure. The event table is the parent of synchronized windows. Observations and media objects are associated with one event and, when temporal overlap is sufficient, one window. Labels can target an event, observation, media object, or bounded temporal segment. Sources describe origin and device profile without retaining unnecessary personal or operational identifiers. Provenance activities record capture, transformation, review, adjudication, de-identification, integrity verification, and release. Split membership is attached at event level so that every derived object from the same event remains in one partition.</w:t>
      </w:r>
    </w:p>
    <w:p>
      <w:pPr>
        <w:pStyle w:val="MDPI52figure"/>
        <w:keepNext/>
        <w:jc w:val="center"/>
      </w:pPr>
      <w:r>
        <w:drawing>
          <wp:inline xmlns:a="http://schemas.openxmlformats.org/drawingml/2006/main">
            <wp:extent cx="5303520" cy="3563621"/>
            <wp:docPr id="2" name="Picture 2" descr="An event entity at the center links source profiles, time windows, observations, media objects, labels, provenance, and split manifests."/>
            <wp:cNvGraphicFramePr>
              <a:graphicFrameLocks noChangeAspect="1"/>
            </wp:cNvGraphicFramePr>
            <a:graphic>
              <a:graphicData uri="http://schemas.openxmlformats.org/drawingml/2006/picture">
                <pic:pic>
                  <pic:nvPicPr>
                    <pic:cNvPr id="0" name="Figure_02_Logical_Model.png"/>
                    <pic:cNvPicPr/>
                  </pic:nvPicPr>
                  <pic:blipFill>
                    <a:blip r:embed="rId17"/>
                    <a:stretch>
                      <a:fillRect/>
                    </a:stretch>
                  </pic:blipFill>
                  <pic:spPr>
                    <a:xfrm>
                      <a:off x="0" y="0"/>
                      <a:ext cx="5303520" cy="3563621"/>
                    </a:xfrm>
                    <a:prstGeom prst="rect"/>
                  </pic:spPr>
                </pic:pic>
              </a:graphicData>
            </a:graphic>
          </wp:inline>
        </w:drawing>
      </w:r>
    </w:p>
    <w:p>
      <w:pPr>
        <w:pStyle w:val="MDPI51figurecaption"/>
      </w:pPr>
      <w:r>
        <w:t>Figure 2. Event-centered logical model. The event_id is the principal grouping key; window_id, observation_id, object_id, label_id, and activity_id provide stable joins without embedding sensitive source identifiers.</w:t>
      </w:r>
    </w:p>
    <w:p>
      <w:pPr>
        <w:pStyle w:val="MDPI41tablecaption"/>
        <w:keepNext/>
      </w:pPr>
      <w:r>
        <w:t>Table 4. Core event and observation fields.</w:t>
      </w:r>
    </w:p>
    <w:tbl>
      <w:tblPr>
        <w:tblW w:type="dxa" w:w="10346"/>
        <w:jc w:val="left"/>
        <w:tblLayout w:type="fixed"/>
        <w:tblLook w:firstColumn="1" w:firstRow="1" w:lastColumn="0" w:lastRow="0" w:noHBand="0" w:noVBand="1" w:val="04A0"/>
        <w:tblInd w:type="dxa" w:w="80"/>
      </w:tblPr>
      <w:tblGrid>
        <w:gridCol w:w="2365"/>
        <w:gridCol w:w="2143"/>
        <w:gridCol w:w="5838"/>
      </w:tblGrid>
      <w:tr>
        <w:trPr>
          <w:tblHeader w:val="true"/>
          <w:cantSplit/>
        </w:trPr>
        <w:tc>
          <w:tcPr>
            <w:tcW w:type="dxa" w:w="2365"/>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Field</w:t>
            </w:r>
          </w:p>
        </w:tc>
        <w:tc>
          <w:tcPr>
            <w:tcW w:type="dxa" w:w="2143"/>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Type / unit</w:t>
            </w:r>
          </w:p>
        </w:tc>
        <w:tc>
          <w:tcPr>
            <w:tcW w:type="dxa" w:w="5838"/>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Definition and allowed values</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event_id</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UUID string</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Stable random identifier; contains no site, time, or participant information</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event_kind</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category</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controlled_flight, verified_observation, weak_observation, or negative_control</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t_start_utc / t_end_utc</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timestamp</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Inclusive event interval in UTC; precision and uncertainty stored separately</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zone_id</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coded string</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Generalized warning-zone identifier; public geometry is coarsened</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location_cell</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coded string</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 xml:space="preserve">Spatial cell at </w:t>
            </w:r>
            <w:r>
              <w:rPr>
                <w:b/>
                <w:color w:val="9C0006"/>
                <w:sz w:val="16"/>
                <w:highlight w:val="yellow"/>
              </w:rPr>
              <w:t>[[PUBLIC_SPATIAL_RESOLUTION]]</w:t>
            </w:r>
            <w:r>
              <w:rPr>
                <w:sz w:val="16"/>
              </w:rPr>
              <w:t xml:space="preserve"> resolution; no exact sensor coordinate</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window_id</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UUID string</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Identifier for a bounded interval linked to one event</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source_id</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pseudonymous string</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 xml:space="preserve">Random source profile identifier rotated under </w:t>
            </w:r>
            <w:r>
              <w:rPr>
                <w:b/>
                <w:color w:val="9C0006"/>
                <w:sz w:val="16"/>
                <w:highlight w:val="yellow"/>
              </w:rPr>
              <w:t>[[ROTATION_POLICY]]</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modality</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category</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takeoff_event, public_warning, mobile_report, mobile_sensor, image, video, or audio</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object_uri</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relative URI</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Path or repository object identifier; null for structure-only records</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sha256</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64-character hex</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SHA-256 digest of the exact released byte sequence</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quality_flags</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list[category]</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Missingness, clipping, blur, exposure, corruption, speech, or synchronization flags</w:t>
            </w:r>
          </w:p>
        </w:tc>
      </w:tr>
      <w:tr>
        <w:trPr>
          <w:cantSplit/>
        </w:trPr>
        <w:tc>
          <w:tcPr>
            <w:tcW w:type="dxa" w:w="236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access_tier</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category</w:t>
            </w:r>
          </w:p>
        </w:tc>
        <w:tc>
          <w:tcPr>
            <w:tcW w:type="dxa" w:w="583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open, controlled, metadata_only, or withdrawn</w:t>
            </w:r>
          </w:p>
        </w:tc>
      </w:tr>
    </w:tbl>
    <w:p>
      <w:pPr>
        <w:spacing w:after="80"/>
      </w:pPr>
    </w:p>
    <w:p>
      <w:pPr>
        <w:pStyle w:val="MDPI22heading2"/>
        <w:keepNext/>
      </w:pPr>
      <w:r>
        <w:t>2.4. Label Taxonomy, Evidence Strength, and Hard Negatives</w:t>
      </w:r>
    </w:p>
    <w:p>
      <w:pPr>
        <w:pStyle w:val="MDPI31text"/>
      </w:pPr>
      <w:r>
        <w:t>A label is never represented as an unqualified class name. Each label carries a target, value, evidence tier, annotator or automated-rule identifier, confidence, uncertainty reason, temporal support, and adjudication status. Dataset documentation practices recommend recording intended uses, collection context, composition, preprocessing, maintenance, and known risks rather than treating labels as self-explanatory ground truth [14]. The present schema therefore separates label meaning from evidence strength.</w:t>
      </w:r>
    </w:p>
    <w:p>
      <w:pPr>
        <w:pStyle w:val="MDPI41tablecaption"/>
        <w:keepNext/>
      </w:pPr>
      <w:r>
        <w:t>Table 5. Target labels and controlled values.</w:t>
      </w:r>
    </w:p>
    <w:tbl>
      <w:tblPr>
        <w:tblW w:type="dxa" w:w="10346"/>
        <w:jc w:val="left"/>
        <w:tblLayout w:type="fixed"/>
        <w:tblLook w:firstColumn="1" w:firstRow="1" w:lastColumn="0" w:lastRow="0" w:noHBand="0" w:noVBand="1" w:val="04A0"/>
        <w:tblInd w:type="dxa" w:w="80"/>
      </w:tblPr>
      <w:tblGrid>
        <w:gridCol w:w="2291"/>
        <w:gridCol w:w="3326"/>
        <w:gridCol w:w="4729"/>
      </w:tblGrid>
      <w:tr>
        <w:trPr>
          <w:tblHeader w:val="true"/>
          <w:cantSplit/>
        </w:trPr>
        <w:tc>
          <w:tcPr>
            <w:tcW w:type="dxa" w:w="2291"/>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Target</w:t>
            </w:r>
          </w:p>
        </w:tc>
        <w:tc>
          <w:tcPr>
            <w:tcW w:type="dxa" w:w="3326"/>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Controlled values</w:t>
            </w:r>
          </w:p>
        </w:tc>
        <w:tc>
          <w:tcPr>
            <w:tcW w:type="dxa" w:w="4729"/>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Interpretation</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vehicle_presence</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present; absent; uncertain</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Whether a small unmanned aerial vehicle is supported within the labeled interval</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movement_direction</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approaching; receding; lateral/stationary; uncertain</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Direction relative to the public warning-zone boundary, not relative to a camera</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platform_class</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[[FINAL PLATFORM TAXONOMY]]</w:t>
            </w:r>
            <w:r>
              <w:rPr>
                <w:sz w:val="16"/>
              </w:rPr>
              <w:t>; unknown</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Class based only on evidence permitted by the annotation handbook</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distance_interval</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[[DISTANCE BINS]]</w:t>
            </w:r>
            <w:r>
              <w:rPr>
                <w:sz w:val="16"/>
              </w:rPr>
              <w:t>; unknown</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Coarse target-to-zone or target-to-site interval with unit and uncertainty</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time_to_zone</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seconds; censored; unknown</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Remaining time to verified entry into the warning zone</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hard_negative_type</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bird; helicopter; ground_vehicle; wind; anthropogenic_noise; other</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Confounder retained as a negative event</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evidence_tier</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controlled_ground_truth; expert_verified; weak_public_report</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Strength and origin of the evidence supporting the label</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confidence</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[0, 1]</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Calibrated or rubric-based confidence; method identified in confidence_method</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adjudication_status</w:t>
            </w:r>
          </w:p>
        </w:tc>
        <w:tc>
          <w:tcPr>
            <w:tcW w:type="dxa" w:w="332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not_required; pending; accepted; revised; excluded</w:t>
            </w:r>
          </w:p>
        </w:tc>
        <w:tc>
          <w:tcPr>
            <w:tcW w:type="dxa" w:w="472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Outcome of conflict review</w:t>
            </w:r>
          </w:p>
        </w:tc>
      </w:tr>
    </w:tbl>
    <w:p>
      <w:pPr>
        <w:spacing w:after="80"/>
      </w:pPr>
    </w:p>
    <w:p>
      <w:pPr>
        <w:pStyle w:val="MDPI31text"/>
      </w:pPr>
      <w:r>
        <w:t xml:space="preserve">Controlled ground truth has priority only for fields directly observed by the flight log or independent reference system. It does not automatically determine visual quality, acoustic audibility, or the interpretation of an unrelated public report. Expert-verified labels require two independent reviews or the release-specific rule </w:t>
      </w:r>
      <w:r>
        <w:rPr>
          <w:b/>
          <w:color w:val="9C0006"/>
          <w:highlight w:val="yellow"/>
        </w:rPr>
        <w:t>[[EXPERT_REVIEW_RULE]]</w:t>
      </w:r>
      <w:r>
        <w:t>. Weak labels retain their original source category and must not be silently merged with ground truth. Downstream users can select an evidence threshold appropriate to their task.</w:t>
      </w:r>
    </w:p>
    <w:p>
      <w:pPr>
        <w:pStyle w:val="MDPI22heading2"/>
        <w:keepNext/>
      </w:pPr>
      <w:r>
        <w:t>2.5. Evaluation Manifests and Access Tiers</w:t>
      </w:r>
    </w:p>
    <w:p>
      <w:pPr>
        <w:pStyle w:val="MDPI31text"/>
      </w:pPr>
      <w:r>
        <w:t>The release provides canonical train, validation, and test manifests at event level. It also provides stricter location-holdout and time-holdout variants. Every object derived from an event inherits the event partition. Near-duplicate media groups, contributor groups, site groups, and overlapping temporal neighborhoods are treated as constraints during manifest construction. The test labels can be withheld in a challenge-specific package, but the paper-linked archival release retains enough metadata to verify group separation.</w:t>
      </w:r>
    </w:p>
    <w:p>
      <w:pPr>
        <w:pStyle w:val="MDPI41tablecaption"/>
        <w:keepNext/>
      </w:pPr>
      <w:r>
        <w:t>Table 6. Canonical evaluation manifests.</w:t>
      </w:r>
    </w:p>
    <w:tbl>
      <w:tblPr>
        <w:tblW w:type="dxa" w:w="10346"/>
        <w:jc w:val="left"/>
        <w:tblLayout w:type="fixed"/>
        <w:tblLook w:firstColumn="1" w:firstRow="1" w:lastColumn="0" w:lastRow="0" w:noHBand="0" w:noVBand="1" w:val="04A0"/>
        <w:tblInd w:type="dxa" w:w="80"/>
      </w:tblPr>
      <w:tblGrid>
        <w:gridCol w:w="2291"/>
        <w:gridCol w:w="3991"/>
        <w:gridCol w:w="4064"/>
      </w:tblGrid>
      <w:tr>
        <w:trPr>
          <w:tblHeader w:val="true"/>
          <w:cantSplit/>
        </w:trPr>
        <w:tc>
          <w:tcPr>
            <w:tcW w:type="dxa" w:w="2291"/>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Manifest</w:t>
            </w:r>
          </w:p>
        </w:tc>
        <w:tc>
          <w:tcPr>
            <w:tcW w:type="dxa" w:w="3991"/>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Grouping constraint</w:t>
            </w:r>
          </w:p>
        </w:tc>
        <w:tc>
          <w:tcPr>
            <w:tcW w:type="dxa" w:w="4064"/>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Intended evaluation</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event_disjoint</w:t>
            </w:r>
          </w:p>
        </w:tc>
        <w:tc>
          <w:tcPr>
            <w:tcW w:type="dxa" w:w="39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No event_id or derivative crosses partitions</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Default model development and event-level benchmarking</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location_holdout</w:t>
            </w:r>
          </w:p>
        </w:tc>
        <w:tc>
          <w:tcPr>
            <w:tcW w:type="dxa" w:w="39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Generalized site_group_id appears in only one partition</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Transfer to previously unseen monitoring areas</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time_holdout</w:t>
            </w:r>
          </w:p>
        </w:tc>
        <w:tc>
          <w:tcPr>
            <w:tcW w:type="dxa" w:w="39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 xml:space="preserve">Non-overlapping collection periods with an embargo gap of </w:t>
            </w:r>
            <w:r>
              <w:rPr>
                <w:b/>
                <w:color w:val="9C0006"/>
                <w:sz w:val="16"/>
                <w:highlight w:val="yellow"/>
              </w:rPr>
              <w:t>[[TEMPORAL_GAP]]</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Temporal drift and operational change</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source_holdout</w:t>
            </w:r>
          </w:p>
        </w:tc>
        <w:tc>
          <w:tcPr>
            <w:tcW w:type="dxa" w:w="39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Contributor/device group withheld where consent and sample size permit</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Robustness to new devices or reporting behavior</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hard_negative_challenge</w:t>
            </w:r>
          </w:p>
        </w:tc>
        <w:tc>
          <w:tcPr>
            <w:tcW w:type="dxa" w:w="39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Negative-event families balanced by event, not frame</w:t>
            </w:r>
          </w:p>
        </w:tc>
        <w:tc>
          <w:tcPr>
            <w:tcW w:type="dxa" w:w="4064"/>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False-alarm stress testing</w:t>
            </w:r>
          </w:p>
        </w:tc>
      </w:tr>
    </w:tbl>
    <w:p>
      <w:pPr>
        <w:spacing w:after="80"/>
      </w:pPr>
    </w:p>
    <w:p>
      <w:pPr>
        <w:pStyle w:val="MDPI31text"/>
      </w:pPr>
      <w:r>
        <w:t>The open tier contains sanitized media or privacy-preserving derived representations, generalized spatiotemporal metadata, labels approved for release, documentation, code, and integrity manifests. The controlled tier may contain higher-resolution time/location data or raw audiovisual objects that cannot be released safely. It requires an approved research purpose, institutional identity, data-use agreement, security controls, non-reidentification commitment, publication review limited to disclosure risk, and a defined deletion date. Access may be denied where a request would threaten participant anonymity, operational security, legal compliance, or the rights of third-party data providers.</w:t>
      </w:r>
    </w:p>
    <w:p>
      <w:pPr>
        <w:pStyle w:val="MDPI21heading1"/>
        <w:keepNext/>
      </w:pPr>
      <w:r>
        <w:t>3. Methods</w:t>
      </w:r>
    </w:p>
    <w:p>
      <w:pPr>
        <w:pStyle w:val="MDPI22heading2"/>
        <w:keepNext/>
      </w:pPr>
      <w:r>
        <w:t>3.1. Study Design and Source Governance</w:t>
      </w:r>
    </w:p>
    <w:p>
      <w:pPr>
        <w:pStyle w:val="MDPI31text"/>
      </w:pPr>
      <w:r>
        <w:t>The collection protocol is a prospective, event-centered observational design supplemented by authorized controlled flights and planned negative-control sessions. Data are acquired only from controlled areas, authorized monitoring sites, public warning interfaces with documented reuse rights, and voluntary mobile participants. Each source is registered in a source profile that records purpose, controller, lawful basis or permission, retention period, clock method, device profile, data minimization rule, and permitted access tier. The public schema does not expose the identity of an operator, contributor, monitoring site, or protected object.</w:t>
      </w:r>
    </w:p>
    <w:p>
      <w:pPr>
        <w:pStyle w:val="MDPI31text"/>
      </w:pPr>
      <w:r>
        <w:t>The ingestion architecture can place latency-sensitive filtering and privacy transformations near the source while retaining versioned metadata and heavier validation centrally. Hybrid edge-cloud architectures are useful when acquisition, filtering, storage, and reuse have different real-time, bandwidth, availability, security, and sovereignty constraints [18]. Privacy-aware placement and information-flow labels can constrain where sensitive functions execute [19]. Every collection component must nevertheless produce the same minimum event envelope: source_id, source_event_id_hash, UTC interval, local clock quality, generalized spatial cell, modality, payload reference, content checksum, consent or rights status, and provenance activity.</w:t>
      </w:r>
    </w:p>
    <w:p>
      <w:pPr>
        <w:pStyle w:val="MDPI22heading2"/>
        <w:keepNext/>
      </w:pPr>
      <w:r>
        <w:t>3.2. Controlled Flights and Ground-Truth Acquisition</w:t>
      </w:r>
    </w:p>
    <w:p>
      <w:pPr>
        <w:pStyle w:val="MDPI31text"/>
      </w:pPr>
      <w:r>
        <w:t xml:space="preserve">Controlled flights are conducted under </w:t>
      </w:r>
      <w:r>
        <w:rPr>
          <w:b/>
          <w:color w:val="9C0006"/>
          <w:highlight w:val="yellow"/>
        </w:rPr>
        <w:t>[[AUTHORIZATION / OPERATING PROCEDURE]]</w:t>
      </w:r>
      <w:r>
        <w:t xml:space="preserve"> at </w:t>
      </w:r>
      <w:r>
        <w:rPr>
          <w:b/>
          <w:color w:val="9C0006"/>
          <w:highlight w:val="yellow"/>
        </w:rPr>
        <w:t>[[N_CONTROLLED_SITES]]</w:t>
      </w:r>
      <w:r>
        <w:t xml:space="preserve"> non-publicly identified sites. The flight matrix crosses platform class, approach geometry, speed interval, altitude interval, background, illumination, wind, precipitation, and sensor-to-target visibility to the extent permitted by safety constraints. Each run begins with a synchronization marker, follows an approved route outside excluded areas, and ends with an operator verification. Replicates are grouped by campaign and route family so that near-identical runs do not enter different evaluation partitions.</w:t>
      </w:r>
    </w:p>
    <w:p>
      <w:pPr>
        <w:pStyle w:val="MDPI31text"/>
      </w:pPr>
      <w:r>
        <w:t xml:space="preserve">Ground truth is generated from </w:t>
      </w:r>
      <w:r>
        <w:rPr>
          <w:b/>
          <w:color w:val="9C0006"/>
          <w:highlight w:val="yellow"/>
        </w:rPr>
        <w:t>[[GROUND-TRUTH SYSTEM: GNSS/RTK, FLIGHT LOG, OR INDEPENDENT TRACKER]]</w:t>
      </w:r>
      <w:r>
        <w:t xml:space="preserve">, sampled at </w:t>
      </w:r>
      <w:r>
        <w:rPr>
          <w:b/>
          <w:color w:val="9C0006"/>
          <w:highlight w:val="yellow"/>
        </w:rPr>
        <w:t>[[GROUND-TRUTH RATE]]</w:t>
      </w:r>
      <w:r>
        <w:t xml:space="preserve"> Hz with stated horizontal, vertical, and clock uncertainty. Raw logs remain unchanged in a restricted preservation package. A release transformation converts coordinates to a local reference frame, computes distances to the warning-zone boundary, removes exact origin information, and exports only the resolution permitted for the open tier. Calibration records identify the coordinate reference system, transformation version, residual error, and any interval in which the reference signal was unavailable.</w:t>
      </w:r>
    </w:p>
    <w:p>
      <w:pPr>
        <w:pStyle w:val="MDPI31text"/>
      </w:pPr>
      <w:r>
        <w:t>Let x(t) denote the ground-truth target position in the local reference frame and let the public warning zone be Z. The boundary distance is defined as</w:t>
      </w:r>
    </w:p>
    <w:p>
      <w:pPr>
        <w:pStyle w:val="MDPI39equation"/>
        <w:tabs>
          <w:tab w:pos="10008" w:val="left"/>
        </w:tabs>
        <w:jc w:val="center"/>
      </w:pPr>
      <w:r>
        <w:rPr>
          <w:rFonts w:ascii="Cambria Math" w:hAnsi="Cambria Math"/>
          <w:sz w:val="20"/>
        </w:rPr>
        <w:t>d(t) = min{dist(x(t), z) : z ∈ ∂Z}</w:t>
      </w:r>
      <w:r>
        <w:tab/>
        <w:t>(1)</w:t>
      </w:r>
    </w:p>
    <w:p>
      <w:pPr>
        <w:pStyle w:val="MDPI31text"/>
      </w:pPr>
      <w:r>
        <w:t xml:space="preserve">Over an interval of length Δt, movement is labeled approaching when d(t + Δt) − d(t) &lt; −ε, receding when the difference is greater than ε, and lateral/stationary when its magnitude does not exceed ε. The release-specific values </w:t>
      </w:r>
      <w:r>
        <w:rPr>
          <w:b/>
          <w:color w:val="9C0006"/>
          <w:highlight w:val="yellow"/>
        </w:rPr>
        <w:t>[[DELTA_T]]</w:t>
      </w:r>
      <w:r>
        <w:t xml:space="preserve"> and </w:t>
      </w:r>
      <w:r>
        <w:rPr>
          <w:b/>
          <w:color w:val="9C0006"/>
          <w:highlight w:val="yellow"/>
        </w:rPr>
        <w:t>[[EPSILON_DISTANCE]]</w:t>
      </w:r>
      <w:r>
        <w:t xml:space="preserve"> must exceed the combined positional uncertainty. When the target crosses the zone at time t_cross, warning time is</w:t>
      </w:r>
    </w:p>
    <w:p>
      <w:pPr>
        <w:pStyle w:val="MDPI39equation"/>
        <w:tabs>
          <w:tab w:pos="10008" w:val="left"/>
        </w:tabs>
        <w:jc w:val="center"/>
      </w:pPr>
      <w:r>
        <w:rPr>
          <w:rFonts w:ascii="Cambria Math" w:hAnsi="Cambria Math"/>
          <w:sz w:val="20"/>
        </w:rPr>
        <w:t>T(t) = t_cross − t.</w:t>
      </w:r>
      <w:r>
        <w:tab/>
        <w:t>(2)</w:t>
      </w:r>
    </w:p>
    <w:p>
      <w:pPr>
        <w:pStyle w:val="MDPI32textnoindent"/>
      </w:pPr>
      <w:r>
        <w:t>Events without a verified crossing are marked censored or unknown rather than assigned an extrapolated target.</w:t>
      </w:r>
    </w:p>
    <w:p>
      <w:pPr>
        <w:pStyle w:val="MDPI22heading2"/>
        <w:keepNext/>
      </w:pPr>
      <w:r>
        <w:t>3.3. Public Warning and Mobile Collection</w:t>
      </w:r>
    </w:p>
    <w:p>
      <w:pPr>
        <w:pStyle w:val="MDPI31text"/>
      </w:pPr>
      <w:r>
        <w:t xml:space="preserve">Public warning records are captured from </w:t>
      </w:r>
      <w:r>
        <w:rPr>
          <w:b/>
          <w:color w:val="9C0006"/>
          <w:highlight w:val="yellow"/>
        </w:rPr>
        <w:t>[[AUTHORIZED PUBLIC SOURCE / API]]</w:t>
      </w:r>
      <w:r>
        <w:t xml:space="preserve"> under </w:t>
      </w:r>
      <w:r>
        <w:rPr>
          <w:b/>
          <w:color w:val="9C0006"/>
          <w:highlight w:val="yellow"/>
        </w:rPr>
        <w:t>[[REUSE BASIS]]</w:t>
      </w:r>
      <w:r>
        <w:t>. Where available, event categories are mapped to the Common Alerting Protocol (CAP), which separates identifier, sender, status, message type, scope, temporal information, area, and resource metadata [22]. The canonical record stores the source identifier, retrieval time, source-issued time, category, generalized area, language, status, and a cryptographic digest of the unmodified source object. Text is normalized only in a derived field; the original object is preserved or referenced according to the provider's terms.</w:t>
      </w:r>
    </w:p>
    <w:p>
      <w:pPr>
        <w:pStyle w:val="MDPI31text"/>
      </w:pPr>
      <w:r>
        <w:t>Mobile contributions are opt-in. The collection interface explains purpose, requested fields, retention, withdrawal, access tiers, and the risk that audiovisual data may incidentally contain people or private property. The app requests the minimum necessary permissions, avoids advertising identifiers, generates a rotating pseudonymous source_id, and allows the participant to preview or delete a contribution before upload. A report contains report time, observation interval, coarse location or user-selected zone, modality, optional media, perceived direction, confidence, environmental notes, and consent receipt version. Free text is excluded from the public tier unless it passes disclosure review.</w:t>
      </w:r>
    </w:p>
    <w:p>
      <w:pPr>
        <w:pStyle w:val="MDPI31text"/>
      </w:pPr>
      <w:r>
        <w:t>A mobile report is weak evidence until it is matched to a controlled event, corroborated by an authorized observation, or accepted by expert adjudication. Multiple reports from the same device and temporal neighborhood are clustered before counting support, preventing one source from being treated as independent consensus. Mobile crowd-sensing systems similarly require explicit attention to participant incentives, sampling bias, device heterogeneity, data quality, privacy, and provenance [21].</w:t>
      </w:r>
    </w:p>
    <w:p>
      <w:pPr>
        <w:pStyle w:val="MDPI22heading2"/>
        <w:keepNext/>
      </w:pPr>
      <w:r>
        <w:t>3.4. Visual and Acoustic Acquisition</w:t>
      </w:r>
    </w:p>
    <w:p>
      <w:pPr>
        <w:pStyle w:val="MDPI31text"/>
      </w:pPr>
      <w:r>
        <w:t xml:space="preserve">Authorized monitoring sites use </w:t>
      </w:r>
      <w:r>
        <w:rPr>
          <w:b/>
          <w:color w:val="9C0006"/>
          <w:highlight w:val="yellow"/>
        </w:rPr>
        <w:t>[[CAMERA MODEL / LENS]]</w:t>
      </w:r>
      <w:r>
        <w:t xml:space="preserve"> at </w:t>
      </w:r>
      <w:r>
        <w:rPr>
          <w:b/>
          <w:color w:val="9C0006"/>
          <w:highlight w:val="yellow"/>
        </w:rPr>
        <w:t>[[IMAGE RESOLUTION]]</w:t>
      </w:r>
      <w:r>
        <w:t xml:space="preserve"> pixels and </w:t>
      </w:r>
      <w:r>
        <w:rPr>
          <w:b/>
          <w:color w:val="9C0006"/>
          <w:highlight w:val="yellow"/>
        </w:rPr>
        <w:t>[[FRAME RATE]]</w:t>
      </w:r>
      <w:r>
        <w:t xml:space="preserve"> frames/s, and </w:t>
      </w:r>
      <w:r>
        <w:rPr>
          <w:b/>
          <w:color w:val="9C0006"/>
          <w:highlight w:val="yellow"/>
        </w:rPr>
        <w:t>[[MICROPHONE / RECORDER MODEL]]</w:t>
      </w:r>
      <w:r>
        <w:t xml:space="preserve"> at </w:t>
      </w:r>
      <w:r>
        <w:rPr>
          <w:b/>
          <w:color w:val="9C0006"/>
          <w:highlight w:val="yellow"/>
        </w:rPr>
        <w:t>[[AUDIO SAMPLE RATE]]</w:t>
      </w:r>
      <w:r>
        <w:t xml:space="preserve"> Hz, </w:t>
      </w:r>
      <w:r>
        <w:rPr>
          <w:b/>
          <w:color w:val="9C0006"/>
          <w:highlight w:val="yellow"/>
        </w:rPr>
        <w:t>[[BIT DEPTH]]</w:t>
      </w:r>
      <w:r>
        <w:t xml:space="preserve"> bit, with </w:t>
      </w:r>
      <w:r>
        <w:rPr>
          <w:b/>
          <w:color w:val="9C0006"/>
          <w:highlight w:val="yellow"/>
        </w:rPr>
        <w:t>[[CHANNEL COUNT]]</w:t>
      </w:r>
      <w:r>
        <w:t xml:space="preserve"> channels. The public release records generic device profiles and calibration parameters rather than exact coordinates or network addresses. Raw camera clocks, recorder clocks, and ingestion-host clocks are measured against the site reference. The media manifest stores codec, dimensions, duration, sample rate, channel count, nominal gain/exposure policy, calibration version, object start/end UTC, and quality flags.</w:t>
      </w:r>
    </w:p>
    <w:p>
      <w:pPr>
        <w:pStyle w:val="MDPI31text"/>
      </w:pPr>
      <w:r>
        <w:t xml:space="preserve">Acquisition begins </w:t>
      </w:r>
      <w:r>
        <w:rPr>
          <w:b/>
          <w:color w:val="9C0006"/>
          <w:highlight w:val="yellow"/>
        </w:rPr>
        <w:t>[[PRE_EVENT_DURATION]]</w:t>
      </w:r>
      <w:r>
        <w:t xml:space="preserve"> s before the event anchor where buffering permits and ends </w:t>
      </w:r>
      <w:r>
        <w:rPr>
          <w:b/>
          <w:color w:val="9C0006"/>
          <w:highlight w:val="yellow"/>
        </w:rPr>
        <w:t>[[POST_EVENT_DURATION]]</w:t>
      </w:r>
      <w:r>
        <w:t xml:space="preserve"> s after the event. Continuous recordings are segmented only after an immutable raw checksum is created. Visual segments retain full temporal context needed to distinguish birds and moving backgrounds; acoustic segments retain pre-event noise needed to estimate signal-to-noise ratio. Any enhancement, resampling, compression, denoising, speech masking, cropping, or frame extraction produces a new object_id with a derivation relation to its parent.</w:t>
      </w:r>
    </w:p>
    <w:p>
      <w:pPr>
        <w:pStyle w:val="MDPI22heading2"/>
        <w:keepNext/>
      </w:pPr>
      <w:r>
        <w:t>3.5. Time Synchronization and Multimodal Association</w:t>
      </w:r>
    </w:p>
    <w:p>
      <w:pPr>
        <w:pStyle w:val="MDPI31text"/>
      </w:pPr>
      <w:r>
        <w:t xml:space="preserve">All interchange time stamps conform to RFC 3339 and include the UTC designator Z [23]. Each source also records native time, ingestion time, estimated offset to the reference, offset uncertainty, and synchronization method. Site clocks use </w:t>
      </w:r>
      <w:r>
        <w:rPr>
          <w:b/>
          <w:color w:val="9C0006"/>
          <w:highlight w:val="yellow"/>
        </w:rPr>
        <w:t>[[NTP / PTP / GNSS METHOD]]</w:t>
      </w:r>
      <w:r>
        <w:t>, while mobile and external public sources are treated as asynchronous and assigned a wider uncertainty interval. Clock corrections are versioned; raw source time is never overwritten.</w:t>
      </w:r>
    </w:p>
    <w:p>
      <w:pPr>
        <w:pStyle w:val="MDPI31text"/>
      </w:pPr>
      <w:r>
        <w:t>For an observation timestamp tₘ and reference timestamp tᵣ, absolute synchronization error is</w:t>
      </w:r>
    </w:p>
    <w:p>
      <w:pPr>
        <w:pStyle w:val="MDPI39equation"/>
        <w:tabs>
          <w:tab w:pos="10008" w:val="left"/>
        </w:tabs>
        <w:jc w:val="center"/>
      </w:pPr>
      <w:r>
        <w:rPr>
          <w:rFonts w:ascii="Cambria Math" w:hAnsi="Cambria Math"/>
          <w:sz w:val="20"/>
        </w:rPr>
        <w:t>δt = |tₘ − tᵣ|.</w:t>
      </w:r>
      <w:r>
        <w:tab/>
        <w:t>(3)</w:t>
      </w:r>
    </w:p>
    <w:p>
      <w:pPr>
        <w:pStyle w:val="MDPI31text"/>
      </w:pPr>
      <w:r>
        <w:t xml:space="preserve">An observation is associated with a window only when its uncertainty-expanded interval overlaps the window by at least </w:t>
      </w:r>
      <w:r>
        <w:rPr>
          <w:b/>
          <w:color w:val="9C0006"/>
          <w:highlight w:val="yellow"/>
        </w:rPr>
        <w:t>[[MINIMUM OVERLAP]]</w:t>
      </w:r>
      <w:r>
        <w:t xml:space="preserve"> or when an expert establishes a documented relation. Associations are never inferred solely from geographic proximity. Validation reports the median, 95th percentile, and maximum δt by modality, along with the proportion exceeding </w:t>
      </w:r>
      <w:r>
        <w:rPr>
          <w:b/>
          <w:color w:val="9C0006"/>
          <w:highlight w:val="yellow"/>
        </w:rPr>
        <w:t>[[SYNC TOLERANCE]]</w:t>
      </w:r>
      <w:r>
        <w:t>. Cross-correlation between audio energy, visible target activity, or an explicit synchronization marker may provide a secondary offset estimate, but it does not replace the reference-clock record.</w:t>
      </w:r>
    </w:p>
    <w:p>
      <w:pPr>
        <w:pStyle w:val="MDPI22heading2"/>
        <w:keepNext/>
      </w:pPr>
      <w:r>
        <w:t>3.6. Annotation, Confidence, and Expert Adjudication</w:t>
      </w:r>
    </w:p>
    <w:p>
      <w:pPr>
        <w:pStyle w:val="MDPI31text"/>
      </w:pPr>
      <w:r>
        <w:t xml:space="preserve">The annotation handbook defines every target, evidence tier, temporal boundary rule, uncertainty code, and exclusion condition. Annotators complete a training set and must reach </w:t>
      </w:r>
      <w:r>
        <w:rPr>
          <w:b/>
          <w:color w:val="9C0006"/>
          <w:highlight w:val="yellow"/>
        </w:rPr>
        <w:t>[[QUALIFICATION THRESHOLD]]</w:t>
      </w:r>
      <w:r>
        <w:t xml:space="preserve"> against adjudicated examples before production work. Each sampled event is labeled independently by </w:t>
      </w:r>
      <w:r>
        <w:rPr>
          <w:b/>
          <w:color w:val="9C0006"/>
          <w:highlight w:val="yellow"/>
        </w:rPr>
        <w:t>[[N_ANNOTATORS]]</w:t>
      </w:r>
      <w:r>
        <w:t xml:space="preserve"> annotators. The interface hides the identity of contributors and, where feasible, hides weak public labels during primary audiovisual review to limit anchoring bias.</w:t>
      </w:r>
    </w:p>
    <w:p>
      <w:pPr>
        <w:pStyle w:val="MDPI31text"/>
      </w:pPr>
      <w:r>
        <w:t>Agreement is reported separately for presence, direction, platform class, distance interval, hard-negative type, and temporal boundaries. Categorical agreement uses Krippendorff's alpha or another statistic specified in the release; interval boundaries use absolute deviation and intersection-over-union. Agreement statistics should be interpreted together with class prevalence, missingness, and the confusion matrix because one coefficient cannot summarize every disagreement pattern [25].</w:t>
      </w:r>
    </w:p>
    <w:p>
      <w:pPr>
        <w:pStyle w:val="MDPI31text"/>
      </w:pPr>
      <w:r>
        <w:t xml:space="preserve">A conflict enters adjudication when independent labels disagree, confidence falls below </w:t>
      </w:r>
      <w:r>
        <w:rPr>
          <w:b/>
          <w:color w:val="9C0006"/>
          <w:highlight w:val="yellow"/>
        </w:rPr>
        <w:t>[[CONFIDENCE THRESHOLD]]</w:t>
      </w:r>
      <w:r>
        <w:t xml:space="preserve">, temporal boundaries differ by more than </w:t>
      </w:r>
      <w:r>
        <w:rPr>
          <w:b/>
          <w:color w:val="9C0006"/>
          <w:highlight w:val="yellow"/>
        </w:rPr>
        <w:t>[[BOUNDARY TOLERANCE]]</w:t>
      </w:r>
      <w:r>
        <w:t>, or evidence sources contradict one another. The adjudicator reviews the primary evidence, uncertainty intervals, source provenance, and handbook rule, then accepts, revises, excludes, or leaves the label uncertain. Original annotations are retained in the controlled audit trail; the public table contains the adjudicated label and a non-identifying decision code.</w:t>
      </w:r>
    </w:p>
    <w:p>
      <w:pPr>
        <w:pStyle w:val="MDPI22heading2"/>
        <w:keepNext/>
      </w:pPr>
      <w:r>
        <w:t>3.7. De-Identification and Data Minimization</w:t>
      </w:r>
    </w:p>
    <w:p>
      <w:pPr>
        <w:pStyle w:val="MDPI31text"/>
      </w:pPr>
      <w:r>
        <w:t>Privacy treatment is applied before open release and is verified independently from scientific annotation. Exact coordinates are converted to generalized cells; high-resolution times are coarsened where they could reveal source location or routine; EXIF and device metadata are removed; faces and vehicle license plates are detected and blurred with manual verification; intelligible speech is removed, masked, or withheld; free text is redacted; and participant identifiers are replaced by rotating random values. The mapping to operational or personal identifiers is not included in the research repository.</w:t>
      </w:r>
    </w:p>
    <w:p>
      <w:pPr>
        <w:pStyle w:val="MDPI31text"/>
      </w:pPr>
      <w:r>
        <w:t>These controls implement data minimization, purpose limitation, storage limitation, and security principles consistent with applicable data-protection law, including the General Data Protection Regulation where it applies [30]. De-identification is risk management rather than a guarantee; NIST guidance emphasizes documenting the data model, intended release environment, adversary assumptions, transformation, residual risk, and governance [31]. Records that cannot meet the open-tier risk threshold are released as metadata-only or placed under controlled access. Withdrawal produces a tombstone record and a versioned removal notice when preservation and legal obligations permit.</w:t>
      </w:r>
    </w:p>
    <w:p>
      <w:pPr>
        <w:pStyle w:val="MDPI22heading2"/>
        <w:keepNext/>
      </w:pPr>
      <w:r>
        <w:t>3.8. Provenance, Integrity, and Secure Processing</w:t>
      </w:r>
    </w:p>
    <w:p>
      <w:pPr>
        <w:pStyle w:val="MDPI31text"/>
      </w:pPr>
      <w:r>
        <w:t xml:space="preserve">Every released object receives a SHA-256 digest calculated over the exact byte sequence, following the Secure Hash Standard [32]. The release manifest is signed or archived with </w:t>
      </w:r>
      <w:r>
        <w:rPr>
          <w:b/>
          <w:color w:val="9C0006"/>
          <w:highlight w:val="yellow"/>
        </w:rPr>
        <w:t>[[SIGNING / PRESERVATION METHOD]]</w:t>
      </w:r>
      <w:r>
        <w:t>. Provenance links each object to capture, transformation, review, adjudication, sanitization, and release activities, together with software version, parameter file, agent role, start/end time, input/output identifiers, and status. Integrity is verified at ingestion, after transformation, before archival deposit, and during periodic preservation checks.</w:t>
      </w:r>
    </w:p>
    <w:p>
      <w:pPr>
        <w:pStyle w:val="MDPI31text"/>
      </w:pPr>
      <w:r>
        <w:t xml:space="preserve">Distributed collection creates risks of incomplete uploads, replay, replacement, and silent corruption. Collaborative auditing and homomorphic-hash approaches illustrate how edge records can be sampled, verified, localized, and recovered [20]. The present release does not claim such a cryptographic protocol unless </w:t>
      </w:r>
      <w:r>
        <w:rPr>
          <w:b/>
          <w:color w:val="9C0006"/>
          <w:highlight w:val="yellow"/>
        </w:rPr>
        <w:t>[[IMPLEMENTED INTEGRITY MECHANISM]]</w:t>
      </w:r>
      <w:r>
        <w:t xml:space="preserve"> is documented; at minimum, it uses end-to-end digests, immutable raw-object identifiers, idempotent ingestion keys, duplicate detection, provenance relations, and an exception log. Security labels prevent controlled objects from being processed by unauthorized functions or exported to the open tier.</w:t>
      </w:r>
    </w:p>
    <w:p>
      <w:pPr>
        <w:pStyle w:val="MDPI22heading2"/>
        <w:keepNext/>
      </w:pPr>
      <w:r>
        <w:t>3.9. Quality Control and Technical Validation</w:t>
      </w:r>
    </w:p>
    <w:p>
      <w:pPr>
        <w:pStyle w:val="MDPI31text"/>
      </w:pPr>
      <w:r>
        <w:t>Quality control is implemented as sequential release gates (Figure 3). The data-quality dimensions are aligned with the ISO/IEC 25012 model and operationalized for this resource as completeness, accuracy, consistency, credibility, currentness, accessibility, compliance, confidentiality, efficiency, precision, traceability, and recoverability [24]. A record can pass structural validation while failing media-quality or evidence-quality validation; therefore, quality flags are multi-valued and never collapsed into one opaque score.</w:t>
      </w:r>
    </w:p>
    <w:p>
      <w:pPr>
        <w:pStyle w:val="MDPI52figure"/>
        <w:keepNext/>
        <w:jc w:val="center"/>
      </w:pPr>
      <w:r>
        <w:drawing>
          <wp:inline xmlns:a="http://schemas.openxmlformats.org/drawingml/2006/main">
            <wp:extent cx="6309360" cy="3463275"/>
            <wp:docPr id="3" name="Picture 3" descr="Six validation gates cover acquisition, synchronization, annotation, privacy and integrity, leakage auditing, and release approval."/>
            <wp:cNvGraphicFramePr>
              <a:graphicFrameLocks noChangeAspect="1"/>
            </wp:cNvGraphicFramePr>
            <a:graphic>
              <a:graphicData uri="http://schemas.openxmlformats.org/drawingml/2006/picture">
                <pic:pic>
                  <pic:nvPicPr>
                    <pic:cNvPr id="0" name="Figure_03_Validation_Gates.png"/>
                    <pic:cNvPicPr/>
                  </pic:nvPicPr>
                  <pic:blipFill>
                    <a:blip r:embed="rId18"/>
                    <a:stretch>
                      <a:fillRect/>
                    </a:stretch>
                  </pic:blipFill>
                  <pic:spPr>
                    <a:xfrm>
                      <a:off x="0" y="0"/>
                      <a:ext cx="6309360" cy="3463275"/>
                    </a:xfrm>
                    <a:prstGeom prst="rect"/>
                  </pic:spPr>
                </pic:pic>
              </a:graphicData>
            </a:graphic>
          </wp:inline>
        </w:drawing>
      </w:r>
    </w:p>
    <w:p>
      <w:pPr>
        <w:pStyle w:val="MDPI51figurecaption"/>
      </w:pPr>
      <w:r>
        <w:t>Figure 3. Technical-validation and release gates. A failed gate produces a documented repair, exclusion, metadata-only record, or controlled-access decision; it is not silently discarded.</w:t>
      </w:r>
    </w:p>
    <w:p>
      <w:pPr>
        <w:pStyle w:val="MDPI31text"/>
      </w:pPr>
      <w:r>
        <w:t>For a required-field set R and record i, record completeness is</w:t>
      </w:r>
    </w:p>
    <w:p>
      <w:pPr>
        <w:pStyle w:val="MDPI39equation"/>
        <w:tabs>
          <w:tab w:pos="10008" w:val="left"/>
        </w:tabs>
        <w:jc w:val="center"/>
      </w:pPr>
      <w:r>
        <w:rPr>
          <w:rFonts w:ascii="Cambria Math" w:hAnsi="Cambria Math"/>
          <w:sz w:val="20"/>
        </w:rPr>
        <w:t>Cᵢ = (1/|R|) ∑ 𝟙(r is valid),  r ∈ R.</w:t>
      </w:r>
      <w:r>
        <w:tab/>
        <w:t>(4)</w:t>
      </w:r>
    </w:p>
    <w:p>
      <w:pPr>
        <w:pStyle w:val="MDPI31text"/>
      </w:pPr>
      <w:r>
        <w:t>The duplicate rate is computed at object-group level rather than frame level. Let N be the number of objects and Nᵤ the number of unique object groups:</w:t>
      </w:r>
    </w:p>
    <w:p>
      <w:pPr>
        <w:pStyle w:val="MDPI39equation"/>
        <w:tabs>
          <w:tab w:pos="10008" w:val="left"/>
        </w:tabs>
        <w:jc w:val="center"/>
      </w:pPr>
      <w:r>
        <w:rPr>
          <w:rFonts w:ascii="Cambria Math" w:hAnsi="Cambria Math"/>
          <w:sz w:val="20"/>
        </w:rPr>
        <w:t>D = (N − Nᵤ) / N.</w:t>
      </w:r>
      <w:r>
        <w:tab/>
        <w:t>(5)</w:t>
      </w:r>
    </w:p>
    <w:p>
      <w:pPr>
        <w:pStyle w:val="MDPI41tablecaption"/>
        <w:keepNext/>
      </w:pPr>
      <w:r>
        <w:t>Table 7. Technical-validation metrics and release-specific observed values.</w:t>
      </w:r>
    </w:p>
    <w:tbl>
      <w:tblPr>
        <w:tblW w:type="dxa" w:w="10346"/>
        <w:jc w:val="left"/>
        <w:tblLayout w:type="fixed"/>
        <w:tblLook w:firstColumn="1" w:firstRow="1" w:lastColumn="0" w:lastRow="0" w:noHBand="0" w:noVBand="1" w:val="04A0"/>
        <w:tblInd w:type="dxa" w:w="80"/>
      </w:tblPr>
      <w:tblGrid>
        <w:gridCol w:w="1995"/>
        <w:gridCol w:w="3769"/>
        <w:gridCol w:w="4582"/>
      </w:tblGrid>
      <w:tr>
        <w:trPr>
          <w:tblHeader w:val="true"/>
          <w:cantSplit/>
        </w:trPr>
        <w:tc>
          <w:tcPr>
            <w:tcW w:type="dxa" w:w="1995"/>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Dimension</w:t>
            </w:r>
          </w:p>
        </w:tc>
        <w:tc>
          <w:tcPr>
            <w:tcW w:type="dxa" w:w="3769"/>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Metric</w:t>
            </w:r>
          </w:p>
        </w:tc>
        <w:tc>
          <w:tcPr>
            <w:tcW w:type="dxa" w:w="4582"/>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Observed value / acceptance rule</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Schema</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Valid rows, type/range violations</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[[SCHEMA PASS RATE]]</w:t>
            </w:r>
            <w:r>
              <w:rPr>
                <w:sz w:val="16"/>
              </w:rPr>
              <w:t xml:space="preserve">%; </w:t>
            </w:r>
            <w:r>
              <w:rPr>
                <w:b/>
                <w:color w:val="9C0006"/>
                <w:sz w:val="16"/>
                <w:highlight w:val="yellow"/>
              </w:rPr>
              <w:t>[[N_SCHEMA_ERRORS]]</w:t>
            </w:r>
            <w:r>
              <w:rPr>
                <w:sz w:val="16"/>
              </w:rPr>
              <w:t xml:space="preserve"> unresolved</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Completeness</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Median and 5th percentile Cᵢ</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[[MEDIAN COMPLETENESS]]</w:t>
            </w:r>
            <w:r>
              <w:rPr>
                <w:sz w:val="16"/>
              </w:rPr>
              <w:t xml:space="preserve">; </w:t>
            </w:r>
            <w:r>
              <w:rPr>
                <w:b/>
                <w:color w:val="9C0006"/>
                <w:sz w:val="16"/>
                <w:highlight w:val="yellow"/>
              </w:rPr>
              <w:t>[[P05 COMPLETENESS]]</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Missingness</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Rate by field, modality, evidence tier</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 xml:space="preserve">Reported in </w:t>
            </w:r>
            <w:r>
              <w:rPr>
                <w:b/>
                <w:color w:val="9C0006"/>
                <w:sz w:val="16"/>
                <w:highlight w:val="yellow"/>
              </w:rPr>
              <w:t>[[VALIDATION REPORT PATH]]</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Synchronization</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Median/p95/max δt by modality</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[[SYNC MEDIAN]]</w:t>
            </w:r>
            <w:r>
              <w:rPr>
                <w:sz w:val="16"/>
              </w:rPr>
              <w:t xml:space="preserve"> / </w:t>
            </w:r>
            <w:r>
              <w:rPr>
                <w:b/>
                <w:color w:val="9C0006"/>
                <w:sz w:val="16"/>
                <w:highlight w:val="yellow"/>
              </w:rPr>
              <w:t>[[SYNC P95]]</w:t>
            </w:r>
            <w:r>
              <w:rPr>
                <w:sz w:val="16"/>
              </w:rPr>
              <w:t xml:space="preserve"> / </w:t>
            </w:r>
            <w:r>
              <w:rPr>
                <w:b/>
                <w:color w:val="9C0006"/>
                <w:sz w:val="16"/>
                <w:highlight w:val="yellow"/>
              </w:rPr>
              <w:t>[[SYNC MAX]]</w:t>
            </w:r>
            <w:r>
              <w:rPr>
                <w:sz w:val="16"/>
              </w:rPr>
              <w:t xml:space="preserve"> ms</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Duplicates</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Exact SHA-256 and near-duplicate group rate</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[[EXACT DUPLICATE RATE]]</w:t>
            </w:r>
            <w:r>
              <w:rPr>
                <w:sz w:val="16"/>
              </w:rPr>
              <w:t xml:space="preserve">%; </w:t>
            </w:r>
            <w:r>
              <w:rPr>
                <w:b/>
                <w:color w:val="9C0006"/>
                <w:sz w:val="16"/>
                <w:highlight w:val="yellow"/>
              </w:rPr>
              <w:t>[[NEAR DUPLICATE RATE]]</w:t>
            </w:r>
            <w:r>
              <w:rPr>
                <w:sz w:val="16"/>
              </w:rPr>
              <w:t>%</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Audio</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Clipping, silence, SNR, speech-screening rate</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[[AUDIO QUALITY SUMMARY]]</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Visual</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Blur, exposure, corruption, target-pixel statistics</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[[VISUAL QUALITY SUMMARY]]</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Annotation</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Agreement, boundary error, adjudication rate</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[[ANNOTATION QUALITY SUMMARY]]</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Cross-modal</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Consistent presence/direction/time relations</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[[CROSS-MODAL CONSISTENCY]]</w:t>
            </w:r>
            <w:r>
              <w:rPr>
                <w:sz w:val="16"/>
              </w:rPr>
              <w:t>%</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Integrity</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Files matching published SHA-256</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[[CHECKSUM PASS RATE]]</w:t>
            </w:r>
            <w:r>
              <w:rPr>
                <w:sz w:val="16"/>
              </w:rPr>
              <w:t>%; target = 100%</w:t>
            </w:r>
          </w:p>
        </w:tc>
      </w:tr>
      <w:tr>
        <w:trPr>
          <w:cantSplit/>
        </w:trPr>
        <w:tc>
          <w:tcPr>
            <w:tcW w:type="dxa" w:w="199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Privacy</w:t>
            </w:r>
          </w:p>
        </w:tc>
        <w:tc>
          <w:tcPr>
            <w:tcW w:type="dxa" w:w="37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Independent sample audit and residual findings</w:t>
            </w:r>
          </w:p>
        </w:tc>
        <w:tc>
          <w:tcPr>
            <w:tcW w:type="dxa" w:w="458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[[PRIVACY AUDIT SUMMARY]]</w:t>
            </w:r>
          </w:p>
        </w:tc>
      </w:tr>
    </w:tbl>
    <w:p>
      <w:pPr>
        <w:spacing w:after="80"/>
      </w:pPr>
    </w:p>
    <w:p>
      <w:pPr>
        <w:pStyle w:val="MDPI22heading2"/>
        <w:keepNext/>
      </w:pPr>
      <w:r>
        <w:t>3.10. Leakage-Resistant Partitioning</w:t>
      </w:r>
    </w:p>
    <w:p>
      <w:pPr>
        <w:pStyle w:val="MDPI31text"/>
      </w:pPr>
      <w:r>
        <w:t>Random row-level splitting is inappropriate because adjacent frames, overlapping windows, repeated routes, and correlated reports can reproduce the same event across partitions. Cross-validation for structured spatial and temporal data should preserve the dependence structure that the claimed generalization task is meant to test [26]. Data leakage can otherwise produce optimistic results even when the learning algorithm never sees an explicitly labeled test row [27].</w:t>
      </w:r>
    </w:p>
    <w:p>
      <w:pPr>
        <w:pStyle w:val="MDPI35textbeforelist"/>
      </w:pPr>
      <w:r>
        <w:t>The canonical manifest generator applies the following ordered constraints:</w:t>
      </w:r>
    </w:p>
    <w:p>
      <w:pPr>
        <w:pStyle w:val="MDPI37itemize"/>
      </w:pPr>
      <w:r>
        <w:t>Group all raw and derived objects by event_id and near_duplicate_group_id.</w:t>
      </w:r>
    </w:p>
    <w:p>
      <w:pPr>
        <w:pStyle w:val="MDPI37itemize"/>
      </w:pPr>
      <w:r>
        <w:t>Merge events that share a controlled-flight run, overlapping temporal neighborhood, or source-defined burst.</w:t>
      </w:r>
    </w:p>
    <w:p>
      <w:pPr>
        <w:pStyle w:val="MDPI37itemize"/>
      </w:pPr>
      <w:r>
        <w:t>Assign protected location and time groups according to the selected manifest variant.</w:t>
      </w:r>
    </w:p>
    <w:p>
      <w:pPr>
        <w:pStyle w:val="MDPI37itemize"/>
      </w:pPr>
      <w:r>
        <w:t>Stratify only across groups, using evidence tier, target class, negative family, and environmental conditions as soft balancing objectives.</w:t>
      </w:r>
    </w:p>
    <w:p>
      <w:pPr>
        <w:pStyle w:val="MDPI37itemize"/>
      </w:pPr>
      <w:r>
        <w:t>Freeze the test partition before baseline development; record seed, software commit, objective values, and every exception.</w:t>
      </w:r>
    </w:p>
    <w:p>
      <w:pPr>
        <w:pStyle w:val="MDPI37itemize"/>
      </w:pPr>
      <w:r>
        <w:t>Audit zero overlap for event, source group, media hash, perceptual near-duplicate group, location group, and embargoed time range.</w:t>
      </w:r>
    </w:p>
    <w:p>
      <w:pPr>
        <w:pStyle w:val="MDPI31text"/>
      </w:pPr>
      <w:r>
        <w:t>Manifest statistics report counts by event rather than only by frame or clip. If a rare class cannot support a disjoint test estimate, it is retained for qualitative or open-set analysis and is not redistributed across groups merely to balance counts.</w:t>
      </w:r>
    </w:p>
    <w:p>
      <w:pPr>
        <w:pStyle w:val="MDPI22heading2"/>
        <w:keepNext/>
      </w:pPr>
      <w:r>
        <w:t>3.11. Baseline Tasks and Evaluation Protocol</w:t>
      </w:r>
    </w:p>
    <w:p>
      <w:pPr>
        <w:pStyle w:val="MDPI31text"/>
      </w:pPr>
      <w:r>
        <w:t>Baselines are intended as executable data checks and common reference points. They must not be presented as operational decision systems. Model selection uses the validation manifest only; the test manifest is evaluated once per reported configuration. Confidence intervals are estimated by event-level bootstrap, preserving the grouping unit. Detection thresholds are selected before test evaluation and reported together with false-alarm frequency.</w:t>
      </w:r>
    </w:p>
    <w:p>
      <w:pPr>
        <w:pStyle w:val="MDPI31text"/>
      </w:pPr>
      <w:r>
        <w:t>For N probabilistic event predictions pᵢ with binary outcomes yᵢ, the Brier score is</w:t>
      </w:r>
    </w:p>
    <w:p>
      <w:pPr>
        <w:pStyle w:val="MDPI39equation"/>
        <w:tabs>
          <w:tab w:pos="10008" w:val="left"/>
        </w:tabs>
        <w:jc w:val="center"/>
      </w:pPr>
      <w:r>
        <w:rPr>
          <w:rFonts w:ascii="Cambria Math" w:hAnsi="Cambria Math"/>
          <w:sz w:val="20"/>
        </w:rPr>
        <w:t>BS = (1/N) ∑(pᵢ − yᵢ)².</w:t>
      </w:r>
      <w:r>
        <w:tab/>
        <w:t>(6)</w:t>
      </w:r>
    </w:p>
    <w:p>
      <w:pPr>
        <w:pStyle w:val="MDPI31text"/>
      </w:pPr>
      <w:r>
        <w:t>Proper scoring rules assess both calibration and discrimination of probabilistic forecasts [28]. Reliability diagrams and expected calibration error can be reported as secondary diagnostics, while the Brier score remains a proper primary score. Post-hoc temperature scaling, if used, is fitted on validation data only and disclosed because modern neural networks are often miscalibrated despite high classification accuracy [29].</w:t>
      </w:r>
    </w:p>
    <w:p>
      <w:pPr>
        <w:pStyle w:val="MDPI41tablecaption"/>
        <w:keepNext/>
      </w:pPr>
      <w:r>
        <w:t>Table 8. Baseline tasks, units of evaluation, and required metrics.</w:t>
      </w:r>
    </w:p>
    <w:tbl>
      <w:tblPr>
        <w:tblW w:type="dxa" w:w="10346"/>
        <w:jc w:val="left"/>
        <w:tblLayout w:type="fixed"/>
        <w:tblLook w:firstColumn="1" w:firstRow="1" w:lastColumn="0" w:lastRow="0" w:noHBand="0" w:noVBand="1" w:val="04A0"/>
        <w:tblInd w:type="dxa" w:w="80"/>
      </w:tblPr>
      <w:tblGrid>
        <w:gridCol w:w="2291"/>
        <w:gridCol w:w="3030"/>
        <w:gridCol w:w="5025"/>
      </w:tblGrid>
      <w:tr>
        <w:trPr>
          <w:tblHeader w:val="true"/>
          <w:cantSplit/>
        </w:trPr>
        <w:tc>
          <w:tcPr>
            <w:tcW w:type="dxa" w:w="2291"/>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Task</w:t>
            </w:r>
          </w:p>
        </w:tc>
        <w:tc>
          <w:tcPr>
            <w:tcW w:type="dxa" w:w="3030"/>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Evaluation unit</w:t>
            </w:r>
          </w:p>
        </w:tc>
        <w:tc>
          <w:tcPr>
            <w:tcW w:type="dxa" w:w="5025"/>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Required metrics</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Vehicle presence</w:t>
            </w:r>
          </w:p>
        </w:tc>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Event and observation window</w:t>
            </w:r>
          </w:p>
        </w:tc>
        <w:tc>
          <w:tcPr>
            <w:tcW w:type="dxa" w:w="502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Precision, recall, F1, area under precision-recall curve, false alarms per negative hour</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Approach direction</w:t>
            </w:r>
          </w:p>
        </w:tc>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Event/window with verified direction</w:t>
            </w:r>
          </w:p>
        </w:tc>
        <w:tc>
          <w:tcPr>
            <w:tcW w:type="dxa" w:w="502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Macro-F1, per-class recall, confusion matrix, uncertain coverage</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Time to zone entry</w:t>
            </w:r>
          </w:p>
        </w:tc>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Verified crossing event</w:t>
            </w:r>
          </w:p>
        </w:tc>
        <w:tc>
          <w:tcPr>
            <w:tcW w:type="dxa" w:w="502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MAE, median absolute error, interval coverage, warning lead-time distribution</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Platform class</w:t>
            </w:r>
          </w:p>
        </w:tc>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Event with admissible class evidence</w:t>
            </w:r>
          </w:p>
        </w:tc>
        <w:tc>
          <w:tcPr>
            <w:tcW w:type="dxa" w:w="502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Macro-F1, balanced accuracy, open-set/unknown reporting</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Probabilistic warning</w:t>
            </w:r>
          </w:p>
        </w:tc>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Event at a fixed decision horizon</w:t>
            </w:r>
          </w:p>
        </w:tc>
        <w:tc>
          <w:tcPr>
            <w:tcW w:type="dxa" w:w="502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Brier score, reliability diagram, expected calibration error</w:t>
            </w:r>
          </w:p>
        </w:tc>
      </w:tr>
      <w:tr>
        <w:trPr>
          <w:cantSplit/>
        </w:trPr>
        <w:tc>
          <w:tcPr>
            <w:tcW w:type="dxa" w:w="229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Multimodal robustness</w:t>
            </w:r>
          </w:p>
        </w:tc>
        <w:tc>
          <w:tcPr>
            <w:tcW w:type="dxa" w:w="303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Paired full/missing-modality event sets</w:t>
            </w:r>
          </w:p>
        </w:tc>
        <w:tc>
          <w:tcPr>
            <w:tcW w:type="dxa" w:w="5025"/>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Metric delta, failure rate, performance by weather/light/source quality</w:t>
            </w:r>
          </w:p>
        </w:tc>
      </w:tr>
    </w:tbl>
    <w:p>
      <w:pPr>
        <w:spacing w:after="80"/>
      </w:pPr>
    </w:p>
    <w:p>
      <w:pPr>
        <w:pStyle w:val="MDPI41tablecaption"/>
        <w:keepNext/>
      </w:pPr>
      <w:r>
        <w:t>Table 9. Baseline results to be generated from the deposited release and frozen manifests.</w:t>
      </w:r>
    </w:p>
    <w:tbl>
      <w:tblPr>
        <w:tblW w:type="dxa" w:w="10346"/>
        <w:jc w:val="left"/>
        <w:tblLayout w:type="fixed"/>
        <w:tblLook w:firstColumn="1" w:firstRow="1" w:lastColumn="0" w:lastRow="0" w:noHBand="0" w:noVBand="1" w:val="04A0"/>
        <w:tblInd w:type="dxa" w:w="80"/>
      </w:tblPr>
      <w:tblGrid>
        <w:gridCol w:w="3252"/>
        <w:gridCol w:w="2143"/>
        <w:gridCol w:w="2143"/>
        <w:gridCol w:w="2808"/>
      </w:tblGrid>
      <w:tr>
        <w:trPr>
          <w:tblHeader w:val="true"/>
          <w:cantSplit/>
        </w:trPr>
        <w:tc>
          <w:tcPr>
            <w:tcW w:type="dxa" w:w="3252"/>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Task / model</w:t>
            </w:r>
          </w:p>
        </w:tc>
        <w:tc>
          <w:tcPr>
            <w:tcW w:type="dxa" w:w="2143"/>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Validation</w:t>
            </w:r>
          </w:p>
        </w:tc>
        <w:tc>
          <w:tcPr>
            <w:tcW w:type="dxa" w:w="2143"/>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Test</w:t>
            </w:r>
          </w:p>
        </w:tc>
        <w:tc>
          <w:tcPr>
            <w:tcW w:type="dxa" w:w="2808"/>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Event-level 95% CI</w:t>
            </w:r>
          </w:p>
        </w:tc>
      </w:tr>
      <w:tr>
        <w:trPr>
          <w:cantSplit/>
        </w:trPr>
        <w:tc>
          <w:tcPr>
            <w:tcW w:type="dxa" w:w="325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 xml:space="preserve">Presence / </w:t>
            </w:r>
            <w:r>
              <w:rPr>
                <w:b/>
                <w:color w:val="9C0006"/>
                <w:sz w:val="16"/>
                <w:highlight w:val="yellow"/>
              </w:rPr>
              <w:t>[[BASELINE MODEL]]</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[[VALUE]]</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[[VALUE]]</w:t>
            </w:r>
          </w:p>
        </w:tc>
        <w:tc>
          <w:tcPr>
            <w:tcW w:type="dxa" w:w="280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[[LOWER, UPPER]]</w:t>
            </w:r>
          </w:p>
        </w:tc>
      </w:tr>
      <w:tr>
        <w:trPr>
          <w:cantSplit/>
        </w:trPr>
        <w:tc>
          <w:tcPr>
            <w:tcW w:type="dxa" w:w="325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 xml:space="preserve">Direction / </w:t>
            </w:r>
            <w:r>
              <w:rPr>
                <w:b/>
                <w:color w:val="9C0006"/>
                <w:sz w:val="16"/>
                <w:highlight w:val="yellow"/>
              </w:rPr>
              <w:t>[[BASELINE MODEL]]</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[[VALUE]]</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[[VALUE]]</w:t>
            </w:r>
          </w:p>
        </w:tc>
        <w:tc>
          <w:tcPr>
            <w:tcW w:type="dxa" w:w="280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[[LOWER, UPPER]]</w:t>
            </w:r>
          </w:p>
        </w:tc>
      </w:tr>
      <w:tr>
        <w:trPr>
          <w:cantSplit/>
        </w:trPr>
        <w:tc>
          <w:tcPr>
            <w:tcW w:type="dxa" w:w="325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 xml:space="preserve">Time to zone / </w:t>
            </w:r>
            <w:r>
              <w:rPr>
                <w:b/>
                <w:color w:val="9C0006"/>
                <w:sz w:val="16"/>
                <w:highlight w:val="yellow"/>
              </w:rPr>
              <w:t>[[BASELINE MODEL]]</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[[VALUE]]</w:t>
            </w:r>
            <w:r>
              <w:rPr>
                <w:sz w:val="16"/>
              </w:rPr>
              <w:t xml:space="preserve"> s</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[[VALUE]]</w:t>
            </w:r>
            <w:r>
              <w:rPr>
                <w:sz w:val="16"/>
              </w:rPr>
              <w:t xml:space="preserve"> s</w:t>
            </w:r>
          </w:p>
        </w:tc>
        <w:tc>
          <w:tcPr>
            <w:tcW w:type="dxa" w:w="280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b/>
                <w:color w:val="9C0006"/>
                <w:sz w:val="16"/>
                <w:highlight w:val="yellow"/>
              </w:rPr>
              <w:t>[[LOWER, UPPER]]</w:t>
            </w:r>
            <w:r>
              <w:rPr>
                <w:sz w:val="16"/>
              </w:rPr>
              <w:t xml:space="preserve"> s</w:t>
            </w:r>
          </w:p>
        </w:tc>
      </w:tr>
      <w:tr>
        <w:trPr>
          <w:cantSplit/>
        </w:trPr>
        <w:tc>
          <w:tcPr>
            <w:tcW w:type="dxa" w:w="3252"/>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 xml:space="preserve">Probability calibration / </w:t>
            </w:r>
            <w:r>
              <w:rPr>
                <w:b/>
                <w:color w:val="9C0006"/>
                <w:sz w:val="16"/>
                <w:highlight w:val="yellow"/>
              </w:rPr>
              <w:t>[[BASELINE MODEL]]</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[[BRIER / ECE]]</w:t>
            </w:r>
          </w:p>
        </w:tc>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[[BRIER / ECE]]</w:t>
            </w:r>
          </w:p>
        </w:tc>
        <w:tc>
          <w:tcPr>
            <w:tcW w:type="dxa" w:w="280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b/>
                <w:color w:val="9C0006"/>
                <w:sz w:val="16"/>
                <w:highlight w:val="yellow"/>
              </w:rPr>
              <w:t>[[LOWER, UPPER]]</w:t>
            </w:r>
          </w:p>
        </w:tc>
      </w:tr>
    </w:tbl>
    <w:p>
      <w:pPr>
        <w:spacing w:after="80"/>
      </w:pPr>
    </w:p>
    <w:p>
      <w:pPr>
        <w:pStyle w:val="MDPI43tablefooter"/>
      </w:pPr>
      <w:r>
        <w:t>CI = confidence interval; ECE = expected calibration error. Model, preprocessing, hyperparameters, seed, and software commit must be reported in the repository.</w:t>
      </w:r>
    </w:p>
    <w:p>
      <w:pPr>
        <w:pStyle w:val="MDPI22heading2"/>
      </w:pPr>
      <w:r>
        <w:t xml:space="preserve">3.12. Software Implementation</w:t>
      </w:r>
    </w:p>
    <w:p>
      <w:pPr>
        <w:pStyle w:val="MDPI23heading3"/>
      </w:pPr>
      <w:r>
        <w:t xml:space="preserve">3.12.1. Pipeline Architecture</w:t>
      </w:r>
    </w:p>
    <w:p>
      <w:pPr>
        <w:pStyle w:val="MDPI31text"/>
      </w:pPr>
      <w:r>
        <w:t xml:space="preserve">The curation described in Sections 3.1–3.10 is implemented as a single versioned pipeline, uavews version [[SOFTWARE_VERSION]], deposited with the release and available at [[SOFTWARE DOI OR REPOSITORY URL]]. The pipeline is a fixed sequence of ten stages: ingestion of the source streams into canonical records; construction of synchronized windows; association of observations with windows; derivation of kinematic ground truth; adjudication of conflicting labels; de-identification and access tiering; technical validation; construction of the evaluation manifests; assembly of the repository package; and application of the release gates; the evaluation protocol these manifests serve is specified in Section 3.11. Each stage consumes the tables written by its predecessors, adds columns or tables, and emits a PROV-O activity [17] recording the software version, the parameter file, the agent, the input and output identifiers, the start and end times, and the completion status. The provenance record distributed with the release is therefore generated by the execution it describes rather than compiled afterwards.</w:t>
      </w:r>
    </w:p>
    <w:p>
      <w:pPr>
        <w:pStyle w:val="MDPI31text"/>
      </w:pPr>
      <w:r>
        <w:t xml:space="preserve">Three ordering constraints are enforced and are not interchangeable. De-identification precedes validation, because the release gates are intended to assess the data that will actually be distributed; validating the pre-sanitization tables would report a completeness, a duplicate rate, and a media-quality profile that no recipient of the open tier obtains. Partitioning follows validation, because the near-duplicate grouping on which the partition constraint depends is itself a validation product. Packaging is last, because the integrity manifest must digest the final byte sequence of every released file, the metadata files included, so that a subsequent alteration of the package manifest is detectable and not only an alteration of the data.</w:t>
      </w:r>
    </w:p>
    <w:p>
      <w:pPr>
        <w:pStyle w:val="MDPI23heading3"/>
      </w:pPr>
      <w:r>
        <w:t xml:space="preserve">3.12.2. Package Composition</w:t>
      </w:r>
    </w:p>
    <w:p>
      <w:pPr>
        <w:pStyle w:val="MDPI31text"/>
      </w:pPr>
      <w:r>
        <w:t xml:space="preserve">The package comprises twenty-three modules and approximately 6,200 lines of Python, excluding tests, organized so that each stage of Section 3.12.1 is implemented by a module with a single responsibility (Table 10). Ingestion is further divided into one adapter per source family, each responsible only for parsing the delivery format that source actually uses, emitting the minimum event envelope defined in Section 3.1, and recording with a reason code whatever it could not determine. Association, labelling, quality measurement, and privacy transformation are performed downstream of the adapters, which allows a new source family to be added without modification to the validation gates.</w:t>
      </w:r>
    </w:p>
    <w:p>
      <w:pPr>
        <w:pStyle w:val="MDPI41tablecaption"/>
      </w:pPr>
      <w:r>
        <w:t xml:space="preserve">Table 10. Modules of the deposited pipeline and their responsibilities.</w:t>
      </w:r>
    </w:p>
    <w:tbl>
      <w:tblPr>
        <w:tblStyle w:val="MDPI41threelinetable"/>
        <w:tblW w:type="dxa" w:w="10346"/>
        <w:jc w:val="left"/>
        <w:tblLayout w:type="fixed"/>
        <w:tblLook w:firstColumn="1" w:firstRow="1" w:lastColumn="0" w:lastRow="0" w:noHBand="0" w:noVBand="1" w:val="04A0"/>
        <w:tblInd w:type="dxa" w:w="80"/>
      </w:tblPr>
      <w:tblGrid>
        <w:gridCol w:w="2586"/>
        <w:gridCol w:w="7760"/>
      </w:tblGrid>
      <w:tr>
        <w:trPr>
          <w:tblHeader w:val="true"/>
          <w:cantSplit/>
        </w:trPr>
        <w:tc>
          <w:tcPr>
            <w:tcW w:type="dxa" w:w="2586"/>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Module</w:t>
            </w:r>
          </w:p>
        </w:tc>
        <w:tc>
          <w:tcPr>
            <w:tcW w:type="dxa" w:w="7760"/>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Responsibility</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config</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Release parameters and controlled vocabularies; load-time consistency checks</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ids</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Keyed, non-invertible, reproducible identifiers; rotating contributor pseudonyms</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timebase</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RFC 3339 [23] and int64 UTC nanosecond representations; clock model; Equation (3); interval algebra</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Warning-zone geometry; Equation (1); direction rule; Equation (2); closing rate</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schema</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Table declarations; structural validator; referential integrity; data dictionary</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ingest.s1–ingest.s4, ingest.common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One normalizer per source family; minimum event envelope</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media_qc</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Measured acoustic and visual quality; perceptual hashing</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association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Window construction; marker-based Equation (3); uncertainty-expanded matching</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labeling</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Evidence tiers; authoritative-field set; conflict adjudication; released-label selection</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agreement</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Krippendorff's alpha [25]; bootstrap intervals; temporal boundary agreement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validation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Equations (4) and (5); missingness; media quality; cross-modal consistency; integrity; gates</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privacy</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Access tiering; residual-risk probe; independent export audit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splits</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Evaluation manifests; duplicate-constraint resolution; per-constraint audit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trialdesign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Detection ranges; warning-time budget; campaign sizing</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packaging</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RO-Crate [15], DataCite [16] and PROV-O [17] metadata; SHA-256 [32] integrity manifest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simulate</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Synthetic rehearsal corpus and annotation simulation (Section 3.12.5)</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pipeline, cli, viz</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Stage orchestration; command-line driver; validation figures</w:t>
            </w:r>
          </w:p>
        </w:tc>
      </w:tr>
    </w:tbl>
    <w:p>
      <w:pPr>
        <w:pStyle w:val="MDPI43tablefooter"/>
      </w:pPr>
      <w:r>
        <w:t xml:space="preserve">Alongside the modules the deposit contains the parameter file and the controlled vocabularies, the test suite, and the scripts that regenerate the validation report and the deposit archive.</w:t>
      </w:r>
    </w:p>
    <w:p>
      <w:pPr>
        <w:pStyle w:val="MDPI23heading3"/>
      </w:pPr>
      <w:r>
        <w:t xml:space="preserve">3.12.3. Parameterization</w:t>
      </w:r>
    </w:p>
    <w:p>
      <w:pPr>
        <w:pStyle w:val="MDPI31text"/>
      </w:pPr>
      <w:r>
        <w:t xml:space="preserve">No threshold appears in the source code. Every release-specific quantity — the direction dead-band and its evaluation stride, the minimum association overlap, the synchronization tolerance, the near-duplicate radius, the temporal embargo, the annotation thresholds, the acceptance rules of Table 7, and the planning assumptions of Section 3.12.5 — is declared in a single parameter file, and the controlled values of Tables 4 and 5 are declared in a companion vocabulary file that the structural validator enforces as the only admissible entries. Two properties follow. A run is reproducible from one artefact, and the value quoted in this article cannot diverge from the value the pipeline used, because both are read from the same file and that file is named in every provenance activity.</w:t>
      </w:r>
    </w:p>
    <w:p>
      <w:pPr>
        <w:pStyle w:val="MDPI31text"/>
      </w:pPr>
      <w:r>
        <w:t xml:space="preserve">The configuration is validated when it is loaded rather than when each value is first used. Split fractions that do not sum to unity, a window hop exceeding the window span, a warning-zone polygon with fewer than three vertices, a non-positive overlap minimum, and a dead-band below the uncertainty floor derived in Section 3.12.4 are rejected before any data is read.</w:t>
      </w:r>
    </w:p>
    <w:p>
      <w:pPr>
        <w:pStyle w:val="MDPI23heading3"/>
      </w:pPr>
      <w:r>
        <w:t xml:space="preserve">3.12.4. Computation of the Reported Quantities</w:t>
      </w:r>
    </w:p>
    <w:p>
      <w:pPr>
        <w:pStyle w:val="MDPI31text"/>
      </w:pPr>
      <w:r>
        <w:t xml:space="preserve">Equations (1) to (5) do not by themselves determine every implementation choice that affects the values reported in Tables 2 and 7. The decisions that do are stated here so that the reported quantities can be reproduced or disputed (Table 11).</w:t>
      </w:r>
    </w:p>
    <w:p>
      <w:pPr>
        <w:pStyle w:val="MDPI31text"/>
      </w:pPr>
      <w:r>
        <w:t xml:space="preserve">The boundary distance of Equation (1) is computed to the edges of the zone boundary rather than to its vertices, over the horizontal components only, and is left unsigned; containment is carried as a separate flag, and a signed form is used solely to detect the crossing required by Equation (2), where an unsigned distance would touch zero and rebound without changing sign. The dead-band of the direction rule is derived rather than assumed: the two fixes entering the difference d(t + Δt) − d(t) are independent, so ε = k√2 σ</w:t>
      </w:r>
      <w:r>
        <w:rPr>
          <w:vertAlign w:val="subscript"/>
        </w:rPr>
        <w:t xml:space="preserve">h</w:t>
      </w:r>
      <w:r>
        <w:t xml:space="preserve">, and a value configured below that floor is rejected. The crossing time of Equation (2) is refined by linear interpolation between the bracketing reference samples, which removes a quantization bias of up to one sampling interval; tracks without a verified crossing are recorded as censored and are never assigned an extrapolated value.</w:t>
      </w:r>
    </w:p>
    <w:p>
      <w:pPr>
        <w:pStyle w:val="MDPI31text"/>
      </w:pPr>
      <w:r>
        <w:t xml:space="preserve">Equation (3) is evaluated on the synchronization marker that opens each run, that is, on one physical instant timed by two clocks. Sources that cannot observe the marker — mobile devices and the external public feed — carry a null measurement together with their declared offset uncertainty, and no measured statistic is reported for them. An observation is associated with a window when the uncertainty-expanded intervals either share the configured absolute overlap or cover the configured fraction of the shorter interval; the absolute criterion governs extended observations, and the fractional criterion governs instantaneous ones, for which an absolute requirement is unsatisfiable in principle.</w:t>
      </w:r>
    </w:p>
    <w:p>
      <w:pPr>
        <w:pStyle w:val="MDPI31text"/>
      </w:pPr>
      <w:r>
        <w:t xml:space="preserve">Equation (4) is averaged over the required-field set declared in the schema rather than over the populated columns, so that completeness is measured against what a record was specified to contain. Equation (5) is evaluated over object groups, with byte-identical and perceptually near-identical objects grouped together and reported as separate rates; content that is degenerate — silence, saturation, gross over- or under-exposure — is grouped by digest alone, since a perceptual signature of such content is uninformative. Acoustic signal-to-noise ratio is estimated by a harmonic-sum statistic referred to the total in-band noise power, which is the quantity the propagation model predicts; the estimator declares a sensitivity bound calibrated by simulation under the noise hypothesis and returns a null with an explicit code below it, rather than a value indistinguishable from noise. Agreement is reported with bootstrap intervals resampled over annotation units rather than over individual judgements, which preserves the within-unit structure the coefficient is defined on.</w:t>
      </w:r>
    </w:p>
    <w:p>
      <w:pPr>
        <w:pStyle w:val="MDPI41tablecaption"/>
      </w:pPr>
      <w:r>
        <w:t xml:space="preserve">Table 11. Reported quantities, the module that computes them, and the implementation decision that determines their value.</w:t>
      </w:r>
    </w:p>
    <w:tbl>
      <w:tblPr>
        <w:tblStyle w:val="MDPI41threelinetable"/>
        <w:tblW w:type="dxa" w:w="10346"/>
        <w:jc w:val="left"/>
        <w:tblLayout w:type="fixed"/>
        <w:tblLook w:firstColumn="1" w:firstRow="1" w:lastColumn="0" w:lastRow="0" w:noHBand="0" w:noVBand="1" w:val="04A0"/>
        <w:tblInd w:type="dxa" w:w="80"/>
      </w:tblPr>
      <w:tblGrid>
        <w:gridCol w:w="3671"/>
        <w:gridCol w:w="1669"/>
        <w:gridCol w:w="5006"/>
      </w:tblGrid>
      <w:tr>
        <w:trPr>
          <w:tblHeader w:val="true"/>
          <w:cantSplit/>
        </w:trPr>
        <w:tc>
          <w:tcPr>
            <w:tcW w:type="dxa" w:w="3671"/>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Reported quantity</w:t>
            </w:r>
          </w:p>
        </w:tc>
        <w:tc>
          <w:tcPr>
            <w:tcW w:type="dxa" w:w="1669"/>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Module</w:t>
            </w:r>
          </w:p>
        </w:tc>
        <w:tc>
          <w:tcPr>
            <w:tcW w:type="dxa" w:w="5006"/>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Determining decision</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Boundary distance, Equation (1)</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Distance to boundary edges, horizontal components only</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Movement direction</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Dead-band ε = k√2 σ</w:t>
            </w:r>
            <w:r>
              <w:rPr>
                <w:vertAlign w:val="subscript"/>
              </w:rPr>
              <w:t xml:space="preserve">h</w:t>
            </w:r>
            <w:r>
              <w:t xml:space="preserve">, enforced as a floor</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Warning time, Equation (2)</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Interpolated crossing; censoring without a verified crossing</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Synchronization error, Equation (3)</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association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Evaluated on run-opening markers; null for asynchronous sources</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Window association</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association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Absolute or fractional overlap of uncertainty-expanded intervals</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Completeness, Equation (4)</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validation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Averaged over the declared required-field set</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Duplicate rate, Equation (5)</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validation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Object-group level; exact and near rates reported separately</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Acoustic quality</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media_qc</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Harmonic-sum SNR with a simulated sensitivity bound</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Annotation agreement</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agreement</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Krippendorff's alpha with unit-level bootstrap</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Partition disjointness</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splits</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Audited against each manifest's own stated constraint</w:t>
            </w:r>
          </w:p>
        </w:tc>
      </w:tr>
    </w:tbl>
    <w:p>
      <w:pPr>
        <w:pStyle w:val="MDPI23heading3"/>
      </w:pPr>
      <w:r>
        <w:t xml:space="preserve">3.12.5. Verification and Reproducibility</w:t>
      </w:r>
    </w:p>
    <w:p>
      <w:pPr>
        <w:pStyle w:val="MDPI31text"/>
      </w:pPr>
      <w:r>
        <w:t xml:space="preserve">The pipeline is accompanied by a suite of 54 tests directed at the class of defect that produces plausible output rather than an error: an equation evaluated with the wrong sign or over the wrong domain, a partition that leaks, a duplicate detector that groups unrelated content, an estimator that reports noise as a weak detection. Several properties are asserted from both sides — the dead-band suppresses positional noise at the derived ε, and the same track yields spurious direction labels when ε is set to zero; the signal-to-noise estimator is accurate above its declared bound and returns a null below it.</w:t>
      </w:r>
    </w:p>
    <w:p>
      <w:pPr>
        <w:pStyle w:val="MDPI31text"/>
      </w:pPr>
      <w:r>
        <w:t xml:space="preserve">Prior to collection, the pipeline was exercised end to end on a synthetic rehearsal corpus generated from a fixed seed by the simulate module. The corpus is emitted in the delivery formats the real sources use and carries deliberately injected defects — redelivered upstream events, re-encoded media, gross clock offsets, dropped channels, clipped and silent audio, blurred and mis-exposed frames, incidental speech, annotator disagreement near the detection limit, and reports contradicting the reference trajectory — so that each validation gate is confirmed to fire on the condition it is intended to detect. The exercise is a verification of the instrument and not an observation of the phenomenon: </w:t>
      </w:r>
      <w:r>
        <w:rPr>
          <w:b/>
        </w:rPr>
        <w:t xml:space="preserve">no value derived from the rehearsal corpus is reported in this article</w:t>
      </w:r>
      <w:r>
        <w:t xml:space="preserve">, and every statistic in Tables 2 and 7 is computed by the same pipeline over the deposited release.</w:t>
      </w:r>
    </w:p>
    <w:p>
      <w:pPr>
        <w:pStyle w:val="MDPI31text"/>
      </w:pPr>
      <w:r>
        <w:t xml:space="preserve">Reproducibility was verified rather than assumed. Two executions from an empty directory over identical inputs produce byte-identical canonical tables, evaluation manifests, and data dictionary. Three files differ between runs, and all three legitimately carry wall-clock timestamps: the RO-Crate manifest, the provenance log, and the checksum manifest that digests them.</w:t>
      </w:r>
    </w:p>
    <w:p>
      <w:pPr>
        <w:pStyle w:val="MDPI31text"/>
      </w:pPr>
      <w:r>
        <w:t xml:space="preserve">The runtime requires Python 3.11 or later with NumPy, pandas, PyArrow, and PyYAML; Matplotlib is required only to render the validation figures and pytest only to run the tests. There are no compiled extensions and no service dependencies. Numerical components that a future environment might otherwise fail to supply — the discrete cosine transform used for perceptual hashing, the inverse normal cumulative distribution function, the grayscale image codec, and the simulated null distribution of the acoustic estimator — are implemented within the package, so that the release can be regenerated without resolving a dependency tree.</w:t>
      </w:r>
    </w:p>
    <w:p>
      <w:pPr>
        <w:pStyle w:val="MDPI31text"/>
      </w:pPr>
      <w:r>
        <w:t xml:space="preserve">The pipeline is versioned independently of the data. A change to the curation logic that alters a released value is a major software version and forces a new dataset version under the scheme of Section 2.2; a change confined to reporting, packaging or performance does not. The changelog and release metadata described in Section 4.5 record which software version produced each dataset version.</w:t>
      </w:r>
    </w:p>
    <w:p>
      <w:pPr>
        <w:pStyle w:val="MDPI21heading1"/>
        <w:keepNext/>
      </w:pPr>
      <w:r>
        <w:t>4. User Notes</w:t>
      </w:r>
    </w:p>
    <w:p>
      <w:pPr>
        <w:pStyle w:val="MDPI22heading2"/>
        <w:keepNext/>
      </w:pPr>
      <w:r>
        <w:t>4.1. Access and Joining Data</w:t>
      </w:r>
    </w:p>
    <w:p>
      <w:pPr>
        <w:pStyle w:val="MDPI31text"/>
      </w:pPr>
      <w:r>
        <w:t xml:space="preserve">Open-tier files are obtained from </w:t>
      </w:r>
      <w:r>
        <w:rPr>
          <w:b/>
          <w:color w:val="9C0006"/>
          <w:highlight w:val="yellow"/>
        </w:rPr>
        <w:t>[[REPOSITORY]]</w:t>
      </w:r>
      <w:r>
        <w:t xml:space="preserve"> using DOI </w:t>
      </w:r>
      <w:r>
        <w:rPr>
          <w:b/>
          <w:color w:val="9C0006"/>
          <w:highlight w:val="yellow"/>
        </w:rPr>
        <w:t>[[DATASET DOI]]</w:t>
      </w:r>
      <w:r>
        <w:t>. Users should verify checksums before analysis and cite the exact version. events.parquet is the starting table. windows.parquet joins on event_id; observations.parquet joins on event_id and optionally window_id; labels.parquet joins through its target_type and target_id fields; and media_manifest.parquet resolves object_uri. The repository provides a minimal notebook that loads the tables, verifies schema and checksums, filters by evidence tier, and materializes one event without revealing controlled metadata.</w:t>
      </w:r>
    </w:p>
    <w:p>
      <w:pPr>
        <w:pStyle w:val="MDPI31text"/>
      </w:pPr>
      <w:r>
        <w:t xml:space="preserve">Controlled-tier requests are submitted to </w:t>
      </w:r>
      <w:r>
        <w:rPr>
          <w:b/>
          <w:color w:val="9C0006"/>
          <w:highlight w:val="yellow"/>
        </w:rPr>
        <w:t>[[DATA ACCESS COMMITTEE / CONTACT]]</w:t>
      </w:r>
      <w:r>
        <w:t>. The request must identify the research question, requested fields, institution, security environment, retention period, intended outputs, and ethics approval where applicable. Approval does not grant access to operational identifiers that are unnecessary for the approved question. Where a safe extract cannot be produced, access is denied with a reason recorded in the access log.</w:t>
      </w:r>
    </w:p>
    <w:p>
      <w:pPr>
        <w:pStyle w:val="MDPI22heading2"/>
        <w:keepNext/>
      </w:pPr>
      <w:r>
        <w:t>4.2. Recommended Reuse</w:t>
      </w:r>
    </w:p>
    <w:p>
      <w:pPr>
        <w:pStyle w:val="MDPI31text"/>
      </w:pPr>
      <w:r>
        <w:t>The dataset is suitable for event detection, approach-direction classification, warning-time estimation, weak-label learning, multimodal fusion under missing channels, calibration, hard-negative evaluation, domain transfer across generalized locations and periods, and data-quality research. Users should declare the evidence tiers included in training and evaluation, avoid interpreting weak reports as physical truth, preserve event grouping, and report results by modality availability and source quality. A frame-level score without event-level false alarms and warning lead time is insufficient for the intended early-warning use case.</w:t>
      </w:r>
    </w:p>
    <w:p>
      <w:pPr>
        <w:pStyle w:val="MDPI31text"/>
      </w:pPr>
      <w:r>
        <w:t>For reproducibility, derivative datasets should retain parent event_id values or publish a documented mapping, identify the source version, record all filtering and transformations, publish split manifests, and provide an integrity manifest. Synthetic augmentation must be marked as synthetic and kept outside the canonical test set. A model trained on controlled data should not be described as validated for public deployment unless evaluated under the independent location- and time-holdout protocols.</w:t>
      </w:r>
    </w:p>
    <w:p>
      <w:pPr>
        <w:pStyle w:val="MDPI22heading2"/>
        <w:keepNext/>
      </w:pPr>
      <w:r>
        <w:t>4.3. Known Limitations and Biases</w:t>
      </w:r>
    </w:p>
    <w:p>
      <w:pPr>
        <w:pStyle w:val="MDPI31text"/>
      </w:pPr>
      <w:r>
        <w:t xml:space="preserve">Coverage is limited to </w:t>
      </w:r>
      <w:r>
        <w:rPr>
          <w:b/>
          <w:color w:val="9C0006"/>
          <w:highlight w:val="yellow"/>
        </w:rPr>
        <w:t>[[REGION / CLIMATE DESCRIPTION]]</w:t>
      </w:r>
      <w:r>
        <w:t xml:space="preserve">, </w:t>
      </w:r>
      <w:r>
        <w:rPr>
          <w:b/>
          <w:color w:val="9C0006"/>
          <w:highlight w:val="yellow"/>
        </w:rPr>
        <w:t>[[N_LOCATIONS]]</w:t>
      </w:r>
      <w:r>
        <w:t xml:space="preserve"> generalized locations, the participating device families, and the operational conditions authorized during </w:t>
      </w:r>
      <w:r>
        <w:rPr>
          <w:b/>
          <w:color w:val="9C0006"/>
          <w:highlight w:val="yellow"/>
        </w:rPr>
        <w:t>[[COLLECTION_PERIOD]]</w:t>
      </w:r>
      <w:r>
        <w:t>. Controlled flights may be cleaner and more balanced than natural observations. Voluntary mobile reports can overrepresent engaged users, populated areas, conspicuous events, and devices with better connectivity. Public warning events may have administrative latency and changing category definitions. Visual and acoustic sensors have modality-specific blind spots under occlusion, low illumination, distance, wind, precipitation, reverberation, compression, and local noise.</w:t>
      </w:r>
    </w:p>
    <w:p>
      <w:pPr>
        <w:pStyle w:val="MDPI31text"/>
      </w:pPr>
      <w:r>
        <w:t>Ground-truth uncertainty increases where the independent reference is missing or where location generalization removes geometric precision. Weak labels may correlate with the public warning system rather than with the physical event. De-identification can reduce acoustic or visual utility. Controlled-access restrictions may limit exact replication of analyses requiring fine spatial or temporal resolution. These limitations should be reported as strata in any downstream evaluation rather than averaged away.</w:t>
      </w:r>
    </w:p>
    <w:p>
      <w:pPr>
        <w:pStyle w:val="MDPI22heading2"/>
        <w:keepNext/>
      </w:pPr>
      <w:r>
        <w:t>4.4. Privacy, Safety, and Dual-Use Controls</w:t>
      </w:r>
    </w:p>
    <w:p>
      <w:pPr>
        <w:pStyle w:val="MDPI31text"/>
      </w:pPr>
      <w:r>
        <w:t>The resource has legitimate uses in public safety, resilient sensing, warning research, and evaluation of false alarms, but it also has dual-use potential. Detailed site coordinates, coverage gaps, operational thresholds, network topology, contributor identity, and raw warning-source mappings could expose people or defensive infrastructure. The public tier therefore provides the minimum information required for scientific reuse while withholding tactical detail. The controlled tier is governed by purpose limitation, least-privilege access, logging, contractual restrictions on reidentification and harmful use, and disclosure review for derived outputs.</w:t>
      </w:r>
    </w:p>
    <w:p>
      <w:pPr>
        <w:pStyle w:val="MDPI31text"/>
      </w:pPr>
      <w:r>
        <w:t>This dataset does not provide instructions for defeating monitoring systems, optimizing harmful flight paths, or identifying protected sites. Researchers must comply with aviation, privacy, data-protection, national-security, and export-control obligations in their jurisdiction. The societal value and residual dual-use risk should be reassessed at each major release, after new linkage sources appear, and before expanding spatial or temporal precision.</w:t>
      </w:r>
    </w:p>
    <w:p>
      <w:pPr>
        <w:pStyle w:val="MDPI22heading2"/>
        <w:keepNext/>
      </w:pPr>
      <w:r>
        <w:t>4.5. Version Updates, Citation, and Maintenance</w:t>
      </w:r>
    </w:p>
    <w:p>
      <w:pPr>
        <w:pStyle w:val="MDPI31text"/>
      </w:pPr>
      <w:r>
        <w:t>The repository publishes a changelog, machine-readable release metadata, schema version, data dictionary version, code release or commit, checksums, deprecated fields, withdrawn objects, and known issues. Each preserved release receives a persistent identifier. Users must cite both this Data Descriptor and the dataset record for the exact version analyzed. Corrections that alter labels, split membership, privacy treatment, or scientific interpretation trigger a new citable release and a documented impact assessment.</w:t>
      </w:r>
    </w:p>
    <w:p>
      <w:pPr>
        <w:pStyle w:val="MDPI62backmatter"/>
      </w:pPr>
      <w:r>
        <w:rPr>
          <w:b/>
        </w:rPr>
        <w:t>Supplementary Materials:</w:t>
      </w:r>
      <w:r>
        <w:t xml:space="preserve"> The following materials will be available with the deposited dataset: File S1, machine-readable data dictionary; File S2, annotation handbook; File S3, schema and validation report; File S4, event/location/time-disjoint manifests; File S5, privacy and controlled-access documentation; File S6, reproducible validation and baseline code.</w:t>
      </w:r>
    </w:p>
    <w:p>
      <w:pPr>
        <w:pStyle w:val="MDPI62backmatter"/>
      </w:pPr>
      <w:r>
        <w:rPr>
          <w:b/>
        </w:rPr>
        <w:t>Author Contributions:</w:t>
      </w:r>
      <w:r>
        <w:t xml:space="preserve"> Conceptualization, D.P.-T.; methodology, D.P.-T.; formal analysis, D.P.-T.; investigation, D.P.-T.; data curation, D.P.-T.; writing - original draft preparation, D.P.-T.; writing - review and editing, D.P.-T.; visualization, D.P.-T.; supervision, D.P.-T.; project administration, D.P.-T. </w:t>
      </w:r>
      <w:r>
        <w:rPr>
          <w:b/>
          <w:color w:val="9C0006"/>
          <w:highlight w:val="yellow"/>
        </w:rPr>
        <w:t>[[REVISE CRediT ROLES AFTER THE FULL AUTHOR LIST AND ACTUAL DATA-COLLECTION CONTRIBUTIONS ARE CONFIRMED.]]</w:t>
      </w:r>
      <w:r>
        <w:t xml:space="preserve"> The author has read and agreed to the published version of the manuscript.</w:t>
      </w:r>
    </w:p>
    <w:p>
      <w:pPr>
        <w:pStyle w:val="MDPI62backmatter"/>
      </w:pPr>
      <w:r>
        <w:rPr>
          <w:b/>
        </w:rPr>
        <w:t>Funding:</w:t>
      </w:r>
      <w:r>
        <w:t xml:space="preserve"> </w:t>
      </w:r>
      <w:r>
        <w:rPr>
          <w:b/>
          <w:color w:val="9C0006"/>
          <w:highlight w:val="yellow"/>
        </w:rPr>
        <w:t>[[INSERT VERIFIED FUNDING STATEMENT AND APC FUNDER, IF ANY.]]</w:t>
      </w:r>
    </w:p>
    <w:p>
      <w:pPr>
        <w:pStyle w:val="MDPI62backmatter"/>
      </w:pPr>
      <w:r>
        <w:rPr>
          <w:b/>
        </w:rPr>
        <w:t>Institutional Review Board Statement:</w:t>
      </w:r>
      <w:r>
        <w:t xml:space="preserve"> </w:t>
      </w:r>
      <w:r>
        <w:rPr>
          <w:b/>
          <w:color w:val="9C0006"/>
          <w:highlight w:val="yellow"/>
        </w:rPr>
        <w:t>[[INSERT THE NAME OF THE ETHICS COMMITTEE, APPROVAL OR FORMAL EXEMPTION, PROTOCOL CODE, DATE, AND LEGAL BASIS APPLICABLE TO MOBILE PARTICIPANT AND AUDIOVISUAL DATA.]]</w:t>
      </w:r>
    </w:p>
    <w:p>
      <w:pPr>
        <w:pStyle w:val="MDPI62backmatter"/>
      </w:pPr>
      <w:r>
        <w:rPr>
          <w:b/>
        </w:rPr>
        <w:t>Informed Consent Statement:</w:t>
      </w:r>
      <w:r>
        <w:t xml:space="preserve"> </w:t>
      </w:r>
      <w:r>
        <w:rPr>
          <w:b/>
          <w:color w:val="9C0006"/>
          <w:highlight w:val="yellow"/>
        </w:rPr>
        <w:t>[[INSERT THE VERIFIED CONSENT STATEMENT FOR VOLUNTARY MOBILE CONTRIBUTORS AND ANY IDENTIFIABLE AUDIOVISUAL DATA; DESCRIBE WAIVERS ONLY IF FORMALLY APPROVED.]]</w:t>
      </w:r>
    </w:p>
    <w:p>
      <w:pPr>
        <w:pStyle w:val="MDPI62backmatter"/>
      </w:pPr>
      <w:r>
        <w:rPr>
          <w:b/>
        </w:rPr>
        <w:t>Data Availability Statement:</w:t>
      </w:r>
      <w:r>
        <w:t xml:space="preserve"> The open, sanitized data presented in this study are available in </w:t>
      </w:r>
      <w:r>
        <w:rPr>
          <w:b/>
          <w:color w:val="9C0006"/>
          <w:highlight w:val="yellow"/>
        </w:rPr>
        <w:t>[[REPOSITORY]]</w:t>
      </w:r>
      <w:r>
        <w:t xml:space="preserve"> at </w:t>
      </w:r>
      <w:r>
        <w:rPr>
          <w:b/>
          <w:color w:val="9C0006"/>
          <w:highlight w:val="yellow"/>
        </w:rPr>
        <w:t>[[DOI / PERSISTENT URL]]</w:t>
      </w:r>
      <w:r>
        <w:t xml:space="preserve">, version </w:t>
      </w:r>
      <w:r>
        <w:rPr>
          <w:b/>
          <w:color w:val="9C0006"/>
          <w:highlight w:val="yellow"/>
        </w:rPr>
        <w:t>[[DATASET_VERSION]]</w:t>
      </w:r>
      <w:r>
        <w:t xml:space="preserve">. Controlled data are available from </w:t>
      </w:r>
      <w:r>
        <w:rPr>
          <w:b/>
          <w:color w:val="9C0006"/>
          <w:highlight w:val="yellow"/>
        </w:rPr>
        <w:t>[[DATA ACCESS BODY]]</w:t>
      </w:r>
      <w:r>
        <w:t xml:space="preserve"> upon justified request, ethics approval where applicable, and execution of a data-use agreement; access may be denied where disclosure would compromise participant privacy, third-party rights, or operational security. </w:t>
      </w:r>
      <w:r>
        <w:rPr>
          <w:b/>
          <w:color w:val="9C0006"/>
          <w:highlight w:val="yellow"/>
        </w:rPr>
        <w:t>[[CONFIRM THIS STATEMENT AGAINST THE ACTUAL DEPOSIT BEFORE SUBMISSION.]]</w:t>
      </w:r>
    </w:p>
    <w:p>
      <w:pPr>
        <w:pStyle w:val="MDPI62backmatter"/>
      </w:pPr>
      <w:r>
        <w:rPr>
          <w:b/>
        </w:rPr>
        <w:t xml:space="preserve">Software Availability:</w:t>
      </w:r>
      <w:r>
        <w:t xml:space="preserve"> The curation, validation, and packaging pipeline described in Section 3.12 is deposited with the dataset and is separately archived at [[SOFTWARE DOI OR REPOSITORY URL]] under [[SOFTWARE LICENSE]]. The archive contains the source code, the parameter file and controlled vocabularies with which the released version was produced, the test suite, the machine-readable validation report from which the values in Tables 2 and 7 are taken, and the synthetic rehearsal corpus used for pre-collection verification. Executing uavews over the deposited release reproduces every reported validation statistic.</w:t>
      </w:r>
    </w:p>
    <w:p>
      <w:pPr>
        <w:pStyle w:val="MDPI62backmatter"/>
      </w:pPr>
      <w:r>
        <w:rPr>
          <w:b/>
        </w:rPr>
        <w:t>Acknowledgments:</w:t>
      </w:r>
      <w:r>
        <w:t xml:space="preserve"> </w:t>
      </w:r>
      <w:r>
        <w:rPr>
          <w:b/>
          <w:color w:val="9C0006"/>
          <w:highlight w:val="yellow"/>
        </w:rPr>
        <w:t>[[INSERT VERIFIED TECHNICAL, ADMINISTRATIVE, PARTICIPANT, OR IN-KIND SUPPORT.]]</w:t>
      </w:r>
      <w:r>
        <w:t xml:space="preserve"> During the preparation of this manuscript, the author used OpenAI ChatGPT </w:t>
      </w:r>
      <w:r>
        <w:rPr>
          <w:b/>
          <w:color w:val="9C0006"/>
          <w:highlight w:val="yellow"/>
        </w:rPr>
        <w:t>[[INSERT DISPLAYED MODEL/VERSION]]</w:t>
      </w:r>
      <w:r>
        <w:t>, accessed on 29 August 2026, for structural drafting, language refinement, and document preparation. The author reviewed and edited the output and takes full responsibility for the content of this publication.</w:t>
      </w:r>
    </w:p>
    <w:p>
      <w:pPr>
        <w:pStyle w:val="MDPI62backmatter"/>
      </w:pPr>
      <w:r>
        <w:rPr>
          <w:b/>
        </w:rPr>
        <w:t>Conflicts of Interest:</w:t>
      </w:r>
      <w:r>
        <w:t xml:space="preserve"> The author declares no conflicts of interest. </w:t>
      </w:r>
      <w:r>
        <w:rPr>
          <w:b/>
          <w:color w:val="9C0006"/>
          <w:highlight w:val="yellow"/>
        </w:rPr>
        <w:t>[[CONFIRM BEFORE SUBMISSION.]]</w:t>
      </w:r>
    </w:p>
    <w:p>
      <w:pPr>
        <w:pStyle w:val="MDPI21heading1"/>
        <w:keepNext/>
      </w:pPr>
      <w:r>
        <w:t>Abbreviations</w:t>
      </w:r>
    </w:p>
    <w:p>
      <w:pPr>
        <w:pStyle w:val="MDPI32textnoindent"/>
      </w:pPr>
      <w:r>
        <w:t>The following abbreviations are used in this manuscript:</w:t>
      </w:r>
    </w:p>
    <w:p>
      <w:pPr>
        <w:pStyle w:val="MDPI41tablecaption"/>
        <w:keepNext/>
      </w:pPr>
      <w:r>
        <w:t>Table 12. Abbreviations.</w:t>
      </w:r>
    </w:p>
    <w:tbl>
      <w:tblPr>
        <w:tblW w:type="dxa" w:w="10346"/>
        <w:jc w:val="left"/>
        <w:tblLayout w:type="fixed"/>
        <w:tblLook w:firstColumn="1" w:firstRow="1" w:lastColumn="0" w:lastRow="0" w:noHBand="0" w:noVBand="1" w:val="04A0"/>
        <w:tblInd w:type="dxa" w:w="80"/>
      </w:tblPr>
      <w:tblGrid>
        <w:gridCol w:w="2143"/>
        <w:gridCol w:w="8203"/>
      </w:tblGrid>
      <w:tr>
        <w:trPr>
          <w:tblHeader w:val="true"/>
          <w:cantSplit/>
        </w:trPr>
        <w:tc>
          <w:tcPr>
            <w:tcW w:type="dxa" w:w="2143"/>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Abbreviation</w:t>
            </w:r>
          </w:p>
        </w:tc>
        <w:tc>
          <w:tcPr>
            <w:tcW w:type="dxa" w:w="8203"/>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Definition</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CAP</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Common Alerting Protocol</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CI</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Confidence interval</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ECE</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Expected calibration error</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FAIR</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Findable, Accessible, Interoperable, and Reusable</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GNSS</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Global Navigation Satellite System</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JSON-LD</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JavaScript Object Notation for Linked Data</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MAE</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Mean absolute error</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NIST</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National Institute of Standards and Technology</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RO-Crate</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Research Object Crate</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center"/>
            </w:pPr>
            <w:r>
              <w:rPr>
                <w:sz w:val="16"/>
              </w:rPr>
              <w:t>SHA-256</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AFAFA"/>
            <w:vAlign w:val="center"/>
            <w:tcMar>
              <w:top w:w="75" w:type="dxa"/>
              <w:bottom w:w="75" w:type="dxa"/>
              <w:start w:w="80" w:type="dxa"/>
              <w:end w:w="80" w:type="dxa"/>
            </w:tcMar>
          </w:tcPr>
          <w:p>
            <w:pPr>
              <w:pStyle w:val="MDPI42tablebody"/>
              <w:jc w:val="left"/>
            </w:pPr>
            <w:r>
              <w:rPr>
                <w:sz w:val="16"/>
              </w:rPr>
              <w:t>Secure Hash Algorithm with a 256-bit digest</w:t>
            </w:r>
          </w:p>
        </w:tc>
      </w:tr>
      <w:tr>
        <w:trPr>
          <w:cantSplit/>
        </w:trPr>
        <w:tc>
          <w:tcPr>
            <w:tcW w:type="dxa" w:w="214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sz w:val="16"/>
              </w:rPr>
              <w:t>UTC</w:t>
            </w:r>
          </w:p>
        </w:tc>
        <w:tc>
          <w:tcPr>
            <w:tcW w:type="dxa" w:w="8203"/>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left"/>
            </w:pPr>
            <w:r>
              <w:rPr>
                <w:sz w:val="16"/>
              </w:rPr>
              <w:t>Coordinated Universal Time</w:t>
            </w:r>
          </w:p>
        </w:tc>
      </w:tr>
    </w:tbl>
    <w:p>
      <w:pPr>
        <w:spacing w:after="80"/>
      </w:pPr>
    </w:p>
    <w:p>
      <w:pPr>
        <w:pStyle w:val="MDPI21heading1"/>
        <w:keepNext/>
      </w:pPr>
      <w:r>
        <w:t>References</w:t>
      </w:r>
    </w:p>
    <w:p>
      <w:pPr>
        <w:pStyle w:val="MDPI81references"/>
        <w:numPr>
          <w:numId w:val="0"/>
        </w:numPr>
      </w:pPr>
      <w:r>
        <w:t xml:space="preserve">1. Prokopovych-Tkachenko, D. </w:t>
      </w:r>
      <w:r>
        <w:rPr>
          <w:b/>
          <w:color w:val="9C0006"/>
          <w:highlight w:val="yellow"/>
        </w:rPr>
        <w:t>[[DATASET TITLE]]</w:t>
      </w:r>
      <w:r>
        <w:t xml:space="preserve">, version </w:t>
      </w:r>
      <w:r>
        <w:rPr>
          <w:b/>
          <w:color w:val="9C0006"/>
          <w:highlight w:val="yellow"/>
        </w:rPr>
        <w:t>[[DATASET VERSION]]</w:t>
      </w:r>
      <w:r>
        <w:t xml:space="preserve">; </w:t>
      </w:r>
      <w:r>
        <w:rPr>
          <w:b/>
          <w:color w:val="9C0006"/>
          <w:highlight w:val="yellow"/>
        </w:rPr>
        <w:t>[[REPOSITORY / PUBLISHER]]</w:t>
      </w:r>
      <w:r>
        <w:t xml:space="preserve">: </w:t>
      </w:r>
      <w:r>
        <w:rPr>
          <w:b/>
          <w:color w:val="9C0006"/>
          <w:highlight w:val="yellow"/>
        </w:rPr>
        <w:t>[[LOCATION]]</w:t>
      </w:r>
      <w:r>
        <w:t>, 2026.</w:t>
      </w:r>
      <w:r>
        <w:t xml:space="preserve"> </w:t>
      </w:r>
      <w:r>
        <w:rPr>
          <w:b/>
          <w:color w:val="9C0006"/>
          <w:highlight w:val="yellow"/>
        </w:rPr>
        <w:t>[[DATASET DOI URL]]</w:t>
      </w:r>
    </w:p>
    <w:p>
      <w:pPr>
        <w:pStyle w:val="MDPI81references"/>
        <w:numPr>
          <w:numId w:val="0"/>
        </w:numPr>
      </w:pPr>
      <w:r>
        <w:t>2. Wilkinson, M.D.; Dumontier, M.; Aalbersberg, I.J.; et al. The FAIR Guiding Principles for scientific data management and stewardship. Sci. Data 2016, 3, 160018.</w:t>
      </w:r>
      <w:r>
        <w:t xml:space="preserve"> </w:t>
      </w:r>
      <w:hyperlink r:id="rId19">
        <w:r>
          <w:rPr>
            <w:color w:val="0563C1"/>
            <w:u w:val="single"/>
          </w:rPr>
          <w:t>https://doi.org/10.1038/sdata.2016.18</w:t>
        </w:r>
      </w:hyperlink>
    </w:p>
    <w:p>
      <w:pPr>
        <w:pStyle w:val="MDPI81references"/>
        <w:numPr>
          <w:numId w:val="0"/>
        </w:numPr>
      </w:pPr>
      <w:r>
        <w:t>3. Yuan, S.; Yang, Y.; Nguyen, T.H.; Nguyen, T.-M.; Yang, J.; Liu, F.; Li, J.; Wang, H.; Xie, L. MMAUD: A Comprehensive Multi-Modal Anti-UAV Dataset for Modern Miniature Drone Threats. In Proceedings of the 2024 IEEE International Conference on Robotics and Automation, Yokohama, Japan, 13–17 May 2024; pp. 2745–2751.</w:t>
      </w:r>
      <w:r>
        <w:t xml:space="preserve"> </w:t>
      </w:r>
      <w:hyperlink r:id="rId20">
        <w:r>
          <w:rPr>
            <w:color w:val="0563C1"/>
            <w:u w:val="single"/>
          </w:rPr>
          <w:t>https://doi.org/10.1109/ICRA57147.2024.10610957</w:t>
        </w:r>
      </w:hyperlink>
    </w:p>
    <w:p>
      <w:pPr>
        <w:pStyle w:val="MDPI81references"/>
        <w:numPr>
          <w:numId w:val="0"/>
        </w:numPr>
      </w:pPr>
      <w:r>
        <w:t>4. Jiang, N.; Wang, K.; Peng, X.; Yu, X.; Wang, Q.; Xing, J.; Li, G.; Guo, G.; Ye, Q.; Jiao, J.; Zhao, J.; Han, Z. Anti-UAV: A Large-Scale Benchmark for Vision-Based UAV Tracking. IEEE Trans. Multimedia 2023, 25, 486–500.</w:t>
      </w:r>
      <w:r>
        <w:t xml:space="preserve"> </w:t>
      </w:r>
      <w:hyperlink r:id="rId21">
        <w:r>
          <w:rPr>
            <w:color w:val="0563C1"/>
            <w:u w:val="single"/>
          </w:rPr>
          <w:t>https://doi.org/10.1109/TMM.2021.3128047</w:t>
        </w:r>
      </w:hyperlink>
    </w:p>
    <w:p>
      <w:pPr>
        <w:pStyle w:val="MDPI81references"/>
        <w:numPr>
          <w:numId w:val="0"/>
        </w:numPr>
      </w:pPr>
      <w:r>
        <w:t>5. Allahham, M.S.; Al-Sa'd, M.F.; Al-Ali, A.; Mohamed, A.; Khattab, T.; Erbad, A. DroneRF dataset: A dataset of drones for RF-based detection, classification and identification. Data Brief 2019, 26, 104313.</w:t>
      </w:r>
      <w:r>
        <w:t xml:space="preserve"> </w:t>
      </w:r>
      <w:hyperlink r:id="rId22">
        <w:r>
          <w:rPr>
            <w:color w:val="0563C1"/>
            <w:u w:val="single"/>
          </w:rPr>
          <w:t>https://doi.org/10.1016/j.dib.2019.104313</w:t>
        </w:r>
      </w:hyperlink>
    </w:p>
    <w:p>
      <w:pPr>
        <w:pStyle w:val="MDPI81references"/>
        <w:numPr>
          <w:numId w:val="0"/>
        </w:numPr>
      </w:pPr>
      <w:r>
        <w:t>6. Coluccia, A.; Fascista, A.; Schumann, A.; Sommer, L.; Dimou, A.; Zarpalas, D.; Mendez, M.; de la Iglesia, D.; Gonzalez, I.; Mercier, J.-P.; et al. Drone vs. Bird Detection: Deep Learning Algorithms and Results from a Grand Challenge. Sensors 2021, 21, 2824.</w:t>
      </w:r>
      <w:r>
        <w:t xml:space="preserve"> </w:t>
      </w:r>
      <w:hyperlink r:id="rId23">
        <w:r>
          <w:rPr>
            <w:color w:val="0563C1"/>
            <w:u w:val="single"/>
          </w:rPr>
          <w:t>https://doi.org/10.3390/s21082824</w:t>
        </w:r>
      </w:hyperlink>
    </w:p>
    <w:p>
      <w:pPr>
        <w:pStyle w:val="MDPI81references"/>
        <w:numPr>
          <w:numId w:val="0"/>
        </w:numPr>
      </w:pPr>
      <w:r>
        <w:t>7. Al-Emadi, S.; Al-Ali, A.; Al-Ali, A. Audio-Based Drone Detection and Identification Using Deep Learning Techniques with Dataset Enhancement through Generative Adversarial Networks. Sensors 2021, 21, 4953.</w:t>
      </w:r>
      <w:r>
        <w:t xml:space="preserve"> </w:t>
      </w:r>
      <w:hyperlink r:id="rId24">
        <w:r>
          <w:rPr>
            <w:color w:val="0563C1"/>
            <w:u w:val="single"/>
          </w:rPr>
          <w:t>https://doi.org/10.3390/s21154953</w:t>
        </w:r>
      </w:hyperlink>
    </w:p>
    <w:p>
      <w:pPr>
        <w:pStyle w:val="MDPI81references"/>
        <w:numPr>
          <w:numId w:val="0"/>
        </w:numPr>
      </w:pPr>
      <w:r>
        <w:t>8. Lahat, D.; Adali, T.; Jutten, C. Multimodal Data Fusion: An Overview of Methods, Challenges, and Prospects. Proc. IEEE 2015, 103, 1449–1477.</w:t>
      </w:r>
      <w:r>
        <w:t xml:space="preserve"> </w:t>
      </w:r>
      <w:hyperlink r:id="rId25">
        <w:r>
          <w:rPr>
            <w:color w:val="0563C1"/>
            <w:u w:val="single"/>
          </w:rPr>
          <w:t>https://doi.org/10.1109/JPROC.2015.2460697</w:t>
        </w:r>
      </w:hyperlink>
    </w:p>
    <w:p>
      <w:pPr>
        <w:pStyle w:val="MDPI81references"/>
        <w:numPr>
          <w:numId w:val="0"/>
        </w:numPr>
      </w:pPr>
      <w:r>
        <w:t>9. Tarábek, P.; Michalek, A.; Hriník, R.; Králik, Ľ.; Decsi, K. Annotated IoT Dataset of Waste Collection Events. Data 2026, 11, 38.</w:t>
      </w:r>
      <w:r>
        <w:t xml:space="preserve"> </w:t>
      </w:r>
      <w:hyperlink r:id="rId26">
        <w:r>
          <w:rPr>
            <w:color w:val="0563C1"/>
            <w:u w:val="single"/>
          </w:rPr>
          <w:t>https://doi.org/10.3390/data11020038</w:t>
        </w:r>
      </w:hyperlink>
    </w:p>
    <w:p>
      <w:pPr>
        <w:pStyle w:val="MDPI81references"/>
        <w:numPr>
          <w:numId w:val="0"/>
        </w:numPr>
      </w:pPr>
      <w:r>
        <w:t>10. Pfitzinger, T.; Koch, M.; Schlenke, F.; Wöhrle, H. Multi-Modal Dataset of Human Activities of Daily Living with Ambient Audio, Vibration, and Environmental Data. Data 2024, 9, 144.</w:t>
      </w:r>
      <w:r>
        <w:t xml:space="preserve"> </w:t>
      </w:r>
      <w:hyperlink r:id="rId27">
        <w:r>
          <w:rPr>
            <w:color w:val="0563C1"/>
            <w:u w:val="single"/>
          </w:rPr>
          <w:t>https://doi.org/10.3390/data9120144</w:t>
        </w:r>
      </w:hyperlink>
    </w:p>
    <w:p>
      <w:pPr>
        <w:pStyle w:val="MDPI81references"/>
        <w:numPr>
          <w:numId w:val="0"/>
        </w:numPr>
      </w:pPr>
      <w:r>
        <w:t>11. Janssens, R.; Berkvens, R.; Bellekens, B. Dataset for Device-Free Wireless Sensing of Crowd Size in Public Transportation Environments. Data 2026, 11, 21.</w:t>
      </w:r>
      <w:r>
        <w:t xml:space="preserve"> </w:t>
      </w:r>
      <w:hyperlink r:id="rId28">
        <w:r>
          <w:rPr>
            <w:color w:val="0563C1"/>
            <w:u w:val="single"/>
          </w:rPr>
          <w:t>https://doi.org/10.3390/data11010021</w:t>
        </w:r>
      </w:hyperlink>
    </w:p>
    <w:p>
      <w:pPr>
        <w:pStyle w:val="MDPI81references"/>
        <w:numPr>
          <w:numId w:val="0"/>
        </w:numPr>
      </w:pPr>
      <w:r>
        <w:t>12. Racinskis, P.; Krasnikovs, G.; Arents, J.; Greitans, M. The EDI Multi-Modal Simultaneous Localization and Mapping Dataset (EDI-SLAM). Data 2025, 10, 5.</w:t>
      </w:r>
      <w:r>
        <w:t xml:space="preserve"> </w:t>
      </w:r>
      <w:hyperlink r:id="rId29">
        <w:r>
          <w:rPr>
            <w:color w:val="0563C1"/>
            <w:u w:val="single"/>
          </w:rPr>
          <w:t>https://doi.org/10.3390/data10010005</w:t>
        </w:r>
      </w:hyperlink>
    </w:p>
    <w:p>
      <w:pPr>
        <w:pStyle w:val="MDPI81references"/>
        <w:numPr>
          <w:numId w:val="0"/>
        </w:numPr>
      </w:pPr>
      <w:r>
        <w:t>13. Masalimov, K.; Muslimov, T.; Kozlov, E.; Munasypov, R. CrazyPAD: A Dataset for Assessing the Impact of Structural Defects on Nano-Quadcopter Performance. Data 2024, 9, 79.</w:t>
      </w:r>
      <w:r>
        <w:t xml:space="preserve"> </w:t>
      </w:r>
      <w:hyperlink r:id="rId30">
        <w:r>
          <w:rPr>
            <w:color w:val="0563C1"/>
            <w:u w:val="single"/>
          </w:rPr>
          <w:t>https://doi.org/10.3390/data9060079</w:t>
        </w:r>
      </w:hyperlink>
    </w:p>
    <w:p>
      <w:pPr>
        <w:pStyle w:val="MDPI81references"/>
        <w:numPr>
          <w:numId w:val="0"/>
        </w:numPr>
      </w:pPr>
      <w:r>
        <w:t>14. Gebru, T.; Morgenstern, J.; Vecchione, B.; Vaughan, J.W.; Wallach, H.; Daume III, H.; Crawford, K. Datasheets for Datasets. Commun. ACM 2021, 64, 86–92.</w:t>
      </w:r>
      <w:r>
        <w:t xml:space="preserve"> </w:t>
      </w:r>
      <w:hyperlink r:id="rId31">
        <w:r>
          <w:rPr>
            <w:color w:val="0563C1"/>
            <w:u w:val="single"/>
          </w:rPr>
          <w:t>https://doi.org/10.1145/3458723</w:t>
        </w:r>
      </w:hyperlink>
    </w:p>
    <w:p>
      <w:pPr>
        <w:pStyle w:val="MDPI81references"/>
        <w:numPr>
          <w:numId w:val="0"/>
        </w:numPr>
      </w:pPr>
      <w:r>
        <w:t>15. Soiland-Reyes, S.; Sefton, P.; Crosas, M.; et al. Packaging research artefacts with RO-Crate. Data Sci. 2022, 5, 97–138.</w:t>
      </w:r>
      <w:r>
        <w:t xml:space="preserve"> </w:t>
      </w:r>
      <w:hyperlink r:id="rId32">
        <w:r>
          <w:rPr>
            <w:color w:val="0563C1"/>
            <w:u w:val="single"/>
          </w:rPr>
          <w:t>https://doi.org/10.3233/DS-210053</w:t>
        </w:r>
      </w:hyperlink>
    </w:p>
    <w:p>
      <w:pPr>
        <w:pStyle w:val="MDPI81references"/>
        <w:numPr>
          <w:numId w:val="0"/>
        </w:numPr>
      </w:pPr>
      <w:r>
        <w:t>16. DataCite Metadata Working Group. DataCite Metadata Schema Documentation for the Publication and Citation of Research Data and Other Research Outputs, Version 4.7; DataCite e.V.: 2026.</w:t>
      </w:r>
      <w:r>
        <w:t xml:space="preserve"> </w:t>
      </w:r>
      <w:hyperlink r:id="rId33">
        <w:r>
          <w:rPr>
            <w:color w:val="0563C1"/>
            <w:u w:val="single"/>
          </w:rPr>
          <w:t>https://doi.org/10.14454/qdd3-ps68</w:t>
        </w:r>
      </w:hyperlink>
    </w:p>
    <w:p>
      <w:pPr>
        <w:pStyle w:val="MDPI81references"/>
        <w:numPr>
          <w:numId w:val="0"/>
        </w:numPr>
      </w:pPr>
      <w:r>
        <w:t>17. Lebo, T.; Sahoo, S.; McGuinness, D. PROV-O: The PROV Ontology; W3C Recommendation, 30 April 2013.</w:t>
      </w:r>
      <w:r>
        <w:t xml:space="preserve"> </w:t>
      </w:r>
      <w:hyperlink r:id="rId34">
        <w:r>
          <w:rPr>
            <w:color w:val="0563C1"/>
            <w:u w:val="single"/>
          </w:rPr>
          <w:t>https://www.w3.org/TR/prov-o/</w:t>
        </w:r>
      </w:hyperlink>
    </w:p>
    <w:p>
      <w:pPr>
        <w:pStyle w:val="MDPI81references"/>
        <w:numPr>
          <w:numId w:val="0"/>
        </w:numPr>
      </w:pPr>
      <w:r>
        <w:t>18. Fett, M.; Kraft, M.; Wilking, F.; Goetz, S.; Wartzack, S.; Kirchner, E. Medium-Level Architectures for Digital Twins: Bridging Conceptual Reference Architectures to Practical Implementation in Cloud, Edge and Cloud-Edge Deployments. Electronics 2024, 13, 1373.</w:t>
      </w:r>
      <w:r>
        <w:t xml:space="preserve"> </w:t>
      </w:r>
      <w:hyperlink r:id="rId35">
        <w:r>
          <w:rPr>
            <w:color w:val="0563C1"/>
            <w:u w:val="single"/>
          </w:rPr>
          <w:t>https://doi.org/10.3390/electronics13071373</w:t>
        </w:r>
      </w:hyperlink>
    </w:p>
    <w:p>
      <w:pPr>
        <w:pStyle w:val="MDPI81references"/>
        <w:numPr>
          <w:numId w:val="0"/>
        </w:numPr>
      </w:pPr>
      <w:r>
        <w:t>19. Bocci, A.; Forti, S.; Ferrari, G.-L.; Brogi, A. Declarative Secure Placement of FaaS Orchestrations in the Cloud-Edge Continuum. Electronics 2023, 12, 1332.</w:t>
      </w:r>
      <w:r>
        <w:t xml:space="preserve"> </w:t>
      </w:r>
      <w:hyperlink r:id="rId36">
        <w:r>
          <w:rPr>
            <w:color w:val="0563C1"/>
            <w:u w:val="single"/>
          </w:rPr>
          <w:t>https://doi.org/10.3390/electronics12061332</w:t>
        </w:r>
      </w:hyperlink>
    </w:p>
    <w:p>
      <w:pPr>
        <w:pStyle w:val="MDPI81references"/>
        <w:numPr>
          <w:numId w:val="0"/>
        </w:numPr>
      </w:pPr>
      <w:r>
        <w:t>20. Yang, F.; Sun, Y.; Gao, Q.; Chen, X. EDI-C: Reputation-Model-Based Collaborative Audit Scheme for Edge Data Integrity. Electronics 2024, 13, 75.</w:t>
      </w:r>
      <w:r>
        <w:t xml:space="preserve"> </w:t>
      </w:r>
      <w:hyperlink r:id="rId37">
        <w:r>
          <w:rPr>
            <w:color w:val="0563C1"/>
            <w:u w:val="single"/>
          </w:rPr>
          <w:t>https://doi.org/10.3390/electronics13010075</w:t>
        </w:r>
      </w:hyperlink>
    </w:p>
    <w:p>
      <w:pPr>
        <w:pStyle w:val="MDPI81references"/>
        <w:numPr>
          <w:numId w:val="0"/>
        </w:numPr>
      </w:pPr>
      <w:r>
        <w:t>21. Guo, B.; Wang, Z.; Yu, Z.; Wang, Y.; Yen, N.Y.; Huang, R.; Zhou, X. Mobile Crowd Sensing and Computing: The Review of an Emerging Human-Powered Sensing Paradigm. ACM Comput. Surv. 2015, 48, 7.</w:t>
      </w:r>
      <w:r>
        <w:t xml:space="preserve"> </w:t>
      </w:r>
      <w:hyperlink r:id="rId38">
        <w:r>
          <w:rPr>
            <w:color w:val="0563C1"/>
            <w:u w:val="single"/>
          </w:rPr>
          <w:t>https://doi.org/10.1145/2794400</w:t>
        </w:r>
      </w:hyperlink>
    </w:p>
    <w:p>
      <w:pPr>
        <w:pStyle w:val="MDPI81references"/>
        <w:numPr>
          <w:numId w:val="0"/>
        </w:numPr>
      </w:pPr>
      <w:r>
        <w:t>22. OASIS. Common Alerting Protocol Version 1.2; OASIS Standard, 1 July 2010.</w:t>
      </w:r>
      <w:r>
        <w:t xml:space="preserve"> </w:t>
      </w:r>
      <w:hyperlink r:id="rId39">
        <w:r>
          <w:rPr>
            <w:color w:val="0563C1"/>
            <w:u w:val="single"/>
          </w:rPr>
          <w:t>https://docs.oasis-open.org/emergency/cap/v1.2/CAP-v1.2-os.html</w:t>
        </w:r>
      </w:hyperlink>
    </w:p>
    <w:p>
      <w:pPr>
        <w:pStyle w:val="MDPI81references"/>
        <w:numPr>
          <w:numId w:val="0"/>
        </w:numPr>
      </w:pPr>
      <w:r>
        <w:t>23. Klyne, G.; Newman, C. Date and Time on the Internet: Timestamps; RFC 3339; Internet Engineering Task Force: 2002.</w:t>
      </w:r>
      <w:r>
        <w:t xml:space="preserve"> </w:t>
      </w:r>
      <w:hyperlink r:id="rId40">
        <w:r>
          <w:rPr>
            <w:color w:val="0563C1"/>
            <w:u w:val="single"/>
          </w:rPr>
          <w:t>https://doi.org/10.17487/RFC3339</w:t>
        </w:r>
      </w:hyperlink>
    </w:p>
    <w:p>
      <w:pPr>
        <w:pStyle w:val="MDPI81references"/>
        <w:numPr>
          <w:numId w:val="0"/>
        </w:numPr>
      </w:pPr>
      <w:r>
        <w:t>24. ISO/IEC 25012:2008. Software Engineering - Software Product Quality Requirements and Evaluation (SQuaRE) - Data Quality Model; International Organization for Standardization: Geneva, Switzerland, 2008.</w:t>
      </w:r>
      <w:r>
        <w:t xml:space="preserve"> </w:t>
      </w:r>
      <w:hyperlink r:id="rId41">
        <w:r>
          <w:rPr>
            <w:color w:val="0563C1"/>
            <w:u w:val="single"/>
          </w:rPr>
          <w:t>https://www.iso.org/standard/35736.html</w:t>
        </w:r>
      </w:hyperlink>
    </w:p>
    <w:p>
      <w:pPr>
        <w:pStyle w:val="MDPI81references"/>
        <w:numPr>
          <w:numId w:val="0"/>
        </w:numPr>
      </w:pPr>
      <w:r>
        <w:t>25. Artstein, R.; Poesio, M. Inter-Coder Agreement for Computational Linguistics. Comput. Linguist. 2008, 34, 555–596.</w:t>
      </w:r>
      <w:r>
        <w:t xml:space="preserve"> </w:t>
      </w:r>
      <w:hyperlink r:id="rId42">
        <w:r>
          <w:rPr>
            <w:color w:val="0563C1"/>
            <w:u w:val="single"/>
          </w:rPr>
          <w:t>https://doi.org/10.1162/coli.07-034-R2</w:t>
        </w:r>
      </w:hyperlink>
    </w:p>
    <w:p>
      <w:pPr>
        <w:pStyle w:val="MDPI81references"/>
        <w:numPr>
          <w:numId w:val="0"/>
        </w:numPr>
      </w:pPr>
      <w:r>
        <w:t>26. Roberts, D.R.; Bahn, V.; Ciuti, S.; et al. Cross-validation strategies for data with temporal, spatial, hierarchical, or phylogenetic structure. Ecography 2017, 40, 913–929.</w:t>
      </w:r>
      <w:r>
        <w:t xml:space="preserve"> </w:t>
      </w:r>
      <w:hyperlink r:id="rId43">
        <w:r>
          <w:rPr>
            <w:color w:val="0563C1"/>
            <w:u w:val="single"/>
          </w:rPr>
          <w:t>https://doi.org/10.1111/ecog.02881</w:t>
        </w:r>
      </w:hyperlink>
    </w:p>
    <w:p>
      <w:pPr>
        <w:pStyle w:val="MDPI81references"/>
        <w:numPr>
          <w:numId w:val="0"/>
        </w:numPr>
      </w:pPr>
      <w:r>
        <w:t>27. Kaufman, S.; Rosset, S.; Perlich, C.; Stitelman, O. Leakage in Data Mining: Formulation, Detection, and Avoidance. ACM Trans. Knowl. Discov. Data 2012, 6, 15.</w:t>
      </w:r>
      <w:r>
        <w:t xml:space="preserve"> </w:t>
      </w:r>
      <w:hyperlink r:id="rId44">
        <w:r>
          <w:rPr>
            <w:color w:val="0563C1"/>
            <w:u w:val="single"/>
          </w:rPr>
          <w:t>https://doi.org/10.1145/2382577.2382579</w:t>
        </w:r>
      </w:hyperlink>
    </w:p>
    <w:p>
      <w:pPr>
        <w:pStyle w:val="MDPI81references"/>
        <w:numPr>
          <w:numId w:val="0"/>
        </w:numPr>
      </w:pPr>
      <w:r>
        <w:t>28. Gneiting, T.; Raftery, A.E. Strictly Proper Scoring Rules, Prediction, and Estimation. J. Am. Stat. Assoc. 2007, 102, 359–378.</w:t>
      </w:r>
      <w:r>
        <w:t xml:space="preserve"> </w:t>
      </w:r>
      <w:hyperlink r:id="rId45">
        <w:r>
          <w:rPr>
            <w:color w:val="0563C1"/>
            <w:u w:val="single"/>
          </w:rPr>
          <w:t>https://doi.org/10.1198/016214506000001437</w:t>
        </w:r>
      </w:hyperlink>
    </w:p>
    <w:p>
      <w:pPr>
        <w:pStyle w:val="MDPI81references"/>
        <w:numPr>
          <w:numId w:val="0"/>
        </w:numPr>
      </w:pPr>
      <w:r>
        <w:t>29. Guo, C.; Pleiss, G.; Sun, Y.; Weinberger, K.Q. On Calibration of Modern Neural Networks. In Proceedings of the 34th International Conference on Machine Learning, Sydney, Australia, 6–11 August 2017; Proceedings of Machine Learning Research, Volume 70, pp. 1321–1330.</w:t>
      </w:r>
      <w:r>
        <w:t xml:space="preserve"> </w:t>
      </w:r>
      <w:hyperlink r:id="rId46">
        <w:r>
          <w:rPr>
            <w:color w:val="0563C1"/>
            <w:u w:val="single"/>
          </w:rPr>
          <w:t>https://proceedings.mlr.press/v70/guo17a.html</w:t>
        </w:r>
      </w:hyperlink>
    </w:p>
    <w:p>
      <w:pPr>
        <w:pStyle w:val="MDPI81references"/>
        <w:numPr>
          <w:numId w:val="0"/>
        </w:numPr>
      </w:pPr>
      <w:r>
        <w:t>30. European Parliament and Council of the European Union. Regulation (EU) 2016/679 (General Data Protection Regulation). Off. J. Eur. Union 2016, L119, 1–88.</w:t>
      </w:r>
      <w:r>
        <w:t xml:space="preserve"> </w:t>
      </w:r>
      <w:hyperlink r:id="rId47">
        <w:r>
          <w:rPr>
            <w:color w:val="0563C1"/>
            <w:u w:val="single"/>
          </w:rPr>
          <w:t>https://eur-lex.europa.eu/eli/reg/2016/679/oj</w:t>
        </w:r>
      </w:hyperlink>
    </w:p>
    <w:p>
      <w:pPr>
        <w:pStyle w:val="MDPI81references"/>
        <w:numPr>
          <w:numId w:val="0"/>
        </w:numPr>
      </w:pPr>
      <w:r>
        <w:t>31. Garfinkel, S.L.; Near, J.; Dajani, A.; Singer, P.; Guttman, B. De-Identifying Government Datasets: Techniques and Governance; NIST SP 800-188; National Institute of Standards and Technology: Gaithersburg, MD, USA, 2023.</w:t>
      </w:r>
      <w:r>
        <w:t xml:space="preserve"> </w:t>
      </w:r>
      <w:hyperlink r:id="rId48">
        <w:r>
          <w:rPr>
            <w:color w:val="0563C1"/>
            <w:u w:val="single"/>
          </w:rPr>
          <w:t>https://doi.org/10.6028/NIST.SP.800-188</w:t>
        </w:r>
      </w:hyperlink>
    </w:p>
    <w:p>
      <w:pPr>
        <w:pStyle w:val="MDPI81references"/>
        <w:numPr>
          <w:numId w:val="0"/>
        </w:numPr>
      </w:pPr>
      <w:r>
        <w:t>32. National Institute of Standards and Technology. Secure Hash Standard (SHS); FIPS PUB 180-4; NIST: Gaithersburg, MD, USA, 2015.</w:t>
      </w:r>
      <w:r>
        <w:t xml:space="preserve"> </w:t>
      </w:r>
      <w:hyperlink r:id="rId49">
        <w:r>
          <w:rPr>
            <w:color w:val="0563C1"/>
            <w:u w:val="single"/>
          </w:rPr>
          <w:t>https://doi.org/10.6028/NIST.FIPS.180-4</w:t>
        </w:r>
      </w:hyperlink>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432" w:top="1417" w:footer="432" w:bottom="907"/>
      <w:lnNumType w:countBy="1" w:restart="continuous" w:distance="255"/>
      <w:pgNumType w:start="1" w:fmt="decimal"/>
      <w:formProt w:val="false"/>
      <w:titlePg/>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Palatino Linotype">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Data</w:t>
    </w:r>
    <w:r>
      <w:rPr>
        <w:sz w:val="16"/>
        <w:szCs w:val="16"/>
      </w:rPr>
      <w:t xml:space="preserve"> </w:t>
    </w:r>
    <w:r>
      <w:rPr>
        <w:b/>
        <w:sz w:val="16"/>
        <w:szCs w:val="16"/>
      </w:rPr>
      <w:t>2026</w:t>
    </w:r>
    <w:r>
      <w:rPr>
        <w:sz w:val="16"/>
        <w:szCs w:val="16"/>
      </w:rPr>
      <w:t>,</w:t>
    </w:r>
    <w:r>
      <w:rPr>
        <w:i/>
        <w:sz w:val="16"/>
        <w:szCs w:val="16"/>
      </w:rPr>
      <w:t xml:space="preserve"> 11</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p>
  <w:p>
    <w:pPr>
      <w:pStyle w:val="Normal"/>
      <w:pBdr>
        <w:bottom w:val="single" w:sz="4" w:space="1" w:color="000000"/>
      </w:pBdr>
      <w:tabs>
        <w:tab w:val="clear" w:pos="510"/>
        <w:tab w:val="right" w:pos="8844" w:leader="none"/>
      </w:tabs>
      <w:snapToGrid w:val="false"/>
      <w:spacing w:lineRule="exact" w:line="100" w:before="0" w:after="480"/>
      <w:jc w:val="star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87"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3678"/>
      <w:gridCol w:w="4536"/>
      <w:gridCol w:w="2273"/>
    </w:tblGrid>
    <w:tr>
      <w:trPr>
        <w:trHeight w:val="686" w:hRule="atLeast"/>
        <w:tblHeader w:val="true"/>
      </w:trPr>
      <w:tc>
        <w:tcPr>
          <w:tcW w:w="3678" w:type="dxa"/>
          <w:tcBorders/>
          <w:vAlign w:val="center"/>
        </w:tcPr>
        <w:p>
          <w:pPr>
            <w:pStyle w:val="Header"/>
            <w:pBdr>
              <w:bottom w:val="nil"/>
            </w:pBdr>
            <w:jc w:val="start"/>
            <w:rPr>
              <w:rFonts w:eastAsia="等线"/>
              <w:b/>
              <w:bCs/>
            </w:rPr>
          </w:pPr>
          <w:r>
            <w:rPr/>
            <w:drawing>
              <wp:inline distT="0" distB="0" distL="0" distR="0">
                <wp:extent cx="885190" cy="431800"/>
                <wp:effectExtent l="0" t="0" r="0" b="0"/>
                <wp:docPr id="4" name="Image4" descr="MDPI Data journal mast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
                        <a:stretch>
                          <a:fillRect/>
                        </a:stretch>
                      </pic:blipFill>
                      <pic:spPr bwMode="auto">
                        <a:xfrm>
                          <a:off x="0" y="0"/>
                          <a:ext cx="885190" cy="431800"/>
                        </a:xfrm>
                        <a:prstGeom prst="rect">
                          <a:avLst/>
                        </a:prstGeom>
                        <a:noFill/>
                      </pic:spPr>
                    </pic:pic>
                  </a:graphicData>
                </a:graphic>
              </wp:inline>
            </w:drawing>
          </w:r>
        </w:p>
      </w:tc>
      <w:tc>
        <w:tcPr>
          <w:tcW w:w="4536"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end"/>
            <w:rPr>
              <w:rFonts w:eastAsia="等线"/>
              <w:b/>
              <w:bCs/>
            </w:rPr>
          </w:pPr>
          <w:r>
            <w:rPr/>
            <w:drawing>
              <wp:inline distT="0" distB="0" distL="0" distR="0">
                <wp:extent cx="539750" cy="360045"/>
                <wp:effectExtent l="0" t="0" r="0" b="0"/>
                <wp:docPr id="5" name="Image5" descr="Open Access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b w:val="false"/>
        <w:i w:val="false"/>
        <w:position w:val="0"/>
        <w:sz w:val="20"/>
        <w:vertAlign w:val="baselin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b w:val="false"/>
        <w:i w:val="false"/>
        <w:position w:val="0"/>
        <w:sz w:val="20"/>
        <w:vertAlign w:val="baselin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bering>
</file>

<file path=word/settings.xml><?xml version="1.0" encoding="utf-8"?>
<w:settings xmlns:w="http://schemas.openxmlformats.org/wordprocessingml/2006/main">
  <w:zoom w:percent="157"/>
  <w:stylePaneFormatFilter w:val="1021" w:allStyles="1" w:customStyles="0" w:latentStyles="0" w:stylesInUse="0" w:headingStyles="1" w:numberingStyles="0" w:tableStyles="0" w:visibleStyles="0"/>
  <w:defaultTabStop w:val="510"/>
  <w:autoHyphenation w:val="true"/>
  <w:hyphenationZone w:val="360"/>
  <w:compat>
    <w:balanceSingleByteDoubleByteWidth/>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142d"/>
    <w:pPr>
      <w:widowControl/>
      <w:suppressAutoHyphens w:val="false"/>
      <w:bidi w:val="0"/>
      <w:spacing w:lineRule="auto" w:line="259" w:before="0" w:after="10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rPr/>
  </w:style>
  <w:style w:type="character" w:styleId="FooterChar" w:customStyle="1">
    <w:name w:val="Footer Char"/>
    <w:link w:val="Footer"/>
    <w:uiPriority w:val="99"/>
    <w:rsid w:val="001d142d"/>
    <w:rPr>
      <w:rFonts w:ascii="Palatino Linotype" w:hAnsi="Palatino Linotype"/>
      <w:color w:val="000000"/>
      <w:szCs w:val="18"/>
    </w:rPr>
  </w:style>
  <w:style w:type="character" w:styleId="HeaderChar" w:customStyle="1">
    <w:name w:val="Header Char"/>
    <w:link w:val="Header"/>
    <w:uiPriority w:val="99"/>
    <w:rsid w:val="001d142d"/>
    <w:rPr>
      <w:rFonts w:ascii="Palatino Linotype" w:hAnsi="Palatino Linotype"/>
      <w:color w:val="000000"/>
      <w:szCs w:val="18"/>
    </w:rPr>
  </w:style>
  <w:style w:type="character" w:styleId="BalloonTextChar" w:customStyle="1">
    <w:name w:val="Balloon Text Char"/>
    <w:link w:val="BalloonText"/>
    <w:uiPriority w:val="99"/>
    <w:rsid w:val="001d142d"/>
    <w:rPr>
      <w:rFonts w:ascii="Palatino Linotype" w:hAnsi="Palatino Linotype" w:cs="Tahoma"/>
      <w:color w:val="000000"/>
      <w:szCs w:val="18"/>
    </w:rPr>
  </w:style>
  <w:style w:type="character" w:styleId="LineNumber">
    <w:name w:val="line number"/>
    <w:uiPriority w:val="99"/>
    <w:rsid w:val="0043220d"/>
    <w:rPr>
      <w:rFonts w:ascii="Palatino Linotype" w:hAnsi="Palatino Linotype"/>
      <w:sz w:val="16"/>
    </w:rPr>
  </w:style>
  <w:style w:type="character" w:styleId="Hyperlink">
    <w:name w:val="Hyperlink"/>
    <w:uiPriority w:val="99"/>
    <w:rsid w:val="001d142d"/>
    <w:rPr>
      <w:color w:val="0000FF"/>
      <w:u w:val="single"/>
    </w:rPr>
  </w:style>
  <w:style w:type="character" w:styleId="UnresolvedMention">
    <w:name w:val="Unresolved Mention"/>
    <w:uiPriority w:val="99"/>
    <w:semiHidden/>
    <w:unhideWhenUsed/>
    <w:rsid w:val="0010294a"/>
    <w:rPr>
      <w:color w:val="605E5C"/>
      <w:shd w:fill="E1DFDD" w:val="clear"/>
    </w:rPr>
  </w:style>
  <w:style w:type="character" w:styleId="apple-converted-space" w:customStyle="1">
    <w:name w:val="apple-converted-space"/>
    <w:rsid w:val="001d142d"/>
    <w:rPr/>
  </w:style>
  <w:style w:type="character" w:styleId="BodyTextChar" w:customStyle="1">
    <w:name w:val="Body Text Char"/>
    <w:rsid w:val="001d142d"/>
    <w:rPr>
      <w:rFonts w:ascii="Palatino Linotype" w:hAnsi="Palatino Linotype"/>
      <w:color w:val="000000"/>
      <w:sz w:val="24"/>
      <w:lang w:eastAsia="de-DE"/>
    </w:rPr>
  </w:style>
  <w:style w:type="character" w:styleId="CommentReference">
    <w:name w:val="annotation reference"/>
    <w:rsid w:val="001d142d"/>
    <w:rPr>
      <w:sz w:val="21"/>
      <w:szCs w:val="21"/>
    </w:rPr>
  </w:style>
  <w:style w:type="character" w:styleId="CommentTextChar" w:customStyle="1">
    <w:name w:val="Comment Text Char"/>
    <w:link w:val="CommentText"/>
    <w:rsid w:val="001d142d"/>
    <w:rPr>
      <w:rFonts w:ascii="Palatino Linotype" w:hAnsi="Palatino Linotype"/>
      <w:color w:val="000000"/>
    </w:rPr>
  </w:style>
  <w:style w:type="character" w:styleId="CommentSubjectChar" w:customStyle="1">
    <w:name w:val="Comment Subject Char"/>
    <w:link w:val="annotationsubject"/>
    <w:rsid w:val="001d142d"/>
    <w:rPr>
      <w:rFonts w:ascii="Palatino Linotype" w:hAnsi="Palatino Linotype"/>
      <w:b/>
      <w:bCs/>
      <w:color w:val="000000"/>
    </w:rPr>
  </w:style>
  <w:style w:type="character" w:styleId="EndnoteCharacters">
    <w:name w:val="Endnote Characters"/>
    <w:rsid w:val="001d142d"/>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rsid w:val="001d142d"/>
    <w:rPr>
      <w:rFonts w:ascii="Palatino Linotype" w:hAnsi="Palatino Linotype"/>
      <w:color w:val="000000"/>
    </w:rPr>
  </w:style>
  <w:style w:type="character" w:styleId="FollowedHyperlink">
    <w:name w:val="FollowedHyperlink"/>
    <w:rsid w:val="001d142d"/>
    <w:rPr>
      <w:color w:val="954F72"/>
      <w:u w:val="single"/>
    </w:rPr>
  </w:style>
  <w:style w:type="character" w:styleId="FootnoteTextChar" w:customStyle="1">
    <w:name w:val="Footnote Text Char"/>
    <w:link w:val="FootnoteText"/>
    <w:semiHidden/>
    <w:rsid w:val="001d142d"/>
    <w:rPr>
      <w:rFonts w:ascii="Palatino Linotype" w:hAnsi="Palatino Linotype"/>
      <w:color w:val="000000"/>
    </w:rPr>
  </w:style>
  <w:style w:type="character" w:styleId="PageNumber">
    <w:name w:val="page number"/>
    <w:rsid w:val="001d142d"/>
    <w:rPr/>
  </w:style>
  <w:style w:type="character" w:styleId="PlaceholderText">
    <w:name w:val="Placeholder Text"/>
    <w:uiPriority w:val="99"/>
    <w:semiHidden/>
    <w:rsid w:val="001d142d"/>
    <w:rPr>
      <w:color w:val="808080"/>
    </w:rPr>
  </w:style>
  <w:style w:type="character" w:styleId="Strong">
    <w:name w:val="Strong"/>
    <w:basedOn w:val="DefaultParagraphFont"/>
    <w:uiPriority w:val="22"/>
    <w:qFormat/>
    <w:rsid w:val="00ec0543"/>
    <w:rPr>
      <w:b/>
      <w:bCs/>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link w:val="BodyTextChar"/>
    <w:rsid w:val="001d142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MDPI11articletype" w:customStyle="1">
    <w:name w:val="MDPI_1.1_article_type"/>
    <w:next w:val="Normal"/>
    <w:qFormat/>
    <w:rsid w:val="001d142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d142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d142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d142d"/>
    <w:pPr>
      <w:snapToGrid w:val="false"/>
      <w:spacing w:lineRule="atLeast" w:line="240"/>
      <w:ind w:end="113"/>
      <w:jc w:val="start"/>
    </w:pPr>
    <w:rPr>
      <w:rFonts w:eastAsia="Times New Roman"/>
      <w:sz w:val="14"/>
      <w:lang w:eastAsia="de-DE" w:bidi="en-US"/>
    </w:rPr>
  </w:style>
  <w:style w:type="paragraph" w:styleId="MDPI16affiliation" w:customStyle="1">
    <w:name w:val="MDPI_1.6_affiliation"/>
    <w:qFormat/>
    <w:rsid w:val="001d142d"/>
    <w:pPr>
      <w:widowControl/>
      <w:bidi w:val="0"/>
      <w:snapToGrid w:val="false"/>
      <w:spacing w:lineRule="atLeast" w:line="200" w:before="0" w:after="0"/>
      <w:ind w:hanging="198" w:start="2806"/>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d142d"/>
    <w:pPr>
      <w:widowControl/>
      <w:bidi w:val="0"/>
      <w:snapToGrid w:val="false"/>
      <w:spacing w:lineRule="atLeast" w:line="280" w:before="240" w:after="12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d142d"/>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d142d"/>
    <w:pPr>
      <w:widowControl/>
      <w:pBdr>
        <w:bottom w:val="single" w:sz="6" w:space="1" w:color="000000"/>
      </w:pBdr>
      <w:bidi w:val="0"/>
      <w:snapToGrid w:val="false"/>
      <w:spacing w:lineRule="atLeast" w:line="280" w:before="0" w:after="480"/>
      <w:ind w:star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1d142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1d142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d142d"/>
    <w:pPr>
      <w:ind w:hanging="0"/>
    </w:pPr>
    <w:rPr/>
  </w:style>
  <w:style w:type="paragraph" w:styleId="MDPI31text" w:customStyle="1">
    <w:name w:val="MDPI_3.1_text"/>
    <w:qFormat/>
    <w:rsid w:val="00d90e76"/>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d142d"/>
    <w:pPr>
      <w:widowControl/>
      <w:bidi w:val="0"/>
      <w:snapToGrid w:val="false"/>
      <w:spacing w:lineRule="atLeast" w:line="280" w:before="0" w:after="24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1d142d"/>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d142d"/>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d142d"/>
    <w:pPr>
      <w:widowControl/>
      <w:bidi w:val="0"/>
      <w:snapToGrid w:val="false"/>
      <w:spacing w:lineRule="atLeast" w:line="280" w:before="12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9061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90618"/>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d142d"/>
    <w:pPr>
      <w:widowControl/>
      <w:bidi w:val="0"/>
      <w:snapToGrid w:val="false"/>
      <w:spacing w:lineRule="atLeast" w:line="280" w:before="120" w:after="120"/>
      <w:ind w:star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d142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d142d"/>
    <w:pPr>
      <w:widowControl/>
      <w:bidi w:val="0"/>
      <w:snapToGrid w:val="false"/>
      <w:spacing w:lineRule="atLeast" w:line="280" w:before="240" w:after="120"/>
      <w:ind w:star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a212e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d142d"/>
    <w:pPr>
      <w:widowControl/>
      <w:bidi w:val="0"/>
      <w:snapToGrid w:val="false"/>
      <w:spacing w:lineRule="atLeast" w:line="280" w:before="0" w:after="0"/>
      <w:ind w:star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d142d"/>
    <w:pPr>
      <w:widowControl/>
      <w:bidi w:val="0"/>
      <w:snapToGrid w:val="false"/>
      <w:spacing w:lineRule="atLeast" w:line="280" w:before="120" w:after="240"/>
      <w:ind w:star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d142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1d142d"/>
    <w:pPr>
      <w:widowControl/>
      <w:bidi w:val="0"/>
      <w:snapToGrid w:val="false"/>
      <w:spacing w:lineRule="atLeast" w:line="280" w:before="0" w:after="0"/>
      <w:ind w:star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d142d"/>
    <w:pPr>
      <w:widowControl/>
      <w:bidi w:val="0"/>
      <w:snapToGrid w:val="false"/>
      <w:spacing w:lineRule="atLeast" w:line="280" w:before="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1d142d"/>
    <w:pPr>
      <w:widowControl/>
      <w:bidi w:val="0"/>
      <w:snapToGrid w:val="false"/>
      <w:spacing w:lineRule="atLeast" w:line="280" w:before="60" w:after="60"/>
      <w:ind w:start="2608"/>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d142d"/>
    <w:pPr>
      <w:widowControl/>
      <w:bidi w:val="0"/>
      <w:snapToGrid w:val="false"/>
      <w:spacing w:lineRule="atLeast" w:line="280" w:before="240" w:after="60"/>
      <w:ind w:start="2608"/>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d142d"/>
    <w:pPr>
      <w:widowControl/>
      <w:bidi w:val="0"/>
      <w:snapToGrid w:val="false"/>
      <w:spacing w:lineRule="atLeast" w:line="280" w:before="60" w:after="60"/>
      <w:ind w:start="2608"/>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8383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rsid w:val="001d142d"/>
    <w:pPr/>
    <w:rPr>
      <w:rFonts w:cs="Tahoma"/>
      <w:szCs w:val="18"/>
    </w:rPr>
  </w:style>
  <w:style w:type="paragraph" w:styleId="MDPI61citation" w:customStyle="1">
    <w:name w:val="MDPI_6.1_citation"/>
    <w:qFormat/>
    <w:rsid w:val="001d142d"/>
    <w:pPr>
      <w:widowControl/>
      <w:bidi w:val="0"/>
      <w:snapToGrid w:val="false"/>
      <w:spacing w:lineRule="atLeast" w:line="240" w:before="120" w:after="120"/>
      <w:ind w:end="113"/>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d142d"/>
    <w:pPr>
      <w:widowControl/>
      <w:bidi w:val="0"/>
      <w:snapToGrid w:val="false"/>
      <w:spacing w:lineRule="atLeast" w:line="280" w:before="0" w:after="120"/>
      <w:ind w:start="2608"/>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d142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31e51"/>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d142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d142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c04f9"/>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rsid w:val="001d142d"/>
    <w:pPr/>
    <w:rPr/>
  </w:style>
  <w:style w:type="paragraph" w:styleId="CommentText">
    <w:name w:val="annotation text"/>
    <w:basedOn w:val="Normal"/>
    <w:link w:val="CommentTextChar"/>
    <w:rsid w:val="001d142d"/>
    <w:pPr/>
    <w:rPr/>
  </w:style>
  <w:style w:type="paragraph" w:styleId="annotationsubject">
    <w:name w:val="annotation subject"/>
    <w:basedOn w:val="CommentText"/>
    <w:next w:val="CommentText"/>
    <w:link w:val="CommentSubjectChar"/>
    <w:rsid w:val="001d142d"/>
    <w:pPr/>
    <w:rPr>
      <w:b/>
      <w:bCs/>
    </w:rPr>
  </w:style>
  <w:style w:type="paragraph" w:styleId="EndnoteText">
    <w:name w:val="endnote text"/>
    <w:basedOn w:val="Normal"/>
    <w:link w:val="EndnoteTextChar"/>
    <w:semiHidden/>
    <w:unhideWhenUsed/>
    <w:rsid w:val="001d142d"/>
    <w:pPr>
      <w:spacing w:lineRule="auto" w:line="240"/>
    </w:pPr>
    <w:rPr/>
  </w:style>
  <w:style w:type="paragraph" w:styleId="FootnoteText">
    <w:name w:val="footnote text"/>
    <w:basedOn w:val="Normal"/>
    <w:link w:val="FootnoteTextChar"/>
    <w:semiHidden/>
    <w:unhideWhenUsed/>
    <w:rsid w:val="001d142d"/>
    <w:pPr>
      <w:spacing w:lineRule="auto" w:line="240"/>
    </w:pPr>
    <w:rPr/>
  </w:style>
  <w:style w:type="paragraph" w:styleId="NormalWeb">
    <w:name w:val="Normal (Web)"/>
    <w:basedOn w:val="Normal"/>
    <w:uiPriority w:val="99"/>
    <w:rsid w:val="001d142d"/>
    <w:pPr/>
    <w:rPr>
      <w:szCs w:val="24"/>
    </w:rPr>
  </w:style>
  <w:style w:type="paragraph" w:styleId="MsoFootnoteText" w:customStyle="1">
    <w:name w:val="MsoFootnoteText"/>
    <w:basedOn w:val="NormalWeb"/>
    <w:qFormat/>
    <w:rsid w:val="001d142d"/>
    <w:pPr/>
    <w:rPr>
      <w:rFonts w:ascii="Times New Roman" w:hAnsi="Times New Roman"/>
    </w:rPr>
  </w:style>
  <w:style w:type="paragraph" w:styleId="MDPI71footnotes" w:customStyle="1">
    <w:name w:val="MDPI_7.1_footnotes"/>
    <w:qFormat/>
    <w:rsid w:val="00dd7644"/>
    <w:pPr>
      <w:widowControl/>
      <w:numPr>
        <w:ilvl w:val="0"/>
        <w:numId w:val="3"/>
      </w:numPr>
      <w:bidi w:val="0"/>
      <w:snapToGrid w:val="false"/>
      <w:spacing w:lineRule="atLeast" w:line="280" w:before="0" w:after="0"/>
      <w:jc w:val="start"/>
    </w:pPr>
    <w:rPr>
      <w:rFonts w:ascii="Palatino Linotype" w:hAnsi="Palatino Linotype" w:eastAsia="宋体"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1e609b"/>
    <w:pPr>
      <w:snapToGrid w:val="0"/>
      <w:spacing w:line="300" w:lineRule="exact"/>
      <w:jc w:val="center"/>
    </w:pPr>
    <w:rPr>
      <w:lang w:val="de-DE" w:eastAsia="de-DE"/>
    </w:rPr>
    <w:tblPr>
      <w:tblBorders>
        <w:bottom w:val="single" w:color="auto" w:sz="8" w:space="0"/>
      </w:tblBorders>
    </w:tblPr>
    <w:tcPr>
      <w:vAlign w:val="center"/>
    </w:tcPr>
    <w:tblStylePr w:type="firstRow">
      <w:pPr>
        <w:wordWrap/>
        <w:snapToGrid w:val="0"/>
        <w:spacing w:beforeLines="0" w:afterLines="0" w:line="300" w:lineRule="exact"/>
        <w:ind w:right="0" w:rightChars="0"/>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d142d"/>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d142d"/>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0d7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d142d"/>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doi.org/10.1038/sdata.2016.18" TargetMode="External"/><Relationship Id="rId20" Type="http://schemas.openxmlformats.org/officeDocument/2006/relationships/hyperlink" Target="https://doi.org/10.1109/ICRA57147.2024.10610957" TargetMode="External"/><Relationship Id="rId21" Type="http://schemas.openxmlformats.org/officeDocument/2006/relationships/hyperlink" Target="https://doi.org/10.1109/TMM.2021.3128047" TargetMode="External"/><Relationship Id="rId22" Type="http://schemas.openxmlformats.org/officeDocument/2006/relationships/hyperlink" Target="https://doi.org/10.1016/j.dib.2019.104313" TargetMode="External"/><Relationship Id="rId23" Type="http://schemas.openxmlformats.org/officeDocument/2006/relationships/hyperlink" Target="https://doi.org/10.3390/s21082824" TargetMode="External"/><Relationship Id="rId24" Type="http://schemas.openxmlformats.org/officeDocument/2006/relationships/hyperlink" Target="https://doi.org/10.3390/s21154953" TargetMode="External"/><Relationship Id="rId25" Type="http://schemas.openxmlformats.org/officeDocument/2006/relationships/hyperlink" Target="https://doi.org/10.1109/JPROC.2015.2460697" TargetMode="External"/><Relationship Id="rId26" Type="http://schemas.openxmlformats.org/officeDocument/2006/relationships/hyperlink" Target="https://doi.org/10.3390/data11020038" TargetMode="External"/><Relationship Id="rId27" Type="http://schemas.openxmlformats.org/officeDocument/2006/relationships/hyperlink" Target="https://doi.org/10.3390/data9120144" TargetMode="External"/><Relationship Id="rId28" Type="http://schemas.openxmlformats.org/officeDocument/2006/relationships/hyperlink" Target="https://doi.org/10.3390/data11010021" TargetMode="External"/><Relationship Id="rId29" Type="http://schemas.openxmlformats.org/officeDocument/2006/relationships/hyperlink" Target="https://doi.org/10.3390/data10010005" TargetMode="External"/><Relationship Id="rId30" Type="http://schemas.openxmlformats.org/officeDocument/2006/relationships/hyperlink" Target="https://doi.org/10.3390/data9060079" TargetMode="External"/><Relationship Id="rId31" Type="http://schemas.openxmlformats.org/officeDocument/2006/relationships/hyperlink" Target="https://doi.org/10.1145/3458723" TargetMode="External"/><Relationship Id="rId32" Type="http://schemas.openxmlformats.org/officeDocument/2006/relationships/hyperlink" Target="https://doi.org/10.3233/DS-210053" TargetMode="External"/><Relationship Id="rId33" Type="http://schemas.openxmlformats.org/officeDocument/2006/relationships/hyperlink" Target="https://doi.org/10.14454/qdd3-ps68" TargetMode="External"/><Relationship Id="rId34" Type="http://schemas.openxmlformats.org/officeDocument/2006/relationships/hyperlink" Target="https://www.w3.org/TR/prov-o/" TargetMode="External"/><Relationship Id="rId35" Type="http://schemas.openxmlformats.org/officeDocument/2006/relationships/hyperlink" Target="https://doi.org/10.3390/electronics13071373" TargetMode="External"/><Relationship Id="rId36" Type="http://schemas.openxmlformats.org/officeDocument/2006/relationships/hyperlink" Target="https://doi.org/10.3390/electronics12061332" TargetMode="External"/><Relationship Id="rId37" Type="http://schemas.openxmlformats.org/officeDocument/2006/relationships/hyperlink" Target="https://doi.org/10.3390/electronics13010075" TargetMode="External"/><Relationship Id="rId38" Type="http://schemas.openxmlformats.org/officeDocument/2006/relationships/hyperlink" Target="https://doi.org/10.1145/2794400" TargetMode="External"/><Relationship Id="rId39" Type="http://schemas.openxmlformats.org/officeDocument/2006/relationships/hyperlink" Target="https://docs.oasis-open.org/emergency/cap/v1.2/CAP-v1.2-os.html" TargetMode="External"/><Relationship Id="rId40" Type="http://schemas.openxmlformats.org/officeDocument/2006/relationships/hyperlink" Target="https://doi.org/10.17487/RFC3339" TargetMode="External"/><Relationship Id="rId41" Type="http://schemas.openxmlformats.org/officeDocument/2006/relationships/hyperlink" Target="https://www.iso.org/standard/35736.html" TargetMode="External"/><Relationship Id="rId42" Type="http://schemas.openxmlformats.org/officeDocument/2006/relationships/hyperlink" Target="https://doi.org/10.1162/coli.07-034-R2" TargetMode="External"/><Relationship Id="rId43" Type="http://schemas.openxmlformats.org/officeDocument/2006/relationships/hyperlink" Target="https://doi.org/10.1111/ecog.02881" TargetMode="External"/><Relationship Id="rId44" Type="http://schemas.openxmlformats.org/officeDocument/2006/relationships/hyperlink" Target="https://doi.org/10.1145/2382577.2382579" TargetMode="External"/><Relationship Id="rId45" Type="http://schemas.openxmlformats.org/officeDocument/2006/relationships/hyperlink" Target="https://doi.org/10.1198/016214506000001437" TargetMode="External"/><Relationship Id="rId46" Type="http://schemas.openxmlformats.org/officeDocument/2006/relationships/hyperlink" Target="https://proceedings.mlr.press/v70/guo17a.html" TargetMode="External"/><Relationship Id="rId47" Type="http://schemas.openxmlformats.org/officeDocument/2006/relationships/hyperlink" Target="https://eur-lex.europa.eu/eli/reg/2016/679/oj" TargetMode="External"/><Relationship Id="rId48" Type="http://schemas.openxmlformats.org/officeDocument/2006/relationships/hyperlink" Target="https://doi.org/10.6028/NIST.SP.800-188" TargetMode="External"/><Relationship Id="rId49" Type="http://schemas.openxmlformats.org/officeDocument/2006/relationships/hyperlink" Target="https://doi.org/10.6028/NIST.FIPS.180-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data-template.dot</Template>
  <TotalTime>0</TotalTime>
  <Application>LibreOfficeDev/26.8.0.0.alpha0$Linux_X86_64 LibreOffice_project/2c87e51eeaa2b413ff4ae097b2705eea1995d8e5</Application>
  <AppVersion>15.0000</AppVersion>
  <Pages>2</Pages>
  <Words>2312</Words>
  <Characters>13182</Characters>
  <CharactersWithSpaces>15464</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Dmytro Prokopovych-Tkachenko</dc:creator>
  <dc:description>Version 01. Controlled placeholders are intentionally retained where source evidence is absent.</dc:description>
  <dc:language>en-US</dc:language>
  <cp:lastModifiedBy>JAMS Production Team</cp:lastModifiedBy>
  <dcterms:modified xsi:type="dcterms:W3CDTF">2025-08-12T07:50:00Z</dcterms:modified>
  <cp:revision>2</cp:revision>
  <dc:subject>Pre-submission Data Descriptor manuscript for Data (MDPI)</dc:subject>
  <dc:title>Building and Validating a Multisource, Multimodal Spatiotemporal Dataset for Early Warning of Approaching Small Unmanned Aerial Vehicles</dc:title>
  <cp:keywords>small unmanned aerial vehicle; multimodal dataset; early warning; spatiotemporal data; acoustic sensing; visual sensing; data provenance; technical validation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b517b143669e012a04927c5632fb4da84568dda29a4212a619bf01f6e043ccff</vt:lpwstr>
  </property>
</Properties>
</file>