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32textnoindent"/>
      </w:pPr>
      <w:r>
        <w:t xml:space="preserve">AUTHOR NOTE — REMOVE BEFORE SUBMISSION. This file contains one new Methods subsection and two short inserts, drafted in the manuscript's own styles. Section 3.12 is placed after Section 3.11 (Baseline Tasks and Evaluation Protocol) and before Section 4. Its two tables take numbers 10 and 11, which follow Table 9 in Section 3.11; the Abbreviations table currently numbered 10 must therefore be renumbered to 12, and it is the only existing caption this addition disturbs. No new reference is introduced: every citation used here already appears in the reference list. Bracketed fields require institutional information and have not been filled.</w:t>
      </w:r>
    </w:p>
    <w:p>
      <w:pPr>
        <w:pStyle w:val="MDPI22heading2"/>
      </w:pPr>
      <w:r>
        <w:t xml:space="preserve">3.12. Software Implementation</w:t>
      </w:r>
    </w:p>
    <w:p>
      <w:pPr>
        <w:pStyle w:val="MDPI23heading3"/>
      </w:pPr>
      <w:r>
        <w:t xml:space="preserve">3.12.1. Pipeline Architecture</w:t>
      </w:r>
    </w:p>
    <w:p>
      <w:pPr>
        <w:pStyle w:val="MDPI31text"/>
      </w:pPr>
      <w:r>
        <w:t xml:space="preserve">The curation described in Sections 3.1–3.10 is implemented as a single versioned pipeline, uavews version [[SOFTWARE_VERSION]], deposited with the release and available at [[SOFTWARE DOI OR REPOSITORY URL]]. The pipeline is a fixed sequence of ten stages: ingestion of the source streams into canonical records; construction of synchronized windows; association of observations with windows; derivation of kinematic ground truth; adjudication of conflicting labels; de-identification and access tiering; technical validation; construction of the evaluation manifests; assembly of the repository package; and application of the release gates; the evaluation protocol these manifests serve is specified in Section 3.11. Each stage consumes the tables written by its predecessors, adds columns or tables, and emits a PROV-O activity [17] recording the software version, the parameter file, the agent, the input and output identifiers, the start and end times, and the completion status. The provenance record distributed with the release is therefore generated by the execution it describes rather than compiled afterwards.</w:t>
      </w:r>
    </w:p>
    <w:p>
      <w:pPr>
        <w:pStyle w:val="MDPI31text"/>
      </w:pPr>
      <w:r>
        <w:t xml:space="preserve">Three ordering constraints are enforced and are not interchangeable. De-identification precedes validation, because the release gates are intended to assess the data that will actually be distributed; validating the pre-sanitization tables would report a completeness, a duplicate rate, and a media-quality profile that no recipient of the open tier obtains. Partitioning follows validation, because the near-duplicate grouping on which the partition constraint depends is itself a validation product. Packaging is last, because the integrity manifest must digest the final byte sequence of every released file, the metadata files included, so that a subsequent alteration of the package manifest is detectable and not only an alteration of the data.</w:t>
      </w:r>
    </w:p>
    <w:p>
      <w:pPr>
        <w:pStyle w:val="MDPI23heading3"/>
      </w:pPr>
      <w:r>
        <w:t xml:space="preserve">3.12.2. Package Composition</w:t>
      </w:r>
    </w:p>
    <w:p>
      <w:pPr>
        <w:pStyle w:val="MDPI31text"/>
      </w:pPr>
      <w:r>
        <w:t xml:space="preserve">The package comprises twenty-three modules and approximately 6,200 lines of Python, excluding tests, organized so that each stage of Section 3.12.1 is implemented by a module with a single responsibility (Table 10). Ingestion is further divided into one adapter per source family, each responsible only for parsing the delivery format that source actually uses, emitting the minimum event envelope defined in Section 3.1, and recording with a reason code whatever it could not determine. Association, labelling, quality measurement, and privacy transformation are performed downstream of the adapters, which allows a new source family to be added without modification to the validation gates.</w:t>
      </w:r>
    </w:p>
    <w:p>
      <w:pPr>
        <w:pStyle w:val="MDPI41tablecaption"/>
      </w:pPr>
      <w:r>
        <w:t xml:space="preserve">Table 10. Modules of the deposited pipeline and their responsibilities.</w:t>
      </w:r>
    </w:p>
    <w:tbl>
      <w:tblPr>
        <w:tblStyle w:val="MDPI41threelinetable"/>
        <w:tblW w:type="dxa" w:w="10346"/>
        <w:jc w:val="left"/>
        <w:tblLayout w:type="fixed"/>
        <w:tblLook w:firstColumn="1" w:firstRow="1" w:lastColumn="0" w:lastRow="0" w:noHBand="0" w:noVBand="1" w:val="04A0"/>
        <w:tblInd w:type="dxa" w:w="80"/>
      </w:tblPr>
      <w:tblGrid>
        <w:gridCol w:w="2586"/>
        <w:gridCol w:w="7760"/>
      </w:tblGrid>
      <w:tr>
        <w:trPr>
          <w:tblHeader w:val="true"/>
          <w:cantSplit/>
        </w:trPr>
        <w:tc>
          <w:tcPr>
            <w:tcW w:type="dxa" w:w="258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Module</w:t>
            </w:r>
          </w:p>
        </w:tc>
        <w:tc>
          <w:tcPr>
            <w:tcW w:type="dxa" w:w="7760"/>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Responsibility</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config</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Release parameters and controlled vocabularies; load-time consistency checks</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ids</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Keyed, non-invertible, reproducible identifiers; rotating contributor pseudonyms</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timebase</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RFC 3339 [23] and int64 UTC nanosecond representations; clock model; Equation (3); interval algebra</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Warning-zone geometry; Equation (1); direction rule; Equation (2); closing rate</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schema</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Table declarations; structural validator; referential integrity; data dictionary</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ingest.s1–ingest.s4, ingest.common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One normalizer per source family; minimum event envelope</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media_qc</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Measured acoustic and visual quality; perceptual hashing</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association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Window construction; marker-based Equation (3); uncertainty-expanded matching</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labeling</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Evidence tiers; authoritative-field set; conflict adjudication; released-label selection</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agreement</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Krippendorff's alpha [25]; bootstrap intervals; temporal boundary agreement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validation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Equations (4) and (5); missingness; media quality; cross-modal consistency; integrity; gates</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privacy</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Access tiering; residual-risk probe; independent export audit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splits</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Evaluation manifests; duplicate-constraint resolution; per-constraint audit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trialdesign</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Detection ranges; warning-time budget; campaign sizing</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packaging</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RO-Crate [15], DataCite [16] and PROV-O [17] metadata; SHA-256 [32] integrity manifest</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simulate</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Synthetic rehearsal corpus and annotation simulation (Section 3.12.5)</w:t>
            </w:r>
          </w:p>
        </w:tc>
      </w:tr>
      <w:tr>
        <w:trPr>
          <w:cantSplit/>
        </w:trPr>
        <w:tc>
          <w:tcPr>
            <w:tcW w:type="dxa" w:w="258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pipeline, cli, viz</w:t>
            </w:r>
          </w:p>
        </w:tc>
        <w:tc>
          <w:tcPr>
            <w:tcW w:type="dxa" w:w="7760"/>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Stage orchestration; command-line driver; validation figures</w:t>
            </w:r>
          </w:p>
        </w:tc>
      </w:tr>
    </w:tbl>
    <w:p>
      <w:pPr>
        <w:pStyle w:val="MDPI43tablefooter"/>
      </w:pPr>
      <w:r>
        <w:t xml:space="preserve">Alongside the modules the deposit contains the parameter file and the controlled vocabularies, the test suite, and the scripts that regenerate the validation report and the deposit archive.</w:t>
      </w:r>
    </w:p>
    <w:p>
      <w:pPr>
        <w:pStyle w:val="MDPI23heading3"/>
      </w:pPr>
      <w:r>
        <w:t xml:space="preserve">3.12.3. Parameterization</w:t>
      </w:r>
    </w:p>
    <w:p>
      <w:pPr>
        <w:pStyle w:val="MDPI31text"/>
      </w:pPr>
      <w:r>
        <w:t xml:space="preserve">No threshold appears in the source code. Every release-specific quantity — the direction dead-band and its evaluation stride, the minimum association overlap, the synchronization tolerance, the near-duplicate radius, the temporal embargo, the annotation thresholds, the acceptance rules of Table 7, and the planning assumptions of Section 3.12.5 — is declared in a single parameter file, and the controlled values of Tables 4 and 5 are declared in a companion vocabulary file that the structural validator enforces as the only admissible entries. Two properties follow. A run is reproducible from one artefact, and the value quoted in this article cannot diverge from the value the pipeline used, because both are read from the same file and that file is named in every provenance activity.</w:t>
      </w:r>
    </w:p>
    <w:p>
      <w:pPr>
        <w:pStyle w:val="MDPI31text"/>
      </w:pPr>
      <w:r>
        <w:t xml:space="preserve">The configuration is validated when it is loaded rather than when each value is first used. Split fractions that do not sum to unity, a window hop exceeding the window span, a warning-zone polygon with fewer than three vertices, a non-positive overlap minimum, and a dead-band below the uncertainty floor derived in Section 3.12.4 are rejected before any data is read.</w:t>
      </w:r>
    </w:p>
    <w:p>
      <w:pPr>
        <w:pStyle w:val="MDPI23heading3"/>
      </w:pPr>
      <w:r>
        <w:t xml:space="preserve">3.12.4. Computation of the Reported Quantities</w:t>
      </w:r>
    </w:p>
    <w:p>
      <w:pPr>
        <w:pStyle w:val="MDPI31text"/>
      </w:pPr>
      <w:r>
        <w:t xml:space="preserve">Equations (1) to (5) do not by themselves determine every implementation choice that affects the values reported in Tables 2 and 7. The decisions that do are stated here so that the reported quantities can be reproduced or disputed (Table 11).</w:t>
      </w:r>
    </w:p>
    <w:p>
      <w:pPr>
        <w:pStyle w:val="MDPI31text"/>
      </w:pPr>
      <w:r>
        <w:t xml:space="preserve">The boundary distance of Equation (1) is computed to the edges of the zone boundary rather than to its vertices, over the horizontal components only, and is left unsigned; containment is carried as a separate flag, and a signed form is used solely to detect the crossing required by Equation (2), where an unsigned distance would touch zero and rebound without changing sign. The dead-band of the direction rule is derived rather than assumed: the two fixes entering the difference d(t + Δt) − d(t) are independent, so ε = k√2 σ</w:t>
      </w:r>
      <w:r>
        <w:rPr>
          <w:vertAlign w:val="subscript"/>
        </w:rPr>
        <w:t xml:space="preserve">h</w:t>
      </w:r>
      <w:r>
        <w:t xml:space="preserve">, and a value configured below that floor is rejected. The crossing time of Equation (2) is refined by linear interpolation between the bracketing reference samples, which removes a quantization bias of up to one sampling interval; tracks without a verified crossing are recorded as censored and are never assigned an extrapolated value.</w:t>
      </w:r>
    </w:p>
    <w:p>
      <w:pPr>
        <w:pStyle w:val="MDPI31text"/>
      </w:pPr>
      <w:r>
        <w:t xml:space="preserve">Equation (3) is evaluated on the synchronization marker that opens each run, that is, on one physical instant timed by two clocks. Sources that cannot observe the marker — mobile devices and the external public feed — carry a null measurement together with their declared offset uncertainty, and no measured statistic is reported for them. An observation is associated with a window when the uncertainty-expanded intervals either share the configured absolute overlap or cover the configured fraction of the shorter interval; the absolute criterion governs extended observations, and the fractional criterion governs instantaneous ones, for which an absolute requirement is unsatisfiable in principle.</w:t>
      </w:r>
    </w:p>
    <w:p>
      <w:pPr>
        <w:pStyle w:val="MDPI31text"/>
      </w:pPr>
      <w:r>
        <w:t xml:space="preserve">Equation (4) is averaged over the required-field set declared in the schema rather than over the populated columns, so that completeness is measured against what a record was specified to contain. Equation (5) is evaluated over object groups, with byte-identical and perceptually near-identical objects grouped together and reported as separate rates; content that is degenerate — silence, saturation, gross over- or under-exposure — is grouped by digest alone, since a perceptual signature of such content is uninformative. Acoustic signal-to-noise ratio is estimated by a harmonic-sum statistic referred to the total in-band noise power, which is the quantity the propagation model predicts; the estimator declares a sensitivity bound calibrated by simulation under the noise hypothesis and returns a null with an explicit code below it, rather than a value indistinguishable from noise. Agreement is reported with bootstrap intervals resampled over annotation units rather than over individual judgements, which preserves the within-unit structure the coefficient is defined on.</w:t>
      </w:r>
    </w:p>
    <w:p>
      <w:pPr>
        <w:pStyle w:val="MDPI41tablecaption"/>
      </w:pPr>
      <w:r>
        <w:t xml:space="preserve">Table 11. Reported quantities, the module that computes them, and the implementation decision that determines their value.</w:t>
      </w:r>
    </w:p>
    <w:tbl>
      <w:tblPr>
        <w:tblStyle w:val="MDPI41threelinetable"/>
        <w:tblW w:type="dxa" w:w="10346"/>
        <w:jc w:val="left"/>
        <w:tblLayout w:type="fixed"/>
        <w:tblLook w:firstColumn="1" w:firstRow="1" w:lastColumn="0" w:lastRow="0" w:noHBand="0" w:noVBand="1" w:val="04A0"/>
        <w:tblInd w:type="dxa" w:w="80"/>
      </w:tblPr>
      <w:tblGrid>
        <w:gridCol w:w="3671"/>
        <w:gridCol w:w="1669"/>
        <w:gridCol w:w="5006"/>
      </w:tblGrid>
      <w:tr>
        <w:trPr>
          <w:tblHeader w:val="true"/>
          <w:cantSplit/>
        </w:trPr>
        <w:tc>
          <w:tcPr>
            <w:tcW w:type="dxa" w:w="3671"/>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Reported quantity</w:t>
            </w:r>
          </w:p>
        </w:tc>
        <w:tc>
          <w:tcPr>
            <w:tcW w:type="dxa" w:w="1669"/>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Module</w:t>
            </w:r>
          </w:p>
        </w:tc>
        <w:tc>
          <w:tcPr>
            <w:tcW w:type="dxa" w:w="5006"/>
            <w:shd w:fill="EAF2F8"/>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jc w:val="center"/>
            </w:pPr>
            <w:r>
              <w:rPr>
                <w:b/>
              </w:rPr>
              <w:t xml:space="preserve">Determining decision</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Boundary distance, Equation (1)</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Distance to boundary edges, horizontal components only</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Movement direction</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Dead-band ε = k√2 σ</w:t>
            </w:r>
            <w:r>
              <w:rPr>
                <w:vertAlign w:val="subscript"/>
              </w:rPr>
              <w:t xml:space="preserve">h</w:t>
            </w:r>
            <w:r>
              <w:t xml:space="preserve">, enforced as a floor</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Warning time, Equation (2)</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geometry</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Interpolated crossing; censoring without a verified crossing</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Synchronization error, Equation (3)</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association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Evaluated on run-opening markers; null for asynchronous sources</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Window association</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association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Absolute or fractional overlap of uncertainty-expanded intervals</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Completeness, Equation (4)</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validation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Averaged over the declared required-field set</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Duplicate rate, Equation (5)</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validation</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Object-group level; exact and near rates reported separately</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Acoustic quality</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media_qc</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Harmonic-sum SNR with a simulated sensitivity bound</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Annotation agreement</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agreement</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Krippendorff's alpha with unit-level bootstrap</w:t>
            </w:r>
          </w:p>
        </w:tc>
      </w:tr>
      <w:tr>
        <w:trPr>
          <w:cantSplit/>
        </w:trPr>
        <w:tc>
          <w:tcPr>
            <w:tcW w:type="dxa" w:w="3671"/>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Partition disjointness</w:t>
            </w:r>
          </w:p>
        </w:tc>
        <w:tc>
          <w:tcPr>
            <w:tcW w:type="dxa" w:w="1669"/>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splits</w:t>
            </w:r>
          </w:p>
        </w:tc>
        <w:tc>
          <w:tcPr>
            <w:tcW w:type="dxa" w:w="5006"/>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Mar>
              <w:top w:w="75" w:type="dxa"/>
              <w:bottom w:w="75" w:type="dxa"/>
              <w:start w:w="80" w:type="dxa"/>
              <w:end w:w="80" w:type="dxa"/>
            </w:tcMar>
          </w:tcPr>
          <w:p>
            <w:pPr>
              <w:pStyle w:val="MDPI42tablebody"/>
            </w:pPr>
            <w:r>
              <w:t xml:space="preserve">Audited against each manifest's own stated constraint</w:t>
            </w:r>
          </w:p>
        </w:tc>
      </w:tr>
    </w:tbl>
    <w:p>
      <w:pPr>
        <w:pStyle w:val="MDPI23heading3"/>
      </w:pPr>
      <w:r>
        <w:t xml:space="preserve">3.12.5. Verification and Reproducibility</w:t>
      </w:r>
    </w:p>
    <w:p>
      <w:pPr>
        <w:pStyle w:val="MDPI31text"/>
      </w:pPr>
      <w:r>
        <w:t xml:space="preserve">The pipeline is accompanied by a suite of 54 tests directed at the class of defect that produces plausible output rather than an error: an equation evaluated with the wrong sign or over the wrong domain, a partition that leaks, a duplicate detector that groups unrelated content, an estimator that reports noise as a weak detection. Several properties are asserted from both sides — the dead-band suppresses positional noise at the derived ε, and the same track yields spurious direction labels when ε is set to zero; the signal-to-noise estimator is accurate above its declared bound and returns a null below it.</w:t>
      </w:r>
    </w:p>
    <w:p>
      <w:pPr>
        <w:pStyle w:val="MDPI31text"/>
      </w:pPr>
      <w:r>
        <w:t xml:space="preserve">Prior to collection, the pipeline was exercised end to end on a synthetic rehearsal corpus generated from a fixed seed by the simulate module. The corpus is emitted in the delivery formats the real sources use and carries deliberately injected defects — redelivered upstream events, re-encoded media, gross clock offsets, dropped channels, clipped and silent audio, blurred and mis-exposed frames, incidental speech, annotator disagreement near the detection limit, and reports contradicting the reference trajectory — so that each validation gate is confirmed to fire on the condition it is intended to detect. The exercise is a verification of the instrument and not an observation of the phenomenon: </w:t>
      </w:r>
      <w:r>
        <w:rPr>
          <w:b/>
        </w:rPr>
        <w:t xml:space="preserve">no value derived from the rehearsal corpus is reported in this article</w:t>
      </w:r>
      <w:r>
        <w:t xml:space="preserve">, and every statistic in Tables 2 and 7 is computed by the same pipeline over the deposited release.</w:t>
      </w:r>
    </w:p>
    <w:p>
      <w:pPr>
        <w:pStyle w:val="MDPI31text"/>
      </w:pPr>
      <w:r>
        <w:t xml:space="preserve">Reproducibility was verified rather than assumed. Two executions from an empty directory over identical inputs produce byte-identical canonical tables, evaluation manifests, and data dictionary. Three files differ between runs, and all three legitimately carry wall-clock timestamps: the RO-Crate manifest, the provenance log, and the checksum manifest that digests them.</w:t>
      </w:r>
    </w:p>
    <w:p>
      <w:pPr>
        <w:pStyle w:val="MDPI31text"/>
      </w:pPr>
      <w:r>
        <w:t xml:space="preserve">The runtime requires Python 3.11 or later with NumPy, pandas, PyArrow, and PyYAML; Matplotlib is required only to render the validation figures and pytest only to run the tests. There are no compiled extensions and no service dependencies. Numerical components that a future environment might otherwise fail to supply — the discrete cosine transform used for perceptual hashing, the inverse normal cumulative distribution function, the grayscale image codec, and the simulated null distribution of the acoustic estimator — are implemented within the package, so that the release can be regenerated without resolving a dependency tree.</w:t>
      </w:r>
    </w:p>
    <w:p>
      <w:pPr>
        <w:pStyle w:val="MDPI31text"/>
      </w:pPr>
      <w:r>
        <w:t xml:space="preserve">The pipeline is versioned independently of the data. A change to the curation logic that alters a released value is a major software version and forces a new dataset version under the scheme of Section 2.2; a change confined to reporting, packaging or performance does not. The changelog and release metadata described in Section 4.5 record which software version produced each dataset version.</w:t>
      </w:r>
    </w:p>
    <w:p>
      <w:pPr>
        <w:pStyle w:val="MDPI22heading2"/>
      </w:pPr>
      <w:r>
        <w:t xml:space="preserve">Additional inserts (not part of Section 3.12)</w:t>
      </w:r>
    </w:p>
    <w:p>
      <w:pPr>
        <w:pStyle w:val="MDPI32textnoindent"/>
      </w:pPr>
      <w:r>
        <w:t xml:space="preserve">The two passages below belong elsewhere in the manuscript. They are collected here so that a single file carries every change this addition requires.</w:t>
      </w:r>
    </w:p>
    <w:p>
      <w:pPr>
        <w:pStyle w:val="MDPI23heading3"/>
      </w:pPr>
      <w:r>
        <w:t xml:space="preserve">Insert at the end of Section 2.2</w:t>
      </w:r>
    </w:p>
    <w:p>
      <w:pPr>
        <w:pStyle w:val="MDPI31text"/>
      </w:pPr>
      <w:r>
        <w:t xml:space="preserve">The code/ component of the package is the pipeline described in Section 3.12; it is versioned with the release, and the parameter file it was executed with is named in every provenance activity.</w:t>
      </w:r>
    </w:p>
    <w:p>
      <w:pPr>
        <w:pStyle w:val="MDPI23heading3"/>
      </w:pPr>
      <w:r>
        <w:t xml:space="preserve">Insert in the back matter</w:t>
      </w:r>
    </w:p>
    <w:p>
      <w:pPr>
        <w:pStyle w:val="MDPI62backmatter"/>
      </w:pPr>
      <w:r>
        <w:rPr>
          <w:b/>
        </w:rPr>
        <w:t xml:space="preserve">Software Availability:</w:t>
      </w:r>
      <w:r>
        <w:t xml:space="preserve"> The curation, validation, and packaging pipeline described in Section 3.12 is deposited with the dataset and is separately archived at [[SOFTWARE DOI OR REPOSITORY URL]] under [[SOFTWARE LICENSE]]. The archive contains the source code, the parameter file and controlled vocabularies with which the released version was produced, the test suite, the machine-readable validation report from which the values in Tables 2 and 7 are taken, and the synthetic rehearsal corpus used for pre-collection verification. Executing uavews over the deposited release reproduces every reported validation statistic.</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432" w:top="1417" w:footer="432" w:bottom="907"/>
      <w:lnNumType w:countBy="1" w:restart="continuous" w:distance="255"/>
      <w:pgNumType w:start="1" w:fmt="decimal"/>
      <w:formProt w:val="false"/>
      <w:titlePg/>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Palatino Linotype">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Data</w:t>
    </w:r>
    <w:r>
      <w:rPr>
        <w:sz w:val="16"/>
        <w:szCs w:val="16"/>
      </w:rPr>
      <w:t xml:space="preserve"> </w:t>
    </w:r>
    <w:r>
      <w:rPr>
        <w:b/>
        <w:sz w:val="16"/>
        <w:szCs w:val="16"/>
      </w:rPr>
      <w:t>2026</w:t>
    </w:r>
    <w:r>
      <w:rPr>
        <w:sz w:val="16"/>
        <w:szCs w:val="16"/>
      </w:rPr>
      <w:t>,</w:t>
    </w:r>
    <w:r>
      <w:rPr>
        <w:i/>
        <w:sz w:val="16"/>
        <w:szCs w:val="16"/>
      </w:rPr>
      <w:t xml:space="preserve"> 11</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p>
  <w:p>
    <w:pPr>
      <w:pStyle w:val="Normal"/>
      <w:pBdr>
        <w:bottom w:val="single" w:sz="4" w:space="1" w:color="000000"/>
      </w:pBdr>
      <w:tabs>
        <w:tab w:val="clear" w:pos="510"/>
        <w:tab w:val="right" w:pos="8844" w:leader="none"/>
      </w:tabs>
      <w:snapToGrid w:val="false"/>
      <w:spacing w:lineRule="exact" w:line="100" w:before="0" w:after="480"/>
      <w:jc w:val="star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3678"/>
      <w:gridCol w:w="4536"/>
      <w:gridCol w:w="2273"/>
    </w:tblGrid>
    <w:tr>
      <w:trPr>
        <w:trHeight w:val="686" w:hRule="atLeast"/>
        <w:tblHeader w:val="true"/>
      </w:trPr>
      <w:tc>
        <w:tcPr>
          <w:tcW w:w="3678" w:type="dxa"/>
          <w:tcBorders/>
          <w:vAlign w:val="center"/>
        </w:tcPr>
        <w:p>
          <w:pPr>
            <w:pStyle w:val="Header"/>
            <w:pBdr>
              <w:bottom w:val="nil"/>
            </w:pBdr>
            <w:jc w:val="start"/>
            <w:rPr>
              <w:rFonts w:eastAsia="等线"/>
              <w:b/>
              <w:bCs/>
            </w:rPr>
          </w:pPr>
          <w:r>
            <w:rPr/>
            <w:drawing>
              <wp:inline distT="0" distB="0" distL="0" distR="0">
                <wp:extent cx="885190" cy="431800"/>
                <wp:effectExtent l="0" t="0" r="0" b="0"/>
                <wp:docPr id="4" name="Image4" descr="MDPI Data journal mast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
                        <a:stretch>
                          <a:fillRect/>
                        </a:stretch>
                      </pic:blipFill>
                      <pic:spPr bwMode="auto">
                        <a:xfrm>
                          <a:off x="0" y="0"/>
                          <a:ext cx="885190" cy="431800"/>
                        </a:xfrm>
                        <a:prstGeom prst="rect">
                          <a:avLst/>
                        </a:prstGeom>
                        <a:noFill/>
                      </pic:spPr>
                    </pic:pic>
                  </a:graphicData>
                </a:graphic>
              </wp:inline>
            </w:drawing>
          </w:r>
        </w:p>
      </w:tc>
      <w:tc>
        <w:tcPr>
          <w:tcW w:w="4536"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drawing>
              <wp:inline distT="0" distB="0" distL="0" distR="0">
                <wp:extent cx="539750" cy="360045"/>
                <wp:effectExtent l="0" t="0" r="0" b="0"/>
                <wp:docPr id="5" name="Image5" descr="Open Acces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b w:val="false"/>
        <w:i w:val="false"/>
        <w:position w:val="0"/>
        <w:sz w:val="20"/>
        <w:vertAlign w:val="baselin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b w:val="false"/>
        <w:i w:val="false"/>
        <w:position w:val="0"/>
        <w:sz w:val="20"/>
        <w:vertAlign w:val="baselin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bering>
</file>

<file path=word/settings.xml><?xml version="1.0" encoding="utf-8"?>
<w:settings xmlns:w="http://schemas.openxmlformats.org/wordprocessingml/2006/main">
  <w:zoom w:percent="157"/>
  <w:stylePaneFormatFilter w:val="1021" w:allStyles="1" w:customStyles="0" w:latentStyles="0" w:stylesInUse="0" w:headingStyles="1" w:numberingStyles="0" w:tableStyles="0" w:visibleStyles="0"/>
  <w:defaultTabStop w:val="510"/>
  <w:autoHyphenation w:val="true"/>
  <w:hyphenationZone w:val="360"/>
  <w:compat>
    <w:balanceSingleByteDoubleByteWidth/>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142d"/>
    <w:pPr>
      <w:widowControl/>
      <w:suppressAutoHyphens w:val="false"/>
      <w:bidi w:val="0"/>
      <w:spacing w:lineRule="auto" w:line="259" w:before="0" w:after="10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rPr/>
  </w:style>
  <w:style w:type="character" w:styleId="FooterChar" w:customStyle="1">
    <w:name w:val="Footer Char"/>
    <w:link w:val="Footer"/>
    <w:uiPriority w:val="99"/>
    <w:rsid w:val="001d142d"/>
    <w:rPr>
      <w:rFonts w:ascii="Palatino Linotype" w:hAnsi="Palatino Linotype"/>
      <w:color w:val="000000"/>
      <w:szCs w:val="18"/>
    </w:rPr>
  </w:style>
  <w:style w:type="character" w:styleId="HeaderChar" w:customStyle="1">
    <w:name w:val="Header Char"/>
    <w:link w:val="Header"/>
    <w:uiPriority w:val="99"/>
    <w:rsid w:val="001d142d"/>
    <w:rPr>
      <w:rFonts w:ascii="Palatino Linotype" w:hAnsi="Palatino Linotype"/>
      <w:color w:val="000000"/>
      <w:szCs w:val="18"/>
    </w:rPr>
  </w:style>
  <w:style w:type="character" w:styleId="BalloonTextChar" w:customStyle="1">
    <w:name w:val="Balloon Text Char"/>
    <w:link w:val="BalloonText"/>
    <w:uiPriority w:val="99"/>
    <w:rsid w:val="001d142d"/>
    <w:rPr>
      <w:rFonts w:ascii="Palatino Linotype" w:hAnsi="Palatino Linotype" w:cs="Tahoma"/>
      <w:color w:val="000000"/>
      <w:szCs w:val="18"/>
    </w:rPr>
  </w:style>
  <w:style w:type="character" w:styleId="LineNumber">
    <w:name w:val="line number"/>
    <w:uiPriority w:val="99"/>
    <w:rsid w:val="0043220d"/>
    <w:rPr>
      <w:rFonts w:ascii="Palatino Linotype" w:hAnsi="Palatino Linotype"/>
      <w:sz w:val="16"/>
    </w:rPr>
  </w:style>
  <w:style w:type="character" w:styleId="Hyperlink">
    <w:name w:val="Hyperlink"/>
    <w:uiPriority w:val="99"/>
    <w:rsid w:val="001d142d"/>
    <w:rPr>
      <w:color w:val="0000FF"/>
      <w:u w:val="single"/>
    </w:rPr>
  </w:style>
  <w:style w:type="character" w:styleId="UnresolvedMention">
    <w:name w:val="Unresolved Mention"/>
    <w:uiPriority w:val="99"/>
    <w:semiHidden/>
    <w:unhideWhenUsed/>
    <w:rsid w:val="0010294a"/>
    <w:rPr>
      <w:color w:val="605E5C"/>
      <w:shd w:fill="E1DFDD" w:val="clear"/>
    </w:rPr>
  </w:style>
  <w:style w:type="character" w:styleId="apple-converted-space" w:customStyle="1">
    <w:name w:val="apple-converted-space"/>
    <w:rsid w:val="001d142d"/>
    <w:rPr/>
  </w:style>
  <w:style w:type="character" w:styleId="BodyTextChar" w:customStyle="1">
    <w:name w:val="Body Text Char"/>
    <w:rsid w:val="001d142d"/>
    <w:rPr>
      <w:rFonts w:ascii="Palatino Linotype" w:hAnsi="Palatino Linotype"/>
      <w:color w:val="000000"/>
      <w:sz w:val="24"/>
      <w:lang w:eastAsia="de-DE"/>
    </w:rPr>
  </w:style>
  <w:style w:type="character" w:styleId="CommentReference">
    <w:name w:val="annotation reference"/>
    <w:rsid w:val="001d142d"/>
    <w:rPr>
      <w:sz w:val="21"/>
      <w:szCs w:val="21"/>
    </w:rPr>
  </w:style>
  <w:style w:type="character" w:styleId="CommentTextChar" w:customStyle="1">
    <w:name w:val="Comment Text Char"/>
    <w:link w:val="CommentText"/>
    <w:rsid w:val="001d142d"/>
    <w:rPr>
      <w:rFonts w:ascii="Palatino Linotype" w:hAnsi="Palatino Linotype"/>
      <w:color w:val="000000"/>
    </w:rPr>
  </w:style>
  <w:style w:type="character" w:styleId="CommentSubjectChar" w:customStyle="1">
    <w:name w:val="Comment Subject Char"/>
    <w:link w:val="annotationsubject"/>
    <w:rsid w:val="001d142d"/>
    <w:rPr>
      <w:rFonts w:ascii="Palatino Linotype" w:hAnsi="Palatino Linotype"/>
      <w:b/>
      <w:bCs/>
      <w:color w:val="000000"/>
    </w:rPr>
  </w:style>
  <w:style w:type="character" w:styleId="EndnoteCharacters">
    <w:name w:val="Endnote Characters"/>
    <w:rsid w:val="001d142d"/>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rsid w:val="001d142d"/>
    <w:rPr>
      <w:rFonts w:ascii="Palatino Linotype" w:hAnsi="Palatino Linotype"/>
      <w:color w:val="000000"/>
    </w:rPr>
  </w:style>
  <w:style w:type="character" w:styleId="FollowedHyperlink">
    <w:name w:val="FollowedHyperlink"/>
    <w:rsid w:val="001d142d"/>
    <w:rPr>
      <w:color w:val="954F72"/>
      <w:u w:val="single"/>
    </w:rPr>
  </w:style>
  <w:style w:type="character" w:styleId="FootnoteTextChar" w:customStyle="1">
    <w:name w:val="Footnote Text Char"/>
    <w:link w:val="FootnoteText"/>
    <w:semiHidden/>
    <w:rsid w:val="001d142d"/>
    <w:rPr>
      <w:rFonts w:ascii="Palatino Linotype" w:hAnsi="Palatino Linotype"/>
      <w:color w:val="000000"/>
    </w:rPr>
  </w:style>
  <w:style w:type="character" w:styleId="PageNumber">
    <w:name w:val="page number"/>
    <w:rsid w:val="001d142d"/>
    <w:rPr/>
  </w:style>
  <w:style w:type="character" w:styleId="PlaceholderText">
    <w:name w:val="Placeholder Text"/>
    <w:uiPriority w:val="99"/>
    <w:semiHidden/>
    <w:rsid w:val="001d142d"/>
    <w:rPr>
      <w:color w:val="808080"/>
    </w:rPr>
  </w:style>
  <w:style w:type="character" w:styleId="Strong">
    <w:name w:val="Strong"/>
    <w:basedOn w:val="DefaultParagraphFont"/>
    <w:uiPriority w:val="22"/>
    <w:qFormat/>
    <w:rsid w:val="00ec0543"/>
    <w:rPr>
      <w:b/>
      <w:bCs/>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link w:val="BodyTextChar"/>
    <w:rsid w:val="001d142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MDPI11articletype" w:customStyle="1">
    <w:name w:val="MDPI_1.1_article_type"/>
    <w:next w:val="Normal"/>
    <w:qFormat/>
    <w:rsid w:val="001d142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d142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d142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d142d"/>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1d142d"/>
    <w:pPr>
      <w:widowControl/>
      <w:bidi w:val="0"/>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d142d"/>
    <w:pPr>
      <w:widowControl/>
      <w:bidi w:val="0"/>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d142d"/>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d142d"/>
    <w:pPr>
      <w:widowControl/>
      <w:pBdr>
        <w:bottom w:val="single" w:sz="6" w:space="1" w:color="000000"/>
      </w:pBdr>
      <w:bidi w:val="0"/>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1d142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1d142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d142d"/>
    <w:pPr>
      <w:ind w:hanging="0"/>
    </w:pPr>
    <w:rPr/>
  </w:style>
  <w:style w:type="paragraph" w:styleId="MDPI31text" w:customStyle="1">
    <w:name w:val="MDPI_3.1_text"/>
    <w:qFormat/>
    <w:rsid w:val="00d90e76"/>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d142d"/>
    <w:pPr>
      <w:widowControl/>
      <w:bidi w:val="0"/>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1d142d"/>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d142d"/>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d142d"/>
    <w:pPr>
      <w:widowControl/>
      <w:bidi w:val="0"/>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9061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90618"/>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d142d"/>
    <w:pPr>
      <w:widowControl/>
      <w:bidi w:val="0"/>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d142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d142d"/>
    <w:pPr>
      <w:widowControl/>
      <w:bidi w:val="0"/>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212e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d142d"/>
    <w:pPr>
      <w:widowControl/>
      <w:bidi w:val="0"/>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d142d"/>
    <w:pPr>
      <w:widowControl/>
      <w:bidi w:val="0"/>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d142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1d142d"/>
    <w:pPr>
      <w:widowControl/>
      <w:bidi w:val="0"/>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d142d"/>
    <w:pPr>
      <w:widowControl/>
      <w:bidi w:val="0"/>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1d142d"/>
    <w:pPr>
      <w:widowControl/>
      <w:bidi w:val="0"/>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d142d"/>
    <w:pPr>
      <w:widowControl/>
      <w:bidi w:val="0"/>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d142d"/>
    <w:pPr>
      <w:widowControl/>
      <w:bidi w:val="0"/>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8383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rsid w:val="001d142d"/>
    <w:pPr/>
    <w:rPr>
      <w:rFonts w:cs="Tahoma"/>
      <w:szCs w:val="18"/>
    </w:rPr>
  </w:style>
  <w:style w:type="paragraph" w:styleId="MDPI61citation" w:customStyle="1">
    <w:name w:val="MDPI_6.1_citation"/>
    <w:qFormat/>
    <w:rsid w:val="001d142d"/>
    <w:pPr>
      <w:widowControl/>
      <w:bidi w:val="0"/>
      <w:snapToGrid w:val="false"/>
      <w:spacing w:lineRule="atLeast" w:line="240" w:before="120" w:after="120"/>
      <w:ind w:end="113"/>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d142d"/>
    <w:pPr>
      <w:widowControl/>
      <w:bidi w:val="0"/>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d142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31e51"/>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d142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d142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c04f9"/>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rsid w:val="001d142d"/>
    <w:pPr/>
    <w:rPr/>
  </w:style>
  <w:style w:type="paragraph" w:styleId="CommentText">
    <w:name w:val="annotation text"/>
    <w:basedOn w:val="Normal"/>
    <w:link w:val="CommentTextChar"/>
    <w:rsid w:val="001d142d"/>
    <w:pPr/>
    <w:rPr/>
  </w:style>
  <w:style w:type="paragraph" w:styleId="annotationsubject">
    <w:name w:val="annotation subject"/>
    <w:basedOn w:val="CommentText"/>
    <w:next w:val="CommentText"/>
    <w:link w:val="CommentSubjectChar"/>
    <w:rsid w:val="001d142d"/>
    <w:pPr/>
    <w:rPr>
      <w:b/>
      <w:bCs/>
    </w:rPr>
  </w:style>
  <w:style w:type="paragraph" w:styleId="EndnoteText">
    <w:name w:val="endnote text"/>
    <w:basedOn w:val="Normal"/>
    <w:link w:val="EndnoteTextChar"/>
    <w:semiHidden/>
    <w:unhideWhenUsed/>
    <w:rsid w:val="001d142d"/>
    <w:pPr>
      <w:spacing w:lineRule="auto" w:line="240"/>
    </w:pPr>
    <w:rPr/>
  </w:style>
  <w:style w:type="paragraph" w:styleId="FootnoteText">
    <w:name w:val="footnote text"/>
    <w:basedOn w:val="Normal"/>
    <w:link w:val="FootnoteTextChar"/>
    <w:semiHidden/>
    <w:unhideWhenUsed/>
    <w:rsid w:val="001d142d"/>
    <w:pPr>
      <w:spacing w:lineRule="auto" w:line="240"/>
    </w:pPr>
    <w:rPr/>
  </w:style>
  <w:style w:type="paragraph" w:styleId="NormalWeb">
    <w:name w:val="Normal (Web)"/>
    <w:basedOn w:val="Normal"/>
    <w:uiPriority w:val="99"/>
    <w:rsid w:val="001d142d"/>
    <w:pPr/>
    <w:rPr>
      <w:szCs w:val="24"/>
    </w:rPr>
  </w:style>
  <w:style w:type="paragraph" w:styleId="MsoFootnoteText" w:customStyle="1">
    <w:name w:val="MsoFootnoteText"/>
    <w:basedOn w:val="NormalWeb"/>
    <w:qFormat/>
    <w:rsid w:val="001d142d"/>
    <w:pPr/>
    <w:rPr>
      <w:rFonts w:ascii="Times New Roman" w:hAnsi="Times New Roman"/>
    </w:rPr>
  </w:style>
  <w:style w:type="paragraph" w:styleId="MDPI71footnotes" w:customStyle="1">
    <w:name w:val="MDPI_7.1_footnotes"/>
    <w:qFormat/>
    <w:rsid w:val="00dd7644"/>
    <w:pPr>
      <w:widowControl/>
      <w:numPr>
        <w:ilvl w:val="0"/>
        <w:numId w:val="3"/>
      </w:numPr>
      <w:bidi w:val="0"/>
      <w:snapToGrid w:val="false"/>
      <w:spacing w:lineRule="atLeast" w:line="280" w:before="0" w:after="0"/>
      <w:jc w:val="start"/>
    </w:pPr>
    <w:rPr>
      <w:rFonts w:ascii="Palatino Linotype" w:hAnsi="Palatino Linotype" w:eastAsia="宋体"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1e609b"/>
    <w:pPr>
      <w:snapToGrid w:val="0"/>
      <w:spacing w:line="300" w:lineRule="exact"/>
      <w:jc w:val="center"/>
    </w:pPr>
    <w:rPr>
      <w:lang w:val="de-DE" w:eastAsia="de-DE"/>
    </w:rPr>
    <w:tblPr>
      <w:tblBorders>
        <w:bottom w:val="single" w:color="auto" w:sz="8" w:space="0"/>
      </w:tblBorders>
    </w:tblPr>
    <w:tcPr>
      <w:vAlign w:val="center"/>
    </w:tcPr>
    <w:tblStylePr w:type="firstRow">
      <w:pPr>
        <w:wordWrap/>
        <w:snapToGrid w:val="0"/>
        <w:spacing w:beforeLines="0" w:afterLines="0" w:line="300" w:lineRule="exact"/>
        <w:ind w:right="0" w:rightChars="0"/>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d142d"/>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d142d"/>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0d7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d142d"/>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doi.org/10.1038/sdata.2016.18" TargetMode="External"/><Relationship Id="rId20" Type="http://schemas.openxmlformats.org/officeDocument/2006/relationships/hyperlink" Target="https://doi.org/10.1109/ICRA57147.2024.10610957" TargetMode="External"/><Relationship Id="rId21" Type="http://schemas.openxmlformats.org/officeDocument/2006/relationships/hyperlink" Target="https://doi.org/10.1109/TMM.2021.3128047" TargetMode="External"/><Relationship Id="rId22" Type="http://schemas.openxmlformats.org/officeDocument/2006/relationships/hyperlink" Target="https://doi.org/10.1016/j.dib.2019.104313" TargetMode="External"/><Relationship Id="rId23" Type="http://schemas.openxmlformats.org/officeDocument/2006/relationships/hyperlink" Target="https://doi.org/10.3390/s21082824" TargetMode="External"/><Relationship Id="rId24" Type="http://schemas.openxmlformats.org/officeDocument/2006/relationships/hyperlink" Target="https://doi.org/10.3390/s21154953" TargetMode="External"/><Relationship Id="rId25" Type="http://schemas.openxmlformats.org/officeDocument/2006/relationships/hyperlink" Target="https://doi.org/10.1109/JPROC.2015.2460697" TargetMode="External"/><Relationship Id="rId26" Type="http://schemas.openxmlformats.org/officeDocument/2006/relationships/hyperlink" Target="https://doi.org/10.3390/data11020038" TargetMode="External"/><Relationship Id="rId27" Type="http://schemas.openxmlformats.org/officeDocument/2006/relationships/hyperlink" Target="https://doi.org/10.3390/data9120144" TargetMode="External"/><Relationship Id="rId28" Type="http://schemas.openxmlformats.org/officeDocument/2006/relationships/hyperlink" Target="https://doi.org/10.3390/data11010021" TargetMode="External"/><Relationship Id="rId29" Type="http://schemas.openxmlformats.org/officeDocument/2006/relationships/hyperlink" Target="https://doi.org/10.3390/data10010005" TargetMode="External"/><Relationship Id="rId30" Type="http://schemas.openxmlformats.org/officeDocument/2006/relationships/hyperlink" Target="https://doi.org/10.3390/data9060079" TargetMode="External"/><Relationship Id="rId31" Type="http://schemas.openxmlformats.org/officeDocument/2006/relationships/hyperlink" Target="https://doi.org/10.1145/3458723" TargetMode="External"/><Relationship Id="rId32" Type="http://schemas.openxmlformats.org/officeDocument/2006/relationships/hyperlink" Target="https://doi.org/10.3233/DS-210053" TargetMode="External"/><Relationship Id="rId33" Type="http://schemas.openxmlformats.org/officeDocument/2006/relationships/hyperlink" Target="https://doi.org/10.14454/qdd3-ps68" TargetMode="External"/><Relationship Id="rId34" Type="http://schemas.openxmlformats.org/officeDocument/2006/relationships/hyperlink" Target="https://www.w3.org/TR/prov-o/" TargetMode="External"/><Relationship Id="rId35" Type="http://schemas.openxmlformats.org/officeDocument/2006/relationships/hyperlink" Target="https://doi.org/10.3390/electronics13071373" TargetMode="External"/><Relationship Id="rId36" Type="http://schemas.openxmlformats.org/officeDocument/2006/relationships/hyperlink" Target="https://doi.org/10.3390/electronics12061332" TargetMode="External"/><Relationship Id="rId37" Type="http://schemas.openxmlformats.org/officeDocument/2006/relationships/hyperlink" Target="https://doi.org/10.3390/electronics13010075" TargetMode="External"/><Relationship Id="rId38" Type="http://schemas.openxmlformats.org/officeDocument/2006/relationships/hyperlink" Target="https://doi.org/10.1145/2794400" TargetMode="External"/><Relationship Id="rId39" Type="http://schemas.openxmlformats.org/officeDocument/2006/relationships/hyperlink" Target="https://docs.oasis-open.org/emergency/cap/v1.2/CAP-v1.2-os.html" TargetMode="External"/><Relationship Id="rId40" Type="http://schemas.openxmlformats.org/officeDocument/2006/relationships/hyperlink" Target="https://doi.org/10.17487/RFC3339" TargetMode="External"/><Relationship Id="rId41" Type="http://schemas.openxmlformats.org/officeDocument/2006/relationships/hyperlink" Target="https://www.iso.org/standard/35736.html" TargetMode="External"/><Relationship Id="rId42" Type="http://schemas.openxmlformats.org/officeDocument/2006/relationships/hyperlink" Target="https://doi.org/10.1162/coli.07-034-R2" TargetMode="External"/><Relationship Id="rId43" Type="http://schemas.openxmlformats.org/officeDocument/2006/relationships/hyperlink" Target="https://doi.org/10.1111/ecog.02881" TargetMode="External"/><Relationship Id="rId44" Type="http://schemas.openxmlformats.org/officeDocument/2006/relationships/hyperlink" Target="https://doi.org/10.1145/2382577.2382579" TargetMode="External"/><Relationship Id="rId45" Type="http://schemas.openxmlformats.org/officeDocument/2006/relationships/hyperlink" Target="https://doi.org/10.1198/016214506000001437" TargetMode="External"/><Relationship Id="rId46" Type="http://schemas.openxmlformats.org/officeDocument/2006/relationships/hyperlink" Target="https://proceedings.mlr.press/v70/guo17a.html" TargetMode="External"/><Relationship Id="rId47" Type="http://schemas.openxmlformats.org/officeDocument/2006/relationships/hyperlink" Target="https://eur-lex.europa.eu/eli/reg/2016/679/oj" TargetMode="External"/><Relationship Id="rId48" Type="http://schemas.openxmlformats.org/officeDocument/2006/relationships/hyperlink" Target="https://doi.org/10.6028/NIST.SP.800-188" TargetMode="External"/><Relationship Id="rId49" Type="http://schemas.openxmlformats.org/officeDocument/2006/relationships/hyperlink" Target="https://doi.org/10.6028/NIST.FIPS.180-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data-template.dot</Template>
  <TotalTime>0</TotalTime>
  <Application>LibreOfficeDev/26.8.0.0.alpha0$Linux_X86_64 LibreOffice_project/2c87e51eeaa2b413ff4ae097b2705eea1995d8e5</Application>
  <AppVersion>15.0000</AppVersion>
  <Pages>2</Pages>
  <Words>2312</Words>
  <Characters>13182</Characters>
  <CharactersWithSpaces>15464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Dmytro Prokopovych-Tkachenko</dc:creator>
  <dc:description>Version 01. Controlled placeholders are intentionally retained where source evidence is absent.</dc:description>
  <dc:language>en-US</dc:language>
  <cp:lastModifiedBy>JAMS Production Team</cp:lastModifiedBy>
  <dcterms:modified xsi:type="dcterms:W3CDTF">2025-08-12T07:50:00Z</dcterms:modified>
  <cp:revision>2</cp:revision>
  <dc:subject>Pre-submission Data Descriptor manuscript for Data (MDPI)</dc:subject>
  <dc:title>Building and Validating a Multisource, Multimodal Spatiotemporal Dataset for Early Warning of Approaching Small Unmanned Aerial Vehicles</dc:title>
  <cp:keywords>small unmanned aerial vehicle; multimodal dataset; early warning; spatiotemporal data; acoustic sensing; visual sensing; data provenance; technical validation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b517b143669e012a04927c5632fb4da84568dda29a4212a619bf01f6e043ccff</vt:lpwstr>
  </property>
</Properties>
</file>