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РОЗДІЛ 3</w:t>
      </w:r>
    </w:p>
    <w:p>
      <w:pPr>
        <w:spacing w:after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ПРОГРАМНА РЕАЛІЗАЦІЯ</w:t>
      </w:r>
    </w:p>
    <w:p>
      <w:pPr>
        <w:pStyle w:val="Heading2"/>
        <w:spacing w:after="160" w:before="20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3.1. Загальна характеристика програмного забезпечення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color w:val="808080"/>
          <w:sz w:val="28"/>
          <w:szCs w:val="28"/>
        </w:rPr>
        <w:t xml:space="preserve">‹ Стисло вкажіть призначення ПЗ, задачі, які воно розв’язує, та місце програмної реалізації у структурі дослідження. ›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Програмне забезпечення розроблено в середовищі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MATLAB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на базі бібліотеки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Bayes Net Toolbox (BNT)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(автор — K. P. Murphy, ліцензія GNU LGPL). Метою розробки є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‹мета розробки›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color w:val="808080"/>
          <w:sz w:val="28"/>
          <w:szCs w:val="28"/>
        </w:rPr>
        <w:t xml:space="preserve">‹ Перелічіть основні функції: завантаження даних, дискретизація MDL, навчання структури, класифікація, оцінювання якості. ›</w:t>
      </w:r>
    </w:p>
    <w:p>
      <w:pPr>
        <w:pStyle w:val="Heading2"/>
        <w:spacing w:after="160" w:before="20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3.2. Вибір і обґрунтування засобів розробки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color w:val="808080"/>
          <w:sz w:val="28"/>
          <w:szCs w:val="28"/>
        </w:rPr>
        <w:t xml:space="preserve">‹ Обґрунтуйте вибір мови/середовища та сторонніх бібліотек. Приклад тексту нижче. ›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реалізації обрано середовище MATLAB через наявність готової бібліотеки BNT з реалізаціями алгоритмів імовірнісного виведення та розвинутих засобів матричних обчислень. Перелік використаних програмних засобів наведено в табл. 3.1.</w:t>
      </w:r>
    </w:p>
    <w:p>
      <w:pPr>
        <w:spacing w:after="60" w:before="160" w:line="276"/>
        <w:jc w:val="righ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Таблиця 3.1 — Програмні засоби розробки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4300"/>
      </w:tblGrid>
      <w:tr>
        <w:trPr>
          <w:tblHeader/>
        </w:trPr>
        <w:tc>
          <w:tcPr>
            <w:tcW w:type="dxa" w:w="340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Засіб</w:t>
            </w:r>
          </w:p>
        </w:tc>
        <w:tc>
          <w:tcPr>
            <w:tcW w:type="dxa" w:w="160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Версія</w:t>
            </w:r>
          </w:p>
        </w:tc>
        <w:tc>
          <w:tcPr>
            <w:tcW w:type="dxa" w:w="430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Призначення</w:t>
            </w:r>
          </w:p>
        </w:tc>
      </w:tr>
      <w:t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MATLAB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R2018b</w:t>
            </w:r>
          </w:p>
        </w:tc>
        <w:tc>
          <w:tcPr>
            <w:tcW w:type="dxa" w:w="4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Середовище розробки та виконання</w:t>
            </w:r>
          </w:p>
        </w:tc>
      </w:tr>
      <w:t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Bayes Net Toolbox (BNT)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—</w:t>
            </w:r>
          </w:p>
        </w:tc>
        <w:tc>
          <w:tcPr>
            <w:tcW w:type="dxa" w:w="4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Алгоритми структури та виведення</w:t>
            </w:r>
          </w:p>
        </w:tc>
      </w:tr>
      <w:t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SLP (Structure Learning Package)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1.5</w:t>
            </w:r>
          </w:p>
        </w:tc>
        <w:tc>
          <w:tcPr>
            <w:tcW w:type="dxa" w:w="4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Додаткові алгоритми навчання структури</w:t>
            </w:r>
          </w:p>
        </w:tc>
      </w:tr>
      <w:t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GraphViz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—</w:t>
            </w:r>
          </w:p>
        </w:tc>
        <w:tc>
          <w:tcPr>
            <w:tcW w:type="dxa" w:w="4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Візуалізація графових моделей</w:t>
            </w:r>
          </w:p>
        </w:tc>
      </w:tr>
      <w:t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MySQL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—</w:t>
            </w:r>
          </w:p>
        </w:tc>
        <w:tc>
          <w:tcPr>
            <w:tcW w:type="dxa" w:w="4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Зберігання навчальних вибірок (опційно)</w:t>
            </w:r>
          </w:p>
        </w:tc>
      </w:tr>
    </w:tbl>
    <w:p>
      <w:pPr>
        <w:pStyle w:val="Heading2"/>
        <w:spacing w:after="160" w:before="20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3.3. Архітектура програмного забезпечення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color w:val="808080"/>
          <w:sz w:val="28"/>
          <w:szCs w:val="28"/>
        </w:rPr>
        <w:t xml:space="preserve">‹ Опишіть шарову архітектуру та наведіть схему модулів (рис. 3.1). Схему експортуйте з docs/dysertacia/architecture_ua.md. ›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Програмний комплекс побудовано за шаровим принципом: шар даних, шар підготовки даних, шар моделювання, бібліотечний шар та шар оцінювання. Увесь авторський код зосереджено в каталозі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Utils/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що чітко відокремлює оригінальний внесок від сторонньої бібліотеки. Структуру модулів наведено на рис. 3.1.</w:t>
      </w:r>
    </w:p>
    <w:p>
      <w:pPr>
        <w:spacing w:after="60" w:before="120" w:line="360"/>
        <w:jc w:val="center"/>
      </w:pPr>
      <w:r>
        <w:rPr>
          <w:rFonts w:ascii="Times New Roman" w:cs="Times New Roman" w:eastAsia="Times New Roman" w:hAnsi="Times New Roman"/>
          <w:i/>
          <w:iCs/>
          <w:color w:val="808080"/>
          <w:sz w:val="28"/>
          <w:szCs w:val="28"/>
        </w:rPr>
        <w:t xml:space="preserve">‹ рисунок 3.1 — схема архітектури (вставте зображення) ›</w:t>
      </w:r>
    </w:p>
    <w:p>
      <w:pPr>
        <w:spacing w:after="16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3.1 — Архітектура програмного забезпечення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Опис складових модулів наведено в табл. 3.2.</w:t>
      </w:r>
    </w:p>
    <w:p>
      <w:pPr>
        <w:spacing w:after="60" w:before="160" w:line="276"/>
        <w:jc w:val="righ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Таблиця 3.2 — Склад програмних модулів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400"/>
        <w:gridCol w:w="3000"/>
      </w:tblGrid>
      <w:tr>
        <w:trPr>
          <w:tblHeader/>
        </w:trPr>
        <w:tc>
          <w:tcPr>
            <w:tcW w:type="dxa" w:w="290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Модуль (каталог)</w:t>
            </w:r>
          </w:p>
        </w:tc>
        <w:tc>
          <w:tcPr>
            <w:tcW w:type="dxa" w:w="340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Основні функції</w:t>
            </w:r>
          </w:p>
        </w:tc>
        <w:tc>
          <w:tcPr>
            <w:tcW w:type="dxa" w:w="300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Призначення</w:t>
            </w:r>
          </w:p>
        </w:tc>
      </w:tr>
      <w:tr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Utils/database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get_data_from_mysql, get_data_type_map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Завантаження вибірок з БД</w:t>
            </w:r>
          </w:p>
        </w:tc>
      </w:tr>
      <w:tr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Utils/discretization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mdl_algorithm, convert_to_num_matrix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Дискретизація ознак (MDL)</w:t>
            </w:r>
          </w:p>
        </w:tc>
      </w:tr>
      <w:tr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Utils/classified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learn_struct_and_classified, computer_avg_classified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Навчання структури та класифікація</w:t>
            </w:r>
          </w:p>
        </w:tc>
      </w:tr>
      <w:tr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Utils/struct, Utils/utils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compare_dag, print_dag, get_bnet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Аналіз структур, допоміжні функції</w:t>
            </w:r>
          </w:p>
        </w:tc>
      </w:tr>
    </w:tbl>
    <w:p>
      <w:pPr>
        <w:pStyle w:val="Heading2"/>
        <w:spacing w:after="160" w:before="20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3.4. Опис основних алгоритмів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color w:val="808080"/>
          <w:sz w:val="28"/>
          <w:szCs w:val="28"/>
        </w:rPr>
        <w:t xml:space="preserve">‹ Опишіть ключові алгоритми словами / псевдокодом / блок-схемою (ГОСТ 19.701). Нижче — заготовки. ›</w:t>
      </w:r>
    </w:p>
    <w:p>
      <w:pPr>
        <w:pStyle w:val="Heading2"/>
        <w:spacing w:after="160" w:before="20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3.4.1. Дискретизація даних методом MDL (Fayyad &amp; Irani)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color w:val="808080"/>
          <w:sz w:val="28"/>
          <w:szCs w:val="28"/>
        </w:rPr>
        <w:t xml:space="preserve">‹ Опишіть критерій MDL та кроки алгоритму дискретизації (функція mdl_algorithm). ›</w:t>
      </w:r>
    </w:p>
    <w:p>
      <w:pPr>
        <w:pStyle w:val="Heading2"/>
        <w:spacing w:after="160" w:before="20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3.4.2. Навчання структури баєсівської мережі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Реалізовано підтримку 15 алгоритмів навчання структури: PC, IC, BNPC, MWST, Naive, TAN, FAN, K2, MCMC, GS2, GES, MWST‑K2, HC, GS+T, MWST‑EM, TAN‑EM. Оцінювання структур виконується за критеріями BIC, AIC, взаємної інформації або баєсівської оцінки.</w:t>
      </w:r>
    </w:p>
    <w:p>
      <w:pPr>
        <w:pStyle w:val="Heading2"/>
        <w:spacing w:after="160" w:before="20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3.4.3. Класифікація та оцінювання якості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Якість класифікації оцінюється методами Hold‑Out, CV‑5 та CV‑10. Результатом є точність класифікації (correct rate) та матриця плутанини (confusion matrix), усереднені за заданою кількістю повторень експерименту.</w:t>
      </w:r>
    </w:p>
    <w:p>
      <w:pPr>
        <w:pStyle w:val="Heading2"/>
        <w:spacing w:after="160" w:before="20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3.5. Опис вхідних та вихідних даних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color w:val="808080"/>
          <w:sz w:val="28"/>
          <w:szCs w:val="28"/>
        </w:rPr>
        <w:t xml:space="preserve">‹ Опишіть формати вхідної вибірки (матриця «ознака × спостереження»), джерела (файл/MySQL) та формат результатів. ›</w:t>
      </w:r>
    </w:p>
    <w:p>
      <w:pPr>
        <w:pStyle w:val="Heading2"/>
        <w:spacing w:after="160" w:before="20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3.6. Інструкція з розгортання та запуску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color w:val="808080"/>
          <w:sz w:val="28"/>
          <w:szCs w:val="28"/>
        </w:rPr>
        <w:t xml:space="preserve">‹ Наведіть кроки встановлення (див. README_UA.md). ›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Додати підкаталоги до шляху MATLAB: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addpath(genpathKPM(pwd));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Перевірити встановлення командою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test_BNT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Запустити демонстраційний експеримент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iris_classified_demo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pStyle w:val="Heading2"/>
        <w:spacing w:after="160" w:before="20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3.7. Результати експериментальних досліджень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color w:val="808080"/>
          <w:sz w:val="28"/>
          <w:szCs w:val="28"/>
        </w:rPr>
        <w:t xml:space="preserve">‹ Наведіть таблиці/графіки точності та матриці плутанини для різних алгоритмів структури. Приклад таблиці нижче. ›</w:t>
      </w:r>
    </w:p>
    <w:p>
      <w:pPr>
        <w:spacing w:after="60" w:before="160" w:line="276"/>
        <w:jc w:val="righ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Таблиця 3.3 — Точність класифікації за алгоритмами структури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100"/>
        <w:gridCol w:w="2600"/>
      </w:tblGrid>
      <w:tr>
        <w:trPr>
          <w:tblHeader/>
        </w:trPr>
        <w:tc>
          <w:tcPr>
            <w:tcW w:type="dxa" w:w="360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Алгоритм структури</w:t>
            </w:r>
          </w:p>
        </w:tc>
        <w:tc>
          <w:tcPr>
            <w:tcW w:type="dxa" w:w="310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Метод перевірки</w:t>
            </w:r>
          </w:p>
        </w:tc>
        <w:tc>
          <w:tcPr>
            <w:tcW w:type="dxa" w:w="260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Точність, %</w:t>
            </w:r>
          </w:p>
        </w:tc>
      </w:tr>
      <w:t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Naive Bayes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CV-5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‹ … ›</w:t>
            </w:r>
          </w:p>
        </w:tc>
      </w:tr>
      <w:t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K2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CV-5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‹ … ›</w:t>
            </w:r>
          </w:p>
        </w:tc>
      </w:tr>
      <w:t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TAN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CV-5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‹ … ›</w:t>
            </w:r>
          </w:p>
        </w:tc>
      </w:tr>
      <w:t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MWST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CV-5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‹ … ›</w:t>
            </w:r>
          </w:p>
        </w:tc>
      </w:tr>
    </w:tbl>
    <w:p>
      <w:pPr>
        <w:pStyle w:val="Heading2"/>
        <w:spacing w:after="160" w:before="20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3.8. Висновки до розділу 3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color w:val="808080"/>
          <w:sz w:val="28"/>
          <w:szCs w:val="28"/>
        </w:rPr>
        <w:t xml:space="preserve">‹ Стисло підсумуйте: що реалізовано, які результати отримано, у чому полягає авторський внесок. ›</w:t>
      </w:r>
    </w:p>
    <w:p>
      <w:pPr>
        <w:spacing w:after="240"/>
      </w:pPr>
    </w:p>
    <w:p>
      <w:r>
        <w:br w:type="page"/>
      </w:r>
    </w:p>
    <w:p>
      <w:pPr>
        <w:spacing w:after="16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808080"/>
          <w:sz w:val="24"/>
          <w:szCs w:val="24"/>
        </w:rPr>
        <w:t xml:space="preserve">ДОВІДКОВО (видалити перед друком)</w:t>
      </w:r>
    </w:p>
    <w:p>
      <w:pPr>
        <w:spacing w:line="360"/>
      </w:pPr>
      <w:r>
        <w:rPr>
          <w:rFonts w:ascii="Times New Roman" w:cs="Times New Roman" w:eastAsia="Times New Roman" w:hAnsi="Times New Roman"/>
          <w:color w:val="808080"/>
          <w:sz w:val="24"/>
          <w:szCs w:val="24"/>
        </w:rPr>
        <w:t xml:space="preserve">Вимоги до оформлення (типові, уточнюйте за методичкою вашої спецради / ДСТУ 3008:2015):</w:t>
      </w:r>
    </w:p>
    <w:p>
      <w:pPr>
        <w:pStyle w:val="ListParagraph"/>
        <w:numPr>
          <w:ilvl w:val="0"/>
          <w:numId w:val="2"/>
        </w:numPr>
        <w:spacing w:line="360"/>
      </w:pPr>
      <w:r>
        <w:rPr>
          <w:rFonts w:ascii="Times New Roman" w:cs="Times New Roman" w:eastAsia="Times New Roman" w:hAnsi="Times New Roman"/>
          <w:color w:val="808080"/>
          <w:sz w:val="24"/>
          <w:szCs w:val="24"/>
        </w:rPr>
        <w:t xml:space="preserve">Шрифт: Times New Roman, 14 пт, міжрядковий інтервал 1,5.</w:t>
      </w:r>
    </w:p>
    <w:p>
      <w:pPr>
        <w:pStyle w:val="ListParagraph"/>
        <w:numPr>
          <w:ilvl w:val="0"/>
          <w:numId w:val="2"/>
        </w:numPr>
        <w:spacing w:line="360"/>
      </w:pPr>
      <w:r>
        <w:rPr>
          <w:rFonts w:ascii="Times New Roman" w:cs="Times New Roman" w:eastAsia="Times New Roman" w:hAnsi="Times New Roman"/>
          <w:color w:val="808080"/>
          <w:sz w:val="24"/>
          <w:szCs w:val="24"/>
        </w:rPr>
        <w:t xml:space="preserve">Поля: ліве 30 мм, праве 15 мм, верхнє та нижнє 20 мм.</w:t>
      </w:r>
    </w:p>
    <w:p>
      <w:pPr>
        <w:pStyle w:val="ListParagraph"/>
        <w:numPr>
          <w:ilvl w:val="0"/>
          <w:numId w:val="2"/>
        </w:numPr>
        <w:spacing w:line="360"/>
      </w:pPr>
      <w:r>
        <w:rPr>
          <w:rFonts w:ascii="Times New Roman" w:cs="Times New Roman" w:eastAsia="Times New Roman" w:hAnsi="Times New Roman"/>
          <w:color w:val="808080"/>
          <w:sz w:val="24"/>
          <w:szCs w:val="24"/>
        </w:rPr>
        <w:t xml:space="preserve">Абзацний відступ: 1,25 см; вирівнювання основного тексту — за шириною.</w:t>
      </w:r>
    </w:p>
    <w:p>
      <w:pPr>
        <w:pStyle w:val="ListParagraph"/>
        <w:numPr>
          <w:ilvl w:val="0"/>
          <w:numId w:val="2"/>
        </w:numPr>
        <w:spacing w:line="360"/>
      </w:pPr>
      <w:r>
        <w:rPr>
          <w:rFonts w:ascii="Times New Roman" w:cs="Times New Roman" w:eastAsia="Times New Roman" w:hAnsi="Times New Roman"/>
          <w:color w:val="808080"/>
          <w:sz w:val="24"/>
          <w:szCs w:val="24"/>
        </w:rPr>
        <w:t xml:space="preserve">Заголовки розділів — великими літерами; підрозділів — з великої літери.</w:t>
      </w:r>
    </w:p>
    <w:p>
      <w:pPr>
        <w:pStyle w:val="ListParagraph"/>
        <w:numPr>
          <w:ilvl w:val="0"/>
          <w:numId w:val="2"/>
        </w:numPr>
        <w:spacing w:line="360"/>
      </w:pPr>
      <w:r>
        <w:rPr>
          <w:rFonts w:ascii="Times New Roman" w:cs="Times New Roman" w:eastAsia="Times New Roman" w:hAnsi="Times New Roman"/>
          <w:color w:val="808080"/>
          <w:sz w:val="24"/>
          <w:szCs w:val="24"/>
        </w:rPr>
        <w:t xml:space="preserve">Нумерація рисунків і таблиць — у межах розділу (рис. 3.1, табл. 3.1).</w:t>
      </w:r>
    </w:p>
    <w:p>
      <w:pPr>
        <w:pStyle w:val="ListParagraph"/>
        <w:numPr>
          <w:ilvl w:val="0"/>
          <w:numId w:val="2"/>
        </w:numPr>
        <w:spacing w:line="360"/>
      </w:pPr>
      <w:r>
        <w:rPr>
          <w:rFonts w:ascii="Times New Roman" w:cs="Times New Roman" w:eastAsia="Times New Roman" w:hAnsi="Times New Roman"/>
          <w:color w:val="808080"/>
          <w:sz w:val="24"/>
          <w:szCs w:val="24"/>
        </w:rPr>
        <w:t xml:space="preserve">Посилання на джерела — у квадратних дужках; список — за ДСТУ 8302:2015.</w:t>
      </w:r>
    </w:p>
    <w:p>
      <w:pPr>
        <w:pStyle w:val="ListParagraph"/>
        <w:numPr>
          <w:ilvl w:val="0"/>
          <w:numId w:val="2"/>
        </w:numPr>
        <w:spacing w:line="360"/>
      </w:pPr>
      <w:r>
        <w:rPr>
          <w:rFonts w:ascii="Times New Roman" w:cs="Times New Roman" w:eastAsia="Times New Roman" w:hAnsi="Times New Roman"/>
          <w:color w:val="808080"/>
          <w:sz w:val="24"/>
          <w:szCs w:val="24"/>
        </w:rPr>
        <w:t xml:space="preserve">Лістинги коду — у додатках (див. docs/dysertacia/appendix_listings_ua.md).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69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2026-07-22T23:25:23.687Z</dcterms:created>
  <dcterms:modified xsi:type="dcterms:W3CDTF">2026-07-22T23:25:23.687Z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