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pPr>
        <w:pStyle w:val="Rubrik1"/>
        <w:keepNext/>
        <w:spacing w:before="0" w:after="200" w:line="240" w:lineRule="auto"/>
      </w:pPr>
      <w:r>
        <w:rPr>
          <w:rFonts w:ascii="Arial" w:hAnsi="Arial" w:cs="Arial"/>
          <w:b/>
          <w:i w:val="0"/>
          <w:sz w:val="28"/>
        </w:rPr>
        <w:t>UMSF Incident Lab: Evidence-aware assessment of missile-strike consequences at critical infrastructure facilities</w:t>
      </w:r>
    </w:p>
    <w:p>
      <w:pPr>
        <w:spacing w:before="0" w:after="120" w:line="240" w:lineRule="auto"/>
      </w:pPr>
      <w:r>
        <w:rPr>
          <w:rFonts w:ascii="Arial" w:hAnsi="Arial" w:cs="Arial"/>
          <w:b w:val="0"/>
          <w:i w:val="0"/>
          <w:sz w:val="22"/>
        </w:rPr>
        <w:t>Saltanat Adilzhanova</w:t>
      </w:r>
      <w:r>
        <w:rPr>
          <w:rFonts w:ascii="Arial" w:hAnsi="Arial" w:cs="Arial"/>
          <w:b w:val="0"/>
          <w:i w:val="0"/>
          <w:sz w:val="22"/>
          <w:vertAlign w:val="superscript"/>
        </w:rPr>
        <w:t>a</w:t>
      </w:r>
      <w:r>
        <w:rPr>
          <w:rFonts w:ascii="Arial" w:hAnsi="Arial" w:cs="Arial"/>
          <w:b w:val="0"/>
          <w:i w:val="0"/>
          <w:sz w:val="22"/>
        </w:rPr>
        <w:t>, Olga Torstensson</w:t>
      </w:r>
      <w:r>
        <w:rPr>
          <w:rFonts w:ascii="Arial" w:hAnsi="Arial" w:cs="Arial"/>
          <w:b w:val="0"/>
          <w:i w:val="0"/>
          <w:sz w:val="22"/>
          <w:vertAlign w:val="superscript"/>
        </w:rPr>
        <w:t>b,*</w:t>
      </w:r>
      <w:r>
        <w:rPr>
          <w:rFonts w:ascii="Arial" w:hAnsi="Arial" w:cs="Arial"/>
          <w:b w:val="0"/>
          <w:i w:val="0"/>
          <w:sz w:val="22"/>
        </w:rPr>
        <w:t>, Dmytro Prokopovych-Tkachenko</w:t>
      </w:r>
      <w:r>
        <w:rPr>
          <w:rFonts w:ascii="Arial" w:hAnsi="Arial" w:cs="Arial"/>
          <w:b w:val="0"/>
          <w:i w:val="0"/>
          <w:sz w:val="22"/>
          <w:vertAlign w:val="superscript"/>
        </w:rPr>
        <w:t>c</w:t>
      </w:r>
      <w:r>
        <w:rPr>
          <w:rFonts w:ascii="Arial" w:hAnsi="Arial" w:cs="Arial"/>
          <w:b w:val="0"/>
          <w:i w:val="0"/>
          <w:sz w:val="22"/>
        </w:rPr>
        <w:t>, Mariia Tykhonenko</w:t>
      </w:r>
      <w:r>
        <w:rPr>
          <w:rFonts w:ascii="Arial" w:hAnsi="Arial" w:cs="Arial"/>
          <w:b w:val="0"/>
          <w:i w:val="0"/>
          <w:sz w:val="22"/>
          <w:vertAlign w:val="superscript"/>
        </w:rPr>
        <w:t>d,e</w:t>
      </w:r>
      <w:r>
        <w:rPr>
          <w:rFonts w:ascii="Arial" w:hAnsi="Arial" w:cs="Arial"/>
          <w:b w:val="0"/>
          <w:i w:val="0"/>
          <w:sz w:val="22"/>
        </w:rPr>
        <w:t>, Gulzhanat Beketova</w:t>
      </w:r>
      <w:r>
        <w:rPr>
          <w:rFonts w:ascii="Arial" w:hAnsi="Arial" w:cs="Arial"/>
          <w:b w:val="0"/>
          <w:i w:val="0"/>
          <w:sz w:val="22"/>
          <w:vertAlign w:val="superscript"/>
        </w:rPr>
        <w:t>f,a</w:t>
      </w:r>
      <w:r>
        <w:rPr>
          <w:rFonts w:ascii="Arial" w:hAnsi="Arial" w:cs="Arial"/>
          <w:b w:val="0"/>
          <w:i w:val="0"/>
          <w:sz w:val="22"/>
        </w:rPr>
        <w:t>, Madina Sydybayeva</w:t>
      </w:r>
      <w:r>
        <w:rPr>
          <w:rFonts w:ascii="Arial" w:hAnsi="Arial" w:cs="Arial"/>
          <w:b w:val="0"/>
          <w:i w:val="0"/>
          <w:sz w:val="22"/>
          <w:vertAlign w:val="superscript"/>
        </w:rPr>
        <w:t>g,a</w:t>
      </w:r>
    </w:p>
    <w:p>
      <w:pPr>
        <w:spacing w:before="0" w:after="0" w:line="240" w:lineRule="auto"/>
      </w:pPr>
      <w:r>
        <w:rPr>
          <w:rFonts w:ascii="Arial" w:hAnsi="Arial" w:cs="Arial"/>
          <w:b w:val="0"/>
          <w:i/>
          <w:sz w:val="19"/>
          <w:vertAlign w:val="superscript"/>
        </w:rPr>
        <w:t>a</w:t>
      </w:r>
      <w:r>
        <w:rPr>
          <w:rFonts w:ascii="Arial" w:hAnsi="Arial" w:cs="Arial"/>
          <w:b w:val="0"/>
          <w:i/>
          <w:sz w:val="19"/>
        </w:rPr>
        <w:t xml:space="preserve"> Department of Computer Engineering, Faculty of Information Technology, Almaty Technological University, Almaty, Kazakhstan</w:t>
      </w:r>
    </w:p>
    <w:p>
      <w:pPr>
        <w:spacing w:before="0" w:after="0" w:line="240" w:lineRule="auto"/>
      </w:pPr>
      <w:r>
        <w:rPr>
          <w:rFonts w:ascii="Arial" w:hAnsi="Arial" w:cs="Arial"/>
          <w:b w:val="0"/>
          <w:i/>
          <w:sz w:val="19"/>
          <w:vertAlign w:val="superscript"/>
        </w:rPr>
        <w:t>b</w:t>
      </w:r>
      <w:r>
        <w:rPr>
          <w:rFonts w:ascii="Arial" w:hAnsi="Arial" w:cs="Arial"/>
          <w:b w:val="0"/>
          <w:i/>
          <w:sz w:val="19"/>
        </w:rPr>
        <w:t xml:space="preserve"> School of Information Technology, Halmstad University, SE-301 18 Halmstad, Sweden</w:t>
      </w:r>
    </w:p>
    <w:p>
      <w:pPr>
        <w:spacing w:before="0" w:after="0" w:line="240" w:lineRule="auto"/>
      </w:pPr>
      <w:r>
        <w:rPr>
          <w:rFonts w:ascii="Arial" w:hAnsi="Arial" w:cs="Arial"/>
          <w:b w:val="0"/>
          <w:i/>
          <w:sz w:val="19"/>
          <w:vertAlign w:val="superscript"/>
        </w:rPr>
        <w:t>c</w:t>
      </w:r>
      <w:r>
        <w:rPr>
          <w:rFonts w:ascii="Arial" w:hAnsi="Arial" w:cs="Arial"/>
          <w:b w:val="0"/>
          <w:i/>
          <w:sz w:val="19"/>
        </w:rPr>
        <w:t xml:space="preserve"> Department of Cybersecurity and Information Technologies, University of Customs and Finance, Vladimir Vernadsky St. 2/4, Dnipro, 49000, Ukraine</w:t>
      </w:r>
    </w:p>
    <w:p>
      <w:pPr>
        <w:spacing w:before="0" w:after="0" w:line="240" w:lineRule="auto"/>
      </w:pPr>
      <w:r>
        <w:rPr>
          <w:rFonts w:ascii="Arial" w:hAnsi="Arial" w:cs="Arial"/>
          <w:b w:val="0"/>
          <w:i/>
          <w:sz w:val="19"/>
          <w:vertAlign w:val="superscript"/>
        </w:rPr>
        <w:t>d</w:t>
      </w:r>
      <w:r>
        <w:rPr>
          <w:rFonts w:ascii="Arial" w:hAnsi="Arial" w:cs="Arial"/>
          <w:b w:val="0"/>
          <w:i/>
          <w:sz w:val="19"/>
        </w:rPr>
        <w:t xml:space="preserve"> Independent Researcher, Department of Cybersecurity and Information Technologies, University of Customs and Finance, Dnipro, Ukraine</w:t>
      </w:r>
    </w:p>
    <w:p>
      <w:pPr>
        <w:spacing w:before="0" w:after="0" w:line="240" w:lineRule="auto"/>
      </w:pPr>
      <w:r>
        <w:rPr>
          <w:rFonts w:ascii="Arial" w:hAnsi="Arial" w:cs="Arial"/>
          <w:b w:val="0"/>
          <w:i/>
          <w:sz w:val="19"/>
          <w:vertAlign w:val="superscript"/>
        </w:rPr>
        <w:t>e</w:t>
      </w:r>
      <w:r>
        <w:rPr>
          <w:rFonts w:ascii="Arial" w:hAnsi="Arial" w:cs="Arial"/>
          <w:b w:val="0"/>
          <w:i/>
          <w:sz w:val="19"/>
        </w:rPr>
        <w:t xml:space="preserve"> Student, Kharkiv National University of Radio Electronics, Kharkiv, Ukraine</w:t>
      </w:r>
    </w:p>
    <w:p>
      <w:pPr>
        <w:spacing w:before="0" w:after="0" w:line="240" w:lineRule="auto"/>
      </w:pPr>
      <w:r>
        <w:rPr>
          <w:rFonts w:ascii="Arial" w:hAnsi="Arial" w:cs="Arial"/>
          <w:b w:val="0"/>
          <w:i/>
          <w:sz w:val="19"/>
          <w:vertAlign w:val="superscript"/>
        </w:rPr>
        <w:t>f</w:t>
      </w:r>
      <w:r>
        <w:rPr>
          <w:rFonts w:ascii="Arial" w:hAnsi="Arial" w:cs="Arial"/>
          <w:b w:val="0"/>
          <w:i/>
          <w:sz w:val="19"/>
        </w:rPr>
        <w:t xml:space="preserve"> Almaty University of Energy and Communications named after G. Daukeev, Almaty, Kazakhstan</w:t>
      </w:r>
    </w:p>
    <w:p>
      <w:pPr>
        <w:spacing w:before="0" w:after="120" w:line="240" w:lineRule="auto"/>
      </w:pPr>
      <w:r>
        <w:rPr>
          <w:rFonts w:ascii="Arial" w:hAnsi="Arial" w:cs="Arial"/>
          <w:b w:val="0"/>
          <w:i/>
          <w:sz w:val="19"/>
          <w:vertAlign w:val="superscript"/>
        </w:rPr>
        <w:t>g</w:t>
      </w:r>
      <w:r>
        <w:rPr>
          <w:rFonts w:ascii="Arial" w:hAnsi="Arial" w:cs="Arial"/>
          <w:b w:val="0"/>
          <w:i/>
          <w:sz w:val="19"/>
        </w:rPr>
        <w:t xml:space="preserve"> Satbayev University, Almaty, Kazakhstan</w:t>
      </w:r>
    </w:p>
    <w:p>
      <w:pPr>
        <w:spacing w:before="0" w:after="120" w:line="240" w:lineRule="auto"/>
      </w:pPr>
      <w:r>
        <w:rPr>
          <w:rFonts w:ascii="Arial" w:hAnsi="Arial" w:cs="Arial"/>
          <w:b w:val="0"/>
          <w:i w:val="0"/>
          <w:sz w:val="18"/>
        </w:rPr>
        <w:t>* Corresponding author. E-mail address: olga.torstensson@hh.se (O. Torstensson).</w:t>
      </w:r>
    </w:p>
    <w:p>
      <w:pPr>
        <w:pStyle w:val="Rubrik1"/>
        <w:keepNext/>
        <w:spacing w:before="240" w:after="120" w:line="240" w:lineRule="auto"/>
        <w:rPr>
          <w:rFonts w:ascii="Arial" w:hAnsi="Arial" w:cs="Arial"/>
          <w:b/>
          <w:sz w:val="22"/>
        </w:rPr>
      </w:pPr>
      <w:r>
        <w:rPr>
          <w:rFonts w:ascii="Arial" w:hAnsi="Arial" w:cs="Arial"/>
          <w:b/>
          <w:i w:val="0"/>
          <w:sz w:val="22"/>
        </w:rPr>
        <w:t>Abstract</w:t>
      </w:r>
    </w:p>
    <w:p>
      <w:pPr>
        <w:spacing w:before="0" w:after="120" w:line="240" w:lineRule="auto"/>
      </w:pPr>
      <w:r>
        <w:rPr>
          <w:rFonts w:ascii="Arial" w:hAnsi="Arial" w:cs="Arial"/>
          <w:b w:val="0"/>
          <w:i w:val="0"/>
          <w:sz w:val="22"/>
        </w:rPr>
        <w:t>UMSF Incident Lab is open-source software for the rapid assessment of missile-strike consequences at critical infrastructure facilities and for planning rescue and recovery logistics. Distributed as a self-contained Jupyter notebook, it replays multisensor record streams at explicit receipt-time cutoffs, validates and deduplicates records, keeps measurement and receipt times separate, and labels every observation as current, stale, missing or unknown before any group decision is computed. A linked rule-based module proposes rescue-task assignments, service allocations and repair schedules, reports infeasibility instead of relaxing mandatory constraints, and leaves every proposal to human approval. On synthetic inputs, all 217 tests passed and the evidence-state rule removed all stale-as-current states; field performance has not been established.</w:t>
      </w:r>
    </w:p>
    <w:p>
      <w:pPr>
        <w:pStyle w:val="Rubrik1"/>
        <w:keepNext/>
        <w:spacing w:before="240" w:after="120" w:line="240" w:lineRule="auto"/>
        <w:rPr>
          <w:rFonts w:ascii="Arial" w:hAnsi="Arial" w:cs="Arial"/>
          <w:b/>
          <w:sz w:val="22"/>
        </w:rPr>
      </w:pPr>
      <w:r>
        <w:rPr>
          <w:rFonts w:ascii="Arial" w:hAnsi="Arial" w:cs="Arial"/>
          <w:b/>
          <w:i w:val="0"/>
          <w:sz w:val="22"/>
        </w:rPr>
        <w:t>Keywords</w:t>
      </w:r>
    </w:p>
    <w:p>
      <w:pPr>
        <w:spacing w:before="0" w:after="120" w:line="240" w:lineRule="auto"/>
      </w:pPr>
      <w:r>
        <w:rPr>
          <w:rFonts w:ascii="Arial" w:hAnsi="Arial" w:cs="Arial"/>
          <w:b w:val="0"/>
          <w:i w:val="0"/>
          <w:sz w:val="22"/>
        </w:rPr>
        <w:t>Critical infrastructure; Missile-strike consequence assessment; Rescue and recovery logistics; Multisensor stream replay; Decision support; Reproducible research software</w:t>
      </w:r>
    </w:p>
    <w:p>
      <w:pPr>
        <w:pStyle w:val="Rubrik1"/>
        <w:keepNext/>
        <w:spacing w:before="240" w:after="120" w:line="240" w:lineRule="auto"/>
        <w:rPr>
          <w:rFonts w:ascii="Arial" w:hAnsi="Arial" w:cs="Arial"/>
          <w:b/>
          <w:sz w:val="22"/>
        </w:rPr>
      </w:pPr>
      <w:r>
        <w:rPr>
          <w:rFonts w:ascii="Arial" w:hAnsi="Arial" w:cs="Arial"/>
          <w:b/>
          <w:i w:val="0"/>
          <w:sz w:val="22"/>
        </w:rPr>
        <w:t>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trHeight w:val="300"/>
        </w:trPr>
        <w:tc>
          <w:tcPr>
            <w:tcW w:w="567" w:type="dxa"/>
          </w:tcPr>
          <w:p w14:paraId="2B1FB160" w14:textId="77777777" w:rsidR="00DD67E2" w:rsidRPr="00C14245" w:rsidRDefault="00DD67E2" w:rsidP="001E3522">
            <w:pPr>
              <w:rPr>
                <w:rFonts w:ascii="Arial" w:hAnsi="Arial" w:cs="Arial"/>
                <w:szCs w:val="22"/>
              </w:rPr>
            </w:pPr>
            <w:r>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Pr>
                <w:rFonts w:ascii="Arial" w:hAnsi="Arial" w:cs="Arial"/>
                <w:b/>
                <w:i w:val="0"/>
                <w:szCs w:val="22"/>
              </w:rPr>
              <w:t>Metadata</w:t>
            </w:r>
          </w:p>
        </w:tc>
      </w:tr>
      <w:tr w:rsidR="00DD67E2" w:rsidRPr="00C14245" w14:paraId="44BD84C4" w14:textId="77777777" w:rsidTr="008F38E0">
        <w:trPr>
          <w:trHeight w:val="300"/>
        </w:trPr>
        <w:tc>
          <w:tcPr>
            <w:tcW w:w="567" w:type="dxa"/>
          </w:tcPr>
          <w:p w14:paraId="5663CBE1" w14:textId="77777777" w:rsidR="00DD67E2" w:rsidRPr="00C14245" w:rsidRDefault="00DD67E2" w:rsidP="001E3522">
            <w:pPr>
              <w:rPr>
                <w:rFonts w:ascii="Arial" w:hAnsi="Arial" w:cs="Arial"/>
                <w:szCs w:val="22"/>
              </w:rPr>
            </w:pPr>
            <w:r>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Pr>
                <w:rFonts w:ascii="Arial" w:hAnsi="Arial" w:cs="Arial"/>
                <w:szCs w:val="22"/>
              </w:rPr>
              <w:t>Current code version</w:t>
            </w:r>
          </w:p>
        </w:tc>
        <w:tc>
          <w:tcPr>
            <w:tcW w:w="5357" w:type="dxa"/>
          </w:tcPr>
          <w:p w14:paraId="5BA7859B" w14:textId="5E5DB946" w:rsidR="00DD67E2" w:rsidRPr="00C14245" w:rsidRDefault="00DD67E2" w:rsidP="001E3522">
            <w:pPr>
              <w:spacing w:before="0" w:after="60" w:line="240" w:lineRule="auto"/>
              <w:rPr>
                <w:rFonts w:ascii="Arial" w:hAnsi="Arial" w:cs="Arial"/>
                <w:szCs w:val="22"/>
              </w:rPr>
            </w:pPr>
            <w:r>
              <w:rPr>
                <w:rFonts w:ascii="Arial" w:hAnsi="Arial" w:cs="Arial"/>
                <w:b w:val="0"/>
                <w:i w:val="0"/>
                <w:sz w:val="20"/>
              </w:rPr>
              <w:t>v1.2.0 (all three releases; analytical cores umsf_dataset 1.0.0, umsf_agent 1.0.0, firmware 1.0.0)</w:t>
            </w:r>
          </w:p>
        </w:tc>
      </w:tr>
      <w:tr w:rsidR="00DD67E2" w:rsidRPr="00883C55" w14:paraId="5560CBB4" w14:textId="77777777" w:rsidTr="008F38E0">
        <w:trPr>
          <w:trHeight w:val="300"/>
        </w:trPr>
        <w:tc>
          <w:tcPr>
            <w:tcW w:w="567" w:type="dxa"/>
          </w:tcPr>
          <w:p w14:paraId="359B3DE7" w14:textId="77777777" w:rsidR="00DD67E2" w:rsidRPr="00C14245" w:rsidRDefault="00DD67E2" w:rsidP="001E3522">
            <w:pPr>
              <w:rPr>
                <w:rFonts w:ascii="Arial" w:hAnsi="Arial" w:cs="Arial"/>
                <w:szCs w:val="22"/>
              </w:rPr>
            </w:pPr>
            <w:r>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Pr>
                <w:rFonts w:ascii="Arial" w:hAnsi="Arial" w:cs="Arial"/>
                <w:szCs w:val="22"/>
              </w:rPr>
              <w:t xml:space="preserve">Permanent link to code/repository used for this code version</w:t>
            </w:r>
          </w:p>
        </w:tc>
        <w:tc>
          <w:tcPr>
            <w:tcW w:w="5357" w:type="dxa"/>
          </w:tcPr>
          <w:p w14:paraId="3B041AE9" w14:textId="5AF7193D" w:rsidR="00DD67E2" w:rsidRPr="00A76685" w:rsidRDefault="00DD67E2" w:rsidP="001E3522">
            <w:pPr>
              <w:spacing w:before="0" w:after="60" w:line="240" w:lineRule="auto"/>
              <w:rPr>
                <w:rFonts w:ascii="Arial" w:hAnsi="Arial" w:cs="Arial"/>
                <w:b/>
                <w:bCs/>
                <w:i/>
                <w:szCs w:val="22"/>
              </w:rPr>
            </w:pPr>
            <w:r>
              <w:rPr>
                <w:rFonts w:ascii="Arial" w:hAnsi="Arial" w:cs="Arial"/>
                <w:b w:val="0"/>
                <w:i w:val="0"/>
                <w:sz w:val="20"/>
              </w:rPr>
              <w:t>GitHub repository: https://github.com/omega2417/bnt</w:t>
            </w:r>
            <w:r>
              <w:br/>
            </w:r>
            <w:r>
              <w:rPr>
                <w:rFonts w:ascii="Arial" w:hAnsi="Arial" w:cs="Arial"/>
                <w:b w:val="0"/>
                <w:i w:val="0"/>
                <w:sz w:val="20"/>
              </w:rPr>
              <w:t>Archived versions (Zenodo, v1.2.0): UMSF Incident Lab (main product), https://doi.org/10.5281/zenodo.23380282; UMSF Incident AI Agent Lab, https://doi.org/10.5281/zenodo.23380523; UMSF Firmware Lab, https://doi.org/10.5281/zenodo.23380409. Bench prototype (firmware and interface, v1.0.0, not part of the verified releases), https://doi.org/10.5281/zenodo.23542153</w:t>
            </w:r>
          </w:p>
        </w:tc>
      </w:tr>
      <w:tr w:rsidR="00DD67E2" w:rsidRPr="00883C55" w14:paraId="33815D41" w14:textId="77777777" w:rsidTr="008F38E0">
        <w:trPr>
          <w:trHeight w:val="300"/>
        </w:trPr>
        <w:tc>
          <w:tcPr>
            <w:tcW w:w="567" w:type="dxa"/>
          </w:tcPr>
          <w:p w14:paraId="091665CD" w14:textId="62EF4D85" w:rsidR="00DD67E2" w:rsidRPr="00883C55" w:rsidRDefault="002B7866" w:rsidP="001E3522">
            <w:pPr>
              <w:rPr>
                <w:rFonts w:ascii="Arial" w:hAnsi="Arial" w:cs="Arial"/>
                <w:szCs w:val="22"/>
              </w:rPr>
            </w:pPr>
            <w:r>
              <w:rPr>
                <w:rFonts w:ascii="Arial" w:hAnsi="Arial" w:cs="Arial"/>
                <w:szCs w:val="22"/>
              </w:rPr>
              <w:t>C3</w:t>
            </w:r>
          </w:p>
        </w:tc>
        <w:tc>
          <w:tcPr>
            <w:tcW w:w="3554" w:type="dxa"/>
          </w:tcPr>
          <w:p w14:paraId="3B4C1036" w14:textId="38CBB52A" w:rsidR="00DD67E2" w:rsidRPr="00883C55" w:rsidRDefault="00DD67E2" w:rsidP="001E3522">
            <w:pPr>
              <w:rPr>
                <w:rFonts w:ascii="Arial" w:hAnsi="Arial" w:cs="Arial"/>
                <w:szCs w:val="22"/>
              </w:rPr>
            </w:pPr>
            <w:r>
              <w:rPr>
                <w:rFonts w:ascii="Arial" w:hAnsi="Arial" w:cs="Arial"/>
                <w:szCs w:val="22"/>
              </w:rPr>
              <w:t xml:space="preserve">Legal code license</w:t>
            </w:r>
          </w:p>
        </w:tc>
        <w:tc>
          <w:tcPr>
            <w:tcW w:w="5357" w:type="dxa"/>
          </w:tcPr>
          <w:p w14:paraId="7016BDEF" w14:textId="4DEEE213" w:rsidR="00DD67E2" w:rsidRPr="00883C55" w:rsidRDefault="004051DE" w:rsidP="001E3522">
            <w:pPr>
              <w:spacing w:before="0" w:after="60" w:line="240" w:lineRule="auto"/>
              <w:rPr>
                <w:rFonts w:ascii="Arial" w:hAnsi="Arial" w:cs="Arial"/>
                <w:szCs w:val="22"/>
              </w:rPr>
            </w:pPr>
            <w:r>
              <w:rPr>
                <w:rFonts w:ascii="Arial" w:hAnsi="Arial" w:cs="Arial"/>
                <w:b w:val="0"/>
                <w:i w:val="0"/>
                <w:sz w:val="20"/>
              </w:rPr>
              <w:t>MIT License</w:t>
            </w:r>
          </w:p>
        </w:tc>
      </w:tr>
      <w:tr w:rsidR="00DD67E2" w:rsidRPr="00883C55" w14:paraId="438B01EC" w14:textId="77777777" w:rsidTr="008F38E0">
        <w:trPr>
          <w:trHeight w:val="300"/>
        </w:trPr>
        <w:tc>
          <w:tcPr>
            <w:tcW w:w="567" w:type="dxa"/>
          </w:tcPr>
          <w:p w14:paraId="04E361F4" w14:textId="239E0838" w:rsidR="00DD67E2" w:rsidRPr="00883C55" w:rsidRDefault="002B7866" w:rsidP="001E3522">
            <w:pPr>
              <w:rPr>
                <w:rFonts w:ascii="Arial" w:hAnsi="Arial" w:cs="Arial"/>
                <w:szCs w:val="22"/>
              </w:rPr>
            </w:pPr>
            <w:r>
              <w:rPr>
                <w:rFonts w:ascii="Arial" w:hAnsi="Arial" w:cs="Arial"/>
                <w:szCs w:val="22"/>
              </w:rPr>
              <w:t>C4</w:t>
            </w:r>
          </w:p>
        </w:tc>
        <w:tc>
          <w:tcPr>
            <w:tcW w:w="3554" w:type="dxa"/>
          </w:tcPr>
          <w:p w14:paraId="2231913A" w14:textId="77777777" w:rsidR="00DD67E2" w:rsidRPr="00883C55" w:rsidRDefault="00DD67E2" w:rsidP="001E3522">
            <w:pPr>
              <w:rPr>
                <w:rFonts w:ascii="Arial" w:hAnsi="Arial" w:cs="Arial"/>
                <w:szCs w:val="22"/>
              </w:rPr>
            </w:pPr>
            <w:r>
              <w:rPr>
                <w:rFonts w:ascii="Arial" w:hAnsi="Arial" w:cs="Arial"/>
                <w:szCs w:val="22"/>
              </w:rPr>
              <w:t>Code versioning system used</w:t>
            </w:r>
          </w:p>
        </w:tc>
        <w:tc>
          <w:tcPr>
            <w:tcW w:w="5357" w:type="dxa"/>
          </w:tcPr>
          <w:p w14:paraId="629D31C3" w14:textId="3A8F2F03" w:rsidR="00DD67E2" w:rsidRPr="00883C55" w:rsidRDefault="00DD67E2" w:rsidP="001E3522">
            <w:pPr>
              <w:spacing w:before="0" w:after="60" w:line="240" w:lineRule="auto"/>
              <w:rPr>
                <w:rFonts w:ascii="Arial" w:hAnsi="Arial" w:cs="Arial"/>
                <w:szCs w:val="22"/>
              </w:rPr>
            </w:pPr>
            <w:r>
              <w:rPr>
                <w:rFonts w:ascii="Arial" w:hAnsi="Arial" w:cs="Arial"/>
                <w:b w:val="0"/>
                <w:i w:val="0"/>
                <w:sz w:val="20"/>
                <w:highlight w:val="yellow"/>
              </w:rPr>
              <w:t>git (GitHub)</w:t>
            </w:r>
            <w:r>
              <w:rPr>
                <w:rFonts w:ascii="Arial" w:hAnsi="Arial" w:cs="Arial"/>
                <w:b w:val="0"/>
                <w:i w:val="0"/>
                <w:sz w:val="20"/>
              </w:rPr>
              <w:t>; releases archived on Zenodo with SHA256SUMS inventories</w:t>
            </w:r>
          </w:p>
        </w:tc>
      </w:tr>
      <w:tr w:rsidR="00DD67E2" w:rsidRPr="00883C55" w14:paraId="16946563" w14:textId="77777777" w:rsidTr="008F38E0">
        <w:trPr>
          <w:trHeight w:val="300"/>
        </w:trPr>
        <w:tc>
          <w:tcPr>
            <w:tcW w:w="567" w:type="dxa"/>
          </w:tcPr>
          <w:p w14:paraId="46D58CC8" w14:textId="2FC2DB60" w:rsidR="00DD67E2" w:rsidRPr="00883C55" w:rsidRDefault="002B7866" w:rsidP="001E3522">
            <w:pPr>
              <w:rPr>
                <w:rFonts w:ascii="Arial" w:hAnsi="Arial" w:cs="Arial"/>
                <w:szCs w:val="22"/>
              </w:rPr>
            </w:pPr>
            <w:r>
              <w:rPr>
                <w:rFonts w:ascii="Arial" w:hAnsi="Arial" w:cs="Arial"/>
                <w:szCs w:val="22"/>
              </w:rPr>
              <w:t>C5</w:t>
            </w:r>
          </w:p>
        </w:tc>
        <w:tc>
          <w:tcPr>
            <w:tcW w:w="3554" w:type="dxa"/>
          </w:tcPr>
          <w:p w14:paraId="0986AA87" w14:textId="220B6BEB" w:rsidR="00DD67E2" w:rsidRPr="00883C55" w:rsidRDefault="00DD67E2" w:rsidP="001E3522">
            <w:pPr>
              <w:rPr>
                <w:rFonts w:ascii="Arial" w:hAnsi="Arial" w:cs="Arial"/>
                <w:szCs w:val="22"/>
              </w:rPr>
            </w:pPr>
            <w:r>
              <w:rPr>
                <w:rFonts w:ascii="Arial" w:hAnsi="Arial" w:cs="Arial"/>
                <w:szCs w:val="22"/>
              </w:rPr>
              <w:t xml:space="preserve">Software code languages, tools and services used</w:t>
            </w:r>
          </w:p>
        </w:tc>
        <w:tc>
          <w:tcPr>
            <w:tcW w:w="5357" w:type="dxa"/>
          </w:tcPr>
          <w:p w14:paraId="0E48B6AB" w14:textId="6F7D8B50" w:rsidR="00DD67E2" w:rsidRPr="00883C55" w:rsidRDefault="00DD67E2" w:rsidP="001E3522">
            <w:pPr>
              <w:spacing w:before="0" w:after="60" w:line="240" w:lineRule="auto"/>
              <w:rPr>
                <w:rFonts w:ascii="Arial" w:hAnsi="Arial" w:cs="Arial"/>
                <w:szCs w:val="22"/>
              </w:rPr>
            </w:pPr>
            <w:r>
              <w:rPr>
                <w:rFonts w:ascii="Arial" w:hAnsi="Arial" w:cs="Arial"/>
                <w:b w:val="0"/>
                <w:i w:val="0"/>
                <w:sz w:val="20"/>
              </w:rPr>
              <w:t>Python; SQLite; Jupyter notebooks; C/C++ (Firmware Lab); C++ with the Arduino framework for ESP32, HTML and JavaScript (bench prototype)</w:t>
            </w:r>
          </w:p>
        </w:tc>
      </w:tr>
      <w:tr w:rsidR="00DD67E2" w:rsidRPr="00883C55" w14:paraId="68707A76" w14:textId="77777777" w:rsidTr="008F38E0">
        <w:trPr>
          <w:trHeight w:val="300"/>
        </w:trPr>
        <w:tc>
          <w:tcPr>
            <w:tcW w:w="567" w:type="dxa"/>
          </w:tcPr>
          <w:p w14:paraId="56024155" w14:textId="34EB12F9" w:rsidR="00DD67E2" w:rsidRPr="00883C55" w:rsidRDefault="002B7866" w:rsidP="001E3522">
            <w:pPr>
              <w:rPr>
                <w:rFonts w:ascii="Arial" w:hAnsi="Arial" w:cs="Arial"/>
                <w:szCs w:val="22"/>
              </w:rPr>
            </w:pPr>
            <w:r>
              <w:rPr>
                <w:rFonts w:ascii="Arial" w:hAnsi="Arial" w:cs="Arial"/>
                <w:szCs w:val="22"/>
              </w:rPr>
              <w:lastRenderedPageBreak/>
              <w:t>C6</w:t>
            </w:r>
          </w:p>
        </w:tc>
        <w:tc>
          <w:tcPr>
            <w:tcW w:w="3554" w:type="dxa"/>
          </w:tcPr>
          <w:p w14:paraId="2F9146D3" w14:textId="2B37EA71" w:rsidR="00DD67E2" w:rsidRPr="00883C55" w:rsidRDefault="00DD67E2" w:rsidP="001E3522">
            <w:pPr>
              <w:rPr>
                <w:rFonts w:ascii="Arial" w:hAnsi="Arial" w:cs="Arial"/>
                <w:szCs w:val="22"/>
              </w:rPr>
            </w:pPr>
            <w:r>
              <w:rPr>
                <w:rFonts w:ascii="Arial" w:hAnsi="Arial" w:cs="Arial"/>
                <w:szCs w:val="22"/>
              </w:rPr>
              <w:t xml:space="preserve">Compilation requirements, operating environments and dependencies</w:t>
            </w:r>
          </w:p>
        </w:tc>
        <w:tc>
          <w:tcPr>
            <w:tcW w:w="5357" w:type="dxa"/>
          </w:tcPr>
          <w:p w14:paraId="7356EA89" w14:textId="77777777" w:rsidR="00DD67E2" w:rsidRPr="00883C55" w:rsidRDefault="00DD67E2" w:rsidP="001E3522">
            <w:pPr>
              <w:spacing w:before="0" w:after="60" w:line="240" w:lineRule="auto"/>
              <w:rPr>
                <w:rFonts w:ascii="Arial" w:hAnsi="Arial" w:cs="Arial"/>
                <w:szCs w:val="22"/>
              </w:rPr>
            </w:pPr>
            <w:r>
              <w:rPr>
                <w:rFonts w:ascii="Arial" w:hAnsi="Arial" w:cs="Arial"/>
                <w:b w:val="0"/>
                <w:i w:val="0"/>
                <w:sz w:val="20"/>
              </w:rPr>
              <w:t>Python 3.10 or later. The Incident Lab and Agent Lab analytical cores use only the standard library; optional Incident Lab packages are cryptography (≥ 41), paho-mqtt (≥ 1.6), bleak (≥ 0.21) and pyserial (≥ 3.5). Notebooks: numpy, pandas, matplotlib, seaborn, cryptography, nbformat, nbclient, nbconvert and ipykernel, with the version ranges in requirements.txt. Firmware Lab: GCC (13.3.0 used) and make. Tested on Linux with CPython 3.13.16, SQLite 3.45.1 and GCC 13.3.0. Each release is a self-contained notebook with a hash-checked payload of 66 source and data files. Bench prototype: PlatformIO with the espressif32 platform for ESP32 DevKit boards; its interface simulator needs only Python 3.8 or later</w:t>
            </w:r>
          </w:p>
        </w:tc>
      </w:tr>
      <w:tr w:rsidR="00DD67E2" w:rsidRPr="00883C55" w14:paraId="286C72E5" w14:textId="77777777" w:rsidTr="008F38E0">
        <w:trPr>
          <w:trHeight w:val="300"/>
        </w:trPr>
        <w:tc>
          <w:tcPr>
            <w:tcW w:w="567" w:type="dxa"/>
          </w:tcPr>
          <w:p w14:paraId="3E16E1E6" w14:textId="711E8AAE" w:rsidR="00DD67E2" w:rsidRPr="00883C55" w:rsidRDefault="002B7866" w:rsidP="001E3522">
            <w:pPr>
              <w:rPr>
                <w:rFonts w:ascii="Arial" w:hAnsi="Arial" w:cs="Arial"/>
                <w:szCs w:val="22"/>
              </w:rPr>
            </w:pPr>
            <w:r>
              <w:rPr>
                <w:rFonts w:ascii="Arial" w:hAnsi="Arial" w:cs="Arial"/>
                <w:szCs w:val="22"/>
              </w:rPr>
              <w:t>C7</w:t>
            </w:r>
          </w:p>
        </w:tc>
        <w:tc>
          <w:tcPr>
            <w:tcW w:w="3554" w:type="dxa"/>
          </w:tcPr>
          <w:p w14:paraId="0EE51704" w14:textId="1B29C340" w:rsidR="00DD67E2" w:rsidRPr="00883C55" w:rsidRDefault="00DD67E2" w:rsidP="001E3522">
            <w:pPr>
              <w:rPr>
                <w:rFonts w:ascii="Arial" w:hAnsi="Arial" w:cs="Arial"/>
                <w:szCs w:val="22"/>
              </w:rPr>
            </w:pPr>
            <w:r>
              <w:rPr>
                <w:rFonts w:ascii="Arial" w:hAnsi="Arial" w:cs="Arial"/>
                <w:szCs w:val="22"/>
              </w:rPr>
              <w:t xml:space="preserve">If available, link to developer documentation/manual</w:t>
            </w:r>
          </w:p>
        </w:tc>
        <w:tc>
          <w:tcPr>
            <w:tcW w:w="5357" w:type="dxa"/>
          </w:tcPr>
          <w:p w14:paraId="6349FC99" w14:textId="2C342BB1" w:rsidR="00E71895" w:rsidRPr="00883C55" w:rsidRDefault="00DD67E2" w:rsidP="001E3522">
            <w:pPr>
              <w:spacing w:before="0" w:after="60" w:line="240" w:lineRule="auto"/>
              <w:rPr>
                <w:rFonts w:ascii="Arial" w:hAnsi="Arial" w:cs="Arial"/>
                <w:szCs w:val="22"/>
              </w:rPr>
            </w:pPr>
            <w:r>
              <w:rPr>
                <w:rFonts w:ascii="Arial" w:hAnsi="Arial" w:cs="Arial"/>
                <w:b w:val="0"/>
                <w:i w:val="0"/>
                <w:sz w:val="20"/>
              </w:rPr>
              <w:t>README.md and docs/ in each release (architecture, dataset format, protocol v1.0, reproducibility, evidence boundaries)</w:t>
            </w:r>
          </w:p>
        </w:tc>
      </w:tr>
      <w:tr w:rsidR="00DD67E2" w:rsidRPr="00883C55" w14:paraId="59B634D9" w14:textId="77777777" w:rsidTr="008F38E0">
        <w:trPr>
          <w:trHeight w:val="300"/>
        </w:trPr>
        <w:tc>
          <w:tcPr>
            <w:tcW w:w="567" w:type="dxa"/>
          </w:tcPr>
          <w:p w14:paraId="63807196" w14:textId="09A695AA" w:rsidR="00DD67E2" w:rsidRPr="00883C55" w:rsidRDefault="002B7866" w:rsidP="001E3522">
            <w:pPr>
              <w:rPr>
                <w:rFonts w:ascii="Arial" w:hAnsi="Arial" w:cs="Arial"/>
                <w:szCs w:val="22"/>
              </w:rPr>
            </w:pPr>
            <w:r>
              <w:rPr>
                <w:rFonts w:ascii="Arial" w:hAnsi="Arial" w:cs="Arial"/>
                <w:szCs w:val="22"/>
              </w:rPr>
              <w:t>C8</w:t>
            </w:r>
          </w:p>
        </w:tc>
        <w:tc>
          <w:tcPr>
            <w:tcW w:w="3554" w:type="dxa"/>
          </w:tcPr>
          <w:p w14:paraId="519282C0" w14:textId="77777777" w:rsidR="00DD67E2" w:rsidRPr="00883C55" w:rsidRDefault="00DD67E2" w:rsidP="001E3522">
            <w:pPr>
              <w:rPr>
                <w:rFonts w:ascii="Arial" w:hAnsi="Arial" w:cs="Arial"/>
                <w:szCs w:val="22"/>
              </w:rPr>
            </w:pPr>
            <w:r>
              <w:rPr>
                <w:rFonts w:ascii="Arial" w:hAnsi="Arial" w:cs="Arial"/>
                <w:szCs w:val="22"/>
              </w:rPr>
              <w:t>Support email for questions</w:t>
            </w:r>
          </w:p>
        </w:tc>
        <w:tc>
          <w:tcPr>
            <w:tcW w:w="5357" w:type="dxa"/>
          </w:tcPr>
          <w:p w14:paraId="7CAED1DE" w14:textId="77777777" w:rsidR="00DD67E2" w:rsidRPr="00883C55" w:rsidRDefault="00DD67E2" w:rsidP="001E3522">
            <w:pPr>
              <w:spacing w:before="0" w:after="60" w:line="240" w:lineRule="auto"/>
              <w:rPr>
                <w:rFonts w:ascii="Arial" w:hAnsi="Arial" w:cs="Arial"/>
                <w:szCs w:val="22"/>
              </w:rPr>
            </w:pPr>
            <w:r>
              <w:rPr>
                <w:rFonts w:ascii="Arial" w:hAnsi="Arial" w:cs="Arial"/>
                <w:b w:val="0"/>
                <w:i w:val="0"/>
                <w:sz w:val="20"/>
              </w:rPr>
              <w:t>olga.torstensson@hh.se</w:t>
            </w:r>
          </w:p>
        </w:tc>
      </w:tr>
    </w:tbl>
    <w:p>
      <w:pPr>
        <w:spacing w:before="0" w:after="0" w:line="240" w:lineRule="auto"/>
      </w:pPr>
    </w:p>
    <w:p>
      <w:pPr>
        <w:pStyle w:val="Rubrik1"/>
        <w:keepNext/>
        <w:numPr>
          <w:ilvl w:val="0"/>
          <w:numId w:val="1"/>
        </w:numPr>
        <w:spacing w:before="240" w:after="120" w:line="240" w:lineRule="auto"/>
        <w:ind w:left="432" w:hanging="432"/>
        <w:rPr>
          <w:rFonts w:ascii="Arial" w:hAnsi="Arial" w:cs="Arial"/>
          <w:b/>
          <w:sz w:val="22"/>
        </w:rPr>
      </w:pPr>
      <w:r>
        <w:rPr>
          <w:rFonts w:ascii="Arial" w:hAnsi="Arial" w:cs="Arial"/>
          <w:b/>
          <w:i w:val="0"/>
          <w:sz w:val="22"/>
        </w:rPr>
        <w:t>Motivation and significance</w:t>
      </w:r>
    </w:p>
    <w:p>
      <w:pPr>
        <w:spacing w:before="0" w:after="120" w:line="240" w:lineRule="auto"/>
      </w:pPr>
      <w:r>
        <w:rPr>
          <w:rFonts w:ascii="Arial" w:hAnsi="Arial" w:cs="Arial"/>
          <w:b w:val="0"/>
          <w:i w:val="0"/>
          <w:sz w:val="22"/>
        </w:rPr>
        <w:t>Incident coordinators at critical infrastructure sites combine readings from worn sensors, stationary nodes and human reports. Incident response is commonly organised around a standard incident management structure [1], and urban search-and-rescue operations are coordinated under international guidelines [2]. Damage to energy and other essential infrastructure makes this a practical problem: interruptions propagate across dependent services, and the information needed for a response arrives incomplete and late [3,4]. In such streams the absence of a deviation is easily confused with the absence of observations [5], a delayed packet can be presented as a current reading [6], and a retransmission can be counted as a new person or event. Optical wearable readings add their own uncertainty [7]. Uncertainty that is not declared in the data or in the decision rule is easily lost, whereas making it explicit is a precondition for interpreting decisions [8]. When these issues are handled implicitly, two analyses of the same incident can disagree without either being wrong in code, and neither can be reproduced.</w:t>
      </w:r>
    </w:p>
    <w:p>
      <w:pPr>
        <w:spacing w:before="0" w:after="120" w:line="240" w:lineRule="auto"/>
      </w:pPr>
      <w:r>
        <w:rPr>
          <w:rFonts w:ascii="Arial" w:hAnsi="Arial" w:cs="Arial"/>
          <w:b w:val="0"/>
          <w:i w:val="0"/>
          <w:sz w:val="22"/>
        </w:rPr>
        <w:t>The intended application is the first hours after a missile strike on a critical infrastructure facility, such as a power plant or a substation that supplies essential services. The response coordinator must establish quickly which zones were hit, whether structural damage, fire or gas prevent entry, which workers are accounted for and which need assistance, and which essential services can still be supplied with the remaining capacity. On that basis rescue teams are assigned to tasks, scarce power and resources are allocated among services, and repair work is ordered. Wrong evidence is costly in both directions: a worker shown as safe on the basis of a stale reading may not be searched for, and a group alarm raised from a few devices can send teams to the wrong zone. The scenarios used in this paper are derived from real missile strikes on critical infrastructure facilities in Ukraine in 2026 [3]: an impact with a blast wave and fire, loss of gateways and stationary nodes, delayed delivery of buffered data, personnel requiring assistance, and capacity insufficient for all services. They reproduce the structure and timing of such incidents but contain no data of real incidents, sites or persons.</w:t>
      </w:r>
    </w:p>
    <w:p>
      <w:pPr>
        <w:spacing w:before="0" w:after="120" w:line="240" w:lineRule="auto"/>
      </w:pPr>
      <w:r>
        <w:rPr>
          <w:rFonts w:ascii="Arial" w:hAnsi="Arial" w:cs="Arial"/>
          <w:b w:val="0"/>
          <w:i w:val="0"/>
          <w:sz w:val="22"/>
        </w:rPr>
        <w:t>Commercial monitoring platforms combine multimodal sensing, dashboards, alerts and gateway buffering [9–11], and general stream processors provide event-time processing, watermarks and late-data handling [12,13] (Table 1). What a researcher studying incident decision rules usually lacks is a small, inspectable tool in which the status and age of every piece of evidence, which matter for situation awareness [14], are explicit from receipt to proposed decision, and in which the same incident can be replayed deterministically under different rules.</w:t>
      </w:r>
    </w:p>
    <w:p>
      <w:pPr>
        <w:keepNext/>
        <w:keepLines/>
        <w:spacing w:before="120" w:after="80" w:line="240" w:lineRule="auto"/>
      </w:pPr>
      <w:r>
        <w:rPr>
          <w:rFonts w:ascii="Arial" w:hAnsi="Arial" w:cs="Arial"/>
          <w:b/>
          <w:i w:val="0"/>
          <w:sz w:val="19"/>
        </w:rPr>
        <w:t>Table 1.</w:t>
      </w:r>
      <w:r>
        <w:rPr>
          <w:rFonts w:ascii="Arial" w:hAnsi="Arial" w:cs="Arial"/>
          <w:b w:val="0"/>
          <w:i w:val="0"/>
          <w:sz w:val="19"/>
        </w:rPr>
        <w:t xml:space="preserve"> Relation to existing tool classes (documented functions only).</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firstColumn="1" w:firstRow="1" w:lastColumn="0" w:lastRow="0" w:noHBand="0" w:noVBand="1" w:val="04A0"/>
      </w:tblPr>
      <w:tblGrid>
        <w:gridCol w:w="1700"/>
        <w:gridCol w:w="2620"/>
        <w:gridCol w:w="2520"/>
        <w:gridCol w:w="2520"/>
      </w:tblGrid>
      <w:tr>
        <w:trPr>
          <w:tblHeader/>
          <w:cantSplit/>
        </w:trPr>
        <w:tc>
          <w:tcPr>
            <w:tcW w:type="dxa" w:w="1700"/>
            <w:shd w:val="clear" w:color="auto" w:fill="F2F2F2"/>
          </w:tcPr>
          <w:p>
            <w:pPr>
              <w:spacing w:before="0" w:after="0" w:line="240" w:lineRule="auto"/>
            </w:pPr>
            <w:r>
              <w:rPr>
                <w:rFonts w:ascii="Arial" w:hAnsi="Arial" w:cs="Arial"/>
                <w:b/>
                <w:i w:val="0"/>
                <w:sz w:val="18"/>
              </w:rPr>
              <w:t>Criterion</w:t>
            </w:r>
          </w:p>
        </w:tc>
        <w:tc>
          <w:tcPr>
            <w:tcW w:type="dxa" w:w="2620"/>
            <w:shd w:val="clear" w:color="auto" w:fill="F2F2F2"/>
          </w:tcPr>
          <w:p>
            <w:pPr>
              <w:spacing w:before="0" w:after="0" w:line="240" w:lineRule="auto"/>
            </w:pPr>
            <w:r>
              <w:rPr>
                <w:rFonts w:ascii="Arial" w:hAnsi="Arial" w:cs="Arial"/>
                <w:b/>
                <w:i w:val="0"/>
                <w:sz w:val="18"/>
              </w:rPr>
              <w:t>UMSF Incident Lab 1.2.0</w:t>
            </w:r>
          </w:p>
        </w:tc>
        <w:tc>
          <w:tcPr>
            <w:tcW w:type="dxa" w:w="2520"/>
            <w:shd w:val="clear" w:color="auto" w:fill="F2F2F2"/>
          </w:tcPr>
          <w:p>
            <w:pPr>
              <w:spacing w:before="0" w:after="0" w:line="240" w:lineRule="auto"/>
            </w:pPr>
            <w:r>
              <w:rPr>
                <w:rFonts w:ascii="Arial" w:hAnsi="Arial" w:cs="Arial"/>
                <w:b/>
                <w:i w:val="0"/>
                <w:sz w:val="18"/>
              </w:rPr>
              <w:t>General stream processors (e.g., Apache Flink [12])</w:t>
            </w:r>
          </w:p>
        </w:tc>
        <w:tc>
          <w:tcPr>
            <w:tcW w:type="dxa" w:w="2520"/>
            <w:shd w:val="clear" w:color="auto" w:fill="F2F2F2"/>
          </w:tcPr>
          <w:p>
            <w:pPr>
              <w:spacing w:before="0" w:after="0" w:line="240" w:lineRule="auto"/>
            </w:pPr>
            <w:r>
              <w:rPr>
                <w:rFonts w:ascii="Arial" w:hAnsi="Arial" w:cs="Arial"/>
                <w:b/>
                <w:i w:val="0"/>
                <w:sz w:val="18"/>
              </w:rPr>
              <w:t>Commercial monitoring platforms [9–11]</w:t>
            </w:r>
          </w:p>
        </w:tc>
      </w:tr>
      <w:tr>
        <w:trPr>
          <w:cantSplit/>
        </w:trPr>
        <w:tc>
          <w:tcPr>
            <w:tcW w:type="dxa" w:w="1700"/>
          </w:tcPr>
          <w:p>
            <w:pPr>
              <w:spacing w:before="0" w:after="0" w:line="240" w:lineRule="auto"/>
            </w:pPr>
            <w:r>
              <w:rPr>
                <w:rFonts w:ascii="Arial" w:hAnsi="Arial" w:cs="Arial"/>
                <w:b w:val="0"/>
                <w:i w:val="0"/>
                <w:sz w:val="18"/>
              </w:rPr>
              <w:t>Reuse</w:t>
            </w:r>
          </w:p>
        </w:tc>
        <w:tc>
          <w:tcPr>
            <w:tcW w:type="dxa" w:w="2620"/>
          </w:tcPr>
          <w:p>
            <w:pPr>
              <w:spacing w:before="0" w:after="0" w:line="240" w:lineRule="auto"/>
            </w:pPr>
            <w:r>
              <w:rPr>
                <w:rFonts w:ascii="Arial" w:hAnsi="Arial" w:cs="Arial"/>
                <w:b w:val="0"/>
                <w:i w:val="0"/>
                <w:sz w:val="18"/>
              </w:rPr>
              <w:t>MIT license; source, tests and data included in the archive</w:t>
            </w:r>
          </w:p>
        </w:tc>
        <w:tc>
          <w:tcPr>
            <w:tcW w:type="dxa" w:w="2520"/>
          </w:tcPr>
          <w:p>
            <w:pPr>
              <w:spacing w:before="0" w:after="0" w:line="240" w:lineRule="auto"/>
            </w:pPr>
            <w:r>
              <w:rPr>
                <w:rFonts w:ascii="Arial" w:hAnsi="Arial" w:cs="Arial"/>
                <w:b w:val="0"/>
                <w:i w:val="0"/>
                <w:sz w:val="18"/>
              </w:rPr>
              <w:t>Open source; general-purpose</w:t>
            </w:r>
          </w:p>
        </w:tc>
        <w:tc>
          <w:tcPr>
            <w:tcW w:type="dxa" w:w="2520"/>
          </w:tcPr>
          <w:p>
            <w:pPr>
              <w:spacing w:before="0" w:after="0" w:line="240" w:lineRule="auto"/>
            </w:pPr>
            <w:r>
              <w:rPr>
                <w:rFonts w:ascii="Arial" w:hAnsi="Arial" w:cs="Arial"/>
                <w:b w:val="0"/>
                <w:i w:val="0"/>
                <w:sz w:val="18"/>
              </w:rPr>
              <w:t>Proprietary; source code not available</w:t>
            </w:r>
          </w:p>
        </w:tc>
      </w:tr>
      <w:tr>
        <w:trPr>
          <w:cantSplit/>
        </w:trPr>
        <w:tc>
          <w:tcPr>
            <w:tcW w:type="dxa" w:w="1700"/>
          </w:tcPr>
          <w:p>
            <w:pPr>
              <w:spacing w:before="0" w:after="0" w:line="240" w:lineRule="auto"/>
            </w:pPr>
            <w:r>
              <w:rPr>
                <w:rFonts w:ascii="Arial" w:hAnsi="Arial" w:cs="Arial"/>
                <w:b w:val="0"/>
                <w:i w:val="0"/>
                <w:sz w:val="18"/>
              </w:rPr>
              <w:t>Scenario replay</w:t>
            </w:r>
          </w:p>
        </w:tc>
        <w:tc>
          <w:tcPr>
            <w:tcW w:type="dxa" w:w="2620"/>
          </w:tcPr>
          <w:p>
            <w:pPr>
              <w:spacing w:before="0" w:after="0" w:line="240" w:lineRule="auto"/>
            </w:pPr>
            <w:r>
              <w:rPr>
                <w:rFonts w:ascii="Arial" w:hAnsi="Arial" w:cs="Arial"/>
                <w:b w:val="0"/>
                <w:i w:val="0"/>
                <w:sz w:val="18"/>
              </w:rPr>
              <w:t>Deterministic replay at receipt-time cutoffs</w:t>
            </w:r>
          </w:p>
        </w:tc>
        <w:tc>
          <w:tcPr>
            <w:tcW w:type="dxa" w:w="2520"/>
          </w:tcPr>
          <w:p>
            <w:pPr>
              <w:spacing w:before="0" w:after="0" w:line="240" w:lineRule="auto"/>
            </w:pPr>
            <w:r>
              <w:rPr>
                <w:rFonts w:ascii="Arial" w:hAnsi="Arial" w:cs="Arial"/>
                <w:b w:val="0"/>
                <w:i w:val="0"/>
                <w:sz w:val="18"/>
              </w:rPr>
              <w:t>Event-time processing with watermarks; replay built by the user</w:t>
            </w:r>
          </w:p>
        </w:tc>
        <w:tc>
          <w:tcPr>
            <w:tcW w:type="dxa" w:w="2520"/>
          </w:tcPr>
          <w:p>
            <w:pPr>
              <w:spacing w:before="0" w:after="0" w:line="240" w:lineRule="auto"/>
            </w:pPr>
            <w:r>
              <w:rPr>
                <w:rFonts w:ascii="Arial" w:hAnsi="Arial" w:cs="Arial"/>
                <w:b w:val="0"/>
                <w:i w:val="0"/>
                <w:sz w:val="18"/>
              </w:rPr>
              <w:t>Not documented in the public product information reviewed</w:t>
            </w:r>
          </w:p>
        </w:tc>
      </w:tr>
      <w:tr>
        <w:trPr>
          <w:cantSplit/>
        </w:trPr>
        <w:tc>
          <w:tcPr>
            <w:tcW w:type="dxa" w:w="1700"/>
          </w:tcPr>
          <w:p>
            <w:pPr>
              <w:spacing w:before="0" w:after="0" w:line="240" w:lineRule="auto"/>
            </w:pPr>
            <w:r>
              <w:rPr>
                <w:rFonts w:ascii="Arial" w:hAnsi="Arial" w:cs="Arial"/>
                <w:b w:val="0"/>
                <w:i w:val="0"/>
                <w:sz w:val="18"/>
              </w:rPr>
              <w:t>Uncertainty handling</w:t>
            </w:r>
          </w:p>
        </w:tc>
        <w:tc>
          <w:tcPr>
            <w:tcW w:type="dxa" w:w="2620"/>
          </w:tcPr>
          <w:p>
            <w:pPr>
              <w:spacing w:before="0" w:after="0" w:line="240" w:lineRule="auto"/>
            </w:pPr>
            <w:r>
              <w:rPr>
                <w:rFonts w:ascii="Arial" w:hAnsi="Arial" w:cs="Arial"/>
                <w:b w:val="0"/>
                <w:i w:val="0"/>
                <w:sz w:val="18"/>
              </w:rPr>
              <w:t>Missing, stale, unknown and conflicting records as explicit states</w:t>
            </w:r>
          </w:p>
        </w:tc>
        <w:tc>
          <w:tcPr>
            <w:tcW w:type="dxa" w:w="2520"/>
          </w:tcPr>
          <w:p>
            <w:pPr>
              <w:spacing w:before="0" w:after="0" w:line="240" w:lineRule="auto"/>
            </w:pPr>
            <w:r>
              <w:rPr>
                <w:rFonts w:ascii="Arial" w:hAnsi="Arial" w:cs="Arial"/>
                <w:b w:val="0"/>
                <w:i w:val="0"/>
                <w:sz w:val="18"/>
              </w:rPr>
              <w:t>Late data handled by user-defined policies</w:t>
            </w:r>
          </w:p>
        </w:tc>
        <w:tc>
          <w:tcPr>
            <w:tcW w:type="dxa" w:w="2520"/>
          </w:tcPr>
          <w:p>
            <w:pPr>
              <w:spacing w:before="0" w:after="0" w:line="240" w:lineRule="auto"/>
            </w:pPr>
            <w:r>
              <w:rPr>
                <w:rFonts w:ascii="Arial" w:hAnsi="Arial" w:cs="Arial"/>
                <w:b w:val="0"/>
                <w:i w:val="0"/>
                <w:sz w:val="18"/>
              </w:rPr>
              <w:t>Not documented in the public product information reviewed</w:t>
            </w:r>
          </w:p>
        </w:tc>
      </w:tr>
      <w:tr>
        <w:trPr>
          <w:cantSplit/>
        </w:trPr>
        <w:tc>
          <w:tcPr>
            <w:tcW w:type="dxa" w:w="1700"/>
          </w:tcPr>
          <w:p>
            <w:pPr>
              <w:spacing w:before="0" w:after="0" w:line="240" w:lineRule="auto"/>
            </w:pPr>
            <w:r>
              <w:rPr>
                <w:rFonts w:ascii="Arial" w:hAnsi="Arial" w:cs="Arial"/>
                <w:b w:val="0"/>
                <w:i w:val="0"/>
                <w:sz w:val="18"/>
              </w:rPr>
              <w:t>Provenance</w:t>
            </w:r>
          </w:p>
        </w:tc>
        <w:tc>
          <w:tcPr>
            <w:tcW w:type="dxa" w:w="2620"/>
          </w:tcPr>
          <w:p>
            <w:pPr>
              <w:spacing w:before="0" w:after="0" w:line="240" w:lineRule="auto"/>
            </w:pPr>
            <w:r>
              <w:rPr>
                <w:rFonts w:ascii="Arial" w:hAnsi="Arial" w:cs="Arial"/>
                <w:b w:val="0"/>
                <w:i w:val="0"/>
                <w:sz w:val="18"/>
              </w:rPr>
              <w:t>Source class, measurement and receipt time, quarantine, rejects and audit logs</w:t>
            </w:r>
          </w:p>
        </w:tc>
        <w:tc>
          <w:tcPr>
            <w:tcW w:type="dxa" w:w="2520"/>
          </w:tcPr>
          <w:p>
            <w:pPr>
              <w:spacing w:before="0" w:after="0" w:line="240" w:lineRule="auto"/>
            </w:pPr>
            <w:r>
              <w:rPr>
                <w:rFonts w:ascii="Arial" w:hAnsi="Arial" w:cs="Arial"/>
                <w:b w:val="0"/>
                <w:i w:val="0"/>
                <w:sz w:val="18"/>
              </w:rPr>
              <w:t>Timestamps; provenance model left to the application</w:t>
            </w:r>
          </w:p>
        </w:tc>
        <w:tc>
          <w:tcPr>
            <w:tcW w:type="dxa" w:w="2520"/>
          </w:tcPr>
          <w:p>
            <w:pPr>
              <w:spacing w:before="0" w:after="0" w:line="240" w:lineRule="auto"/>
            </w:pPr>
            <w:r>
              <w:rPr>
                <w:rFonts w:ascii="Arial" w:hAnsi="Arial" w:cs="Arial"/>
                <w:b w:val="0"/>
                <w:i w:val="0"/>
                <w:sz w:val="18"/>
              </w:rPr>
              <w:t>Not documented in the public product information reviewed</w:t>
            </w:r>
          </w:p>
        </w:tc>
      </w:tr>
      <w:tr>
        <w:trPr>
          <w:cantSplit/>
        </w:trPr>
        <w:tc>
          <w:tcPr>
            <w:tcW w:type="dxa" w:w="1700"/>
          </w:tcPr>
          <w:p>
            <w:pPr>
              <w:spacing w:before="0" w:after="0" w:line="240" w:lineRule="auto"/>
            </w:pPr>
            <w:r>
              <w:rPr>
                <w:rFonts w:ascii="Arial" w:hAnsi="Arial" w:cs="Arial"/>
                <w:b w:val="0"/>
                <w:i w:val="0"/>
                <w:sz w:val="18"/>
              </w:rPr>
              <w:t>Decision support</w:t>
            </w:r>
          </w:p>
        </w:tc>
        <w:tc>
          <w:tcPr>
            <w:tcW w:type="dxa" w:w="2620"/>
          </w:tcPr>
          <w:p>
            <w:pPr>
              <w:spacing w:before="0" w:after="0" w:line="240" w:lineRule="auto"/>
            </w:pPr>
            <w:r>
              <w:rPr>
                <w:rFonts w:ascii="Arial" w:hAnsi="Arial" w:cs="Arial"/>
                <w:b w:val="0"/>
                <w:i w:val="0"/>
                <w:sz w:val="18"/>
              </w:rPr>
              <w:t>Rule-based proposals with role checks and infeasibility reporting (linked module)</w:t>
            </w:r>
          </w:p>
        </w:tc>
        <w:tc>
          <w:tcPr>
            <w:tcW w:type="dxa" w:w="2520"/>
          </w:tcPr>
          <w:p>
            <w:pPr>
              <w:spacing w:before="0" w:after="0" w:line="240" w:lineRule="auto"/>
            </w:pPr>
            <w:r>
              <w:rPr>
                <w:rFonts w:ascii="Arial" w:hAnsi="Arial" w:cs="Arial"/>
                <w:b w:val="0"/>
                <w:i w:val="0"/>
                <w:sz w:val="18"/>
              </w:rPr>
              <w:t>Not in scope</w:t>
            </w:r>
          </w:p>
        </w:tc>
        <w:tc>
          <w:tcPr>
            <w:tcW w:type="dxa" w:w="2520"/>
          </w:tcPr>
          <w:p>
            <w:pPr>
              <w:spacing w:before="0" w:after="0" w:line="240" w:lineRule="auto"/>
            </w:pPr>
            <w:r>
              <w:rPr>
                <w:rFonts w:ascii="Arial" w:hAnsi="Arial" w:cs="Arial"/>
                <w:b w:val="0"/>
                <w:i w:val="0"/>
                <w:sz w:val="18"/>
              </w:rPr>
              <w:t>Alerts and dashboards; allocation not documented</w:t>
            </w:r>
          </w:p>
        </w:tc>
      </w:tr>
      <w:tr>
        <w:trPr>
          <w:cantSplit/>
        </w:trPr>
        <w:tc>
          <w:tcPr>
            <w:tcW w:type="dxa" w:w="1700"/>
          </w:tcPr>
          <w:p>
            <w:pPr>
              <w:spacing w:before="0" w:after="0" w:line="240" w:lineRule="auto"/>
            </w:pPr>
            <w:r>
              <w:rPr>
                <w:rFonts w:ascii="Arial" w:hAnsi="Arial" w:cs="Arial"/>
                <w:b w:val="0"/>
                <w:i w:val="0"/>
                <w:sz w:val="18"/>
              </w:rPr>
              <w:t>Extension</w:t>
            </w:r>
          </w:p>
        </w:tc>
        <w:tc>
          <w:tcPr>
            <w:tcW w:type="dxa" w:w="2620"/>
          </w:tcPr>
          <w:p>
            <w:pPr>
              <w:spacing w:before="0" w:after="0" w:line="240" w:lineRule="auto"/>
            </w:pPr>
            <w:r>
              <w:rPr>
                <w:rFonts w:ascii="Arial" w:hAnsi="Arial" w:cs="Arial"/>
                <w:b w:val="0"/>
                <w:i w:val="0"/>
                <w:sz w:val="18"/>
              </w:rPr>
              <w:t>Rosters, horizons, thresholds, services and scenarios are parameters or data files</w:t>
            </w:r>
          </w:p>
        </w:tc>
        <w:tc>
          <w:tcPr>
            <w:tcW w:type="dxa" w:w="2520"/>
          </w:tcPr>
          <w:p>
            <w:pPr>
              <w:spacing w:before="0" w:after="0" w:line="240" w:lineRule="auto"/>
            </w:pPr>
            <w:r>
              <w:rPr>
                <w:rFonts w:ascii="Arial" w:hAnsi="Arial" w:cs="Arial"/>
                <w:b w:val="0"/>
                <w:i w:val="0"/>
                <w:sz w:val="18"/>
              </w:rPr>
              <w:t>Programmable</w:t>
            </w:r>
          </w:p>
        </w:tc>
        <w:tc>
          <w:tcPr>
            <w:tcW w:type="dxa" w:w="2520"/>
          </w:tcPr>
          <w:p>
            <w:pPr>
              <w:spacing w:before="0" w:after="0" w:line="240" w:lineRule="auto"/>
            </w:pPr>
            <w:r>
              <w:rPr>
                <w:rFonts w:ascii="Arial" w:hAnsi="Arial" w:cs="Arial"/>
                <w:b w:val="0"/>
                <w:i w:val="0"/>
                <w:sz w:val="18"/>
              </w:rPr>
              <w:t>Vendor-dependent</w:t>
            </w:r>
          </w:p>
        </w:tc>
      </w:tr>
    </w:tbl>
    <w:p>
      <w:pPr>
        <w:spacing w:before="0" w:after="120" w:line="240" w:lineRule="auto"/>
      </w:pPr>
    </w:p>
    <w:p>
      <w:pPr>
        <w:spacing w:before="0" w:after="120" w:line="240" w:lineRule="auto"/>
      </w:pPr>
      <w:r>
        <w:rPr>
          <w:rFonts w:ascii="Arial" w:hAnsi="Arial" w:cs="Arial"/>
          <w:b w:val="0"/>
          <w:i w:val="0"/>
          <w:sz w:val="22"/>
        </w:rPr>
        <w:t>UMSF Incident Lab addresses this need. It lets a researcher (i) replay a synthetic or transcribed multisensor stream at fixed receipt-time cutoffs, (ii) see which observations were current, stale, missing or unknown at each cutoff, (iii) apply a coverage-aware group rule that refuses a group conclusion from too few valid observations, and (iv) compute resource allocations that state explicitly when mandatory services cannot be supported. Together these steps support a rapid assessment of strike consequences and a first plan for rescue and recovery logistics, which a human coordinator approves or rejects. The software grew out of a monitoring research project of the University of Customs and Finance (UMSF). This paper describes the software and its verified behaviour, not a deployed monitoring system; the bench prototype that motivated the record semantics is described in Section 3.</w:t>
      </w:r>
    </w:p>
    <w:p>
      <w:pPr>
        <w:pStyle w:val="Rubrik1"/>
        <w:keepNext/>
        <w:numPr>
          <w:ilvl w:val="0"/>
          <w:numId w:val="1"/>
        </w:numPr>
        <w:spacing w:before="240" w:after="120" w:line="240" w:lineRule="auto"/>
        <w:ind w:left="432" w:hanging="432"/>
        <w:rPr>
          <w:rFonts w:ascii="Arial" w:hAnsi="Arial" w:cs="Arial"/>
          <w:b/>
          <w:sz w:val="22"/>
        </w:rPr>
      </w:pPr>
      <w:r>
        <w:rPr>
          <w:rFonts w:ascii="Arial" w:hAnsi="Arial" w:cs="Arial"/>
          <w:b/>
          <w:i w:val="0"/>
          <w:sz w:val="22"/>
        </w:rPr>
        <w:t>Software description</w:t>
      </w:r>
    </w:p>
    <w:p>
      <w:pPr>
        <w:spacing w:before="0" w:after="120" w:line="240" w:lineRule="auto"/>
      </w:pPr>
      <w:r>
        <w:rPr>
          <w:rFonts w:ascii="Arial" w:hAnsi="Arial" w:cs="Arial"/>
          <w:b w:val="0"/>
          <w:i w:val="0"/>
          <w:sz w:val="22"/>
        </w:rPr>
        <w:t>The current version (1.2.0) comprises three releases with distinct roles (Table 2). They share record semantics and protocol v1.0 but do not exchange data at run time; they are linked tools, not an integrated platform. Their common rules are described first, under a unified notation; the architecture of each release follows in Section 2.1.</w:t>
      </w:r>
    </w:p>
    <w:p>
      <w:pPr>
        <w:keepNext/>
        <w:keepLines/>
        <w:spacing w:before="120" w:after="80" w:line="240" w:lineRule="auto"/>
      </w:pPr>
      <w:r>
        <w:rPr>
          <w:rFonts w:ascii="Arial" w:hAnsi="Arial" w:cs="Arial"/>
          <w:b/>
          <w:i w:val="0"/>
          <w:sz w:val="19"/>
        </w:rPr>
        <w:t>Table 2.</w:t>
      </w:r>
      <w:r>
        <w:rPr>
          <w:rFonts w:ascii="Arial" w:hAnsi="Arial" w:cs="Arial"/>
          <w:b w:val="0"/>
          <w:i w:val="0"/>
          <w:sz w:val="19"/>
        </w:rPr>
        <w:t xml:space="preserve"> The three releases (all v1.2.0, MIT license, archived on Zenodo).</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firstColumn="1" w:firstRow="1" w:lastColumn="0" w:lastRow="0" w:noHBand="0" w:noVBand="1" w:val="04A0"/>
      </w:tblPr>
      <w:tblGrid>
        <w:gridCol w:w="1500"/>
        <w:gridCol w:w="1900"/>
        <w:gridCol w:w="2160"/>
        <w:gridCol w:w="2000"/>
        <w:gridCol w:w="1800"/>
      </w:tblGrid>
      <w:tr>
        <w:trPr>
          <w:tblHeader/>
          <w:cantSplit/>
        </w:trPr>
        <w:tc>
          <w:tcPr>
            <w:tcW w:type="dxa" w:w="1500"/>
            <w:shd w:val="clear" w:color="auto" w:fill="F2F2F2"/>
          </w:tcPr>
          <w:p>
            <w:pPr>
              <w:spacing w:before="0" w:after="0" w:line="240" w:lineRule="auto"/>
            </w:pPr>
            <w:r>
              <w:rPr>
                <w:rFonts w:ascii="Arial" w:hAnsi="Arial" w:cs="Arial"/>
                <w:b/>
                <w:i w:val="0"/>
                <w:sz w:val="18"/>
              </w:rPr>
              <w:t>Release</w:t>
            </w:r>
          </w:p>
        </w:tc>
        <w:tc>
          <w:tcPr>
            <w:tcW w:type="dxa" w:w="1900"/>
            <w:shd w:val="clear" w:color="auto" w:fill="F2F2F2"/>
          </w:tcPr>
          <w:p>
            <w:pPr>
              <w:spacing w:before="0" w:after="0" w:line="240" w:lineRule="auto"/>
            </w:pPr>
            <w:r>
              <w:rPr>
                <w:rFonts w:ascii="Arial" w:hAnsi="Arial" w:cs="Arial"/>
                <w:b/>
                <w:i w:val="0"/>
                <w:sz w:val="18"/>
              </w:rPr>
              <w:t>Role</w:t>
            </w:r>
          </w:p>
        </w:tc>
        <w:tc>
          <w:tcPr>
            <w:tcW w:type="dxa" w:w="2160"/>
            <w:shd w:val="clear" w:color="auto" w:fill="F2F2F2"/>
          </w:tcPr>
          <w:p>
            <w:pPr>
              <w:spacing w:before="0" w:after="0" w:line="240" w:lineRule="auto"/>
            </w:pPr>
            <w:r>
              <w:rPr>
                <w:rFonts w:ascii="Arial" w:hAnsi="Arial" w:cs="Arial"/>
                <w:b/>
                <w:i w:val="0"/>
                <w:sz w:val="18"/>
              </w:rPr>
              <w:t>Implementation</w:t>
            </w:r>
          </w:p>
        </w:tc>
        <w:tc>
          <w:tcPr>
            <w:tcW w:type="dxa" w:w="2000"/>
            <w:shd w:val="clear" w:color="auto" w:fill="F2F2F2"/>
          </w:tcPr>
          <w:p>
            <w:pPr>
              <w:spacing w:before="0" w:after="0" w:line="240" w:lineRule="auto"/>
            </w:pPr>
            <w:r>
              <w:rPr>
                <w:rFonts w:ascii="Arial" w:hAnsi="Arial" w:cs="Arial"/>
                <w:b/>
                <w:i w:val="0"/>
                <w:sz w:val="18"/>
              </w:rPr>
              <w:t>Main outputs</w:t>
            </w:r>
          </w:p>
        </w:tc>
        <w:tc>
          <w:tcPr>
            <w:tcW w:type="dxa" w:w="1800"/>
            <w:shd w:val="clear" w:color="auto" w:fill="F2F2F2"/>
          </w:tcPr>
          <w:p>
            <w:pPr>
              <w:spacing w:before="0" w:after="0" w:line="240" w:lineRule="auto"/>
            </w:pPr>
            <w:r>
              <w:rPr>
                <w:rFonts w:ascii="Arial" w:hAnsi="Arial" w:cs="Arial"/>
                <w:b/>
                <w:i w:val="0"/>
                <w:sz w:val="18"/>
              </w:rPr>
              <w:t>Checks re-executed for this paper</w:t>
            </w:r>
          </w:p>
        </w:tc>
      </w:tr>
      <w:tr>
        <w:trPr>
          <w:cantSplit/>
        </w:trPr>
        <w:tc>
          <w:tcPr>
            <w:tcW w:type="dxa" w:w="1500"/>
          </w:tcPr>
          <w:p>
            <w:pPr>
              <w:spacing w:before="0" w:after="0" w:line="240" w:lineRule="auto"/>
            </w:pPr>
            <w:r>
              <w:rPr>
                <w:rFonts w:ascii="Arial" w:hAnsi="Arial" w:cs="Arial"/>
                <w:b w:val="0"/>
                <w:i w:val="0"/>
                <w:sz w:val="18"/>
              </w:rPr>
              <w:t>UMSF Incident Lab [15]</w:t>
            </w:r>
          </w:p>
        </w:tc>
        <w:tc>
          <w:tcPr>
            <w:tcW w:type="dxa" w:w="1900"/>
          </w:tcPr>
          <w:p>
            <w:pPr>
              <w:spacing w:before="0" w:after="0" w:line="240" w:lineRule="auto"/>
            </w:pPr>
            <w:r>
              <w:rPr>
                <w:rFonts w:ascii="Arial" w:hAnsi="Arial" w:cs="Arial"/>
                <w:b w:val="0"/>
                <w:i w:val="0"/>
                <w:sz w:val="18"/>
              </w:rPr>
              <w:t>Main product: evidence-aware replay of multisensor streams</w:t>
            </w:r>
          </w:p>
        </w:tc>
        <w:tc>
          <w:tcPr>
            <w:tcW w:type="dxa" w:w="2160"/>
          </w:tcPr>
          <w:p>
            <w:pPr>
              <w:spacing w:before="0" w:after="0" w:line="240" w:lineRule="auto"/>
            </w:pPr>
            <w:r>
              <w:rPr>
                <w:rFonts w:ascii="Arial" w:hAnsi="Arial" w:cs="Arial"/>
                <w:b w:val="0"/>
                <w:i w:val="0"/>
                <w:sz w:val="18"/>
              </w:rPr>
              <w:t>Package umsf_dataset 1.0.0 (about 1,900 lines in top-level modules); notebook with 34 analysis cells and 30 figures</w:t>
            </w:r>
          </w:p>
        </w:tc>
        <w:tc>
          <w:tcPr>
            <w:tcW w:type="dxa" w:w="2000"/>
          </w:tcPr>
          <w:p>
            <w:pPr>
              <w:spacing w:before="0" w:after="0" w:line="240" w:lineRule="auto"/>
            </w:pPr>
            <w:r>
              <w:rPr>
                <w:rFonts w:ascii="Arial" w:hAnsi="Arial" w:cs="Arial"/>
                <w:b w:val="0"/>
                <w:i w:val="0"/>
                <w:sz w:val="18"/>
              </w:rPr>
              <w:t>Validated SQLite store; CSV/JSONL exports with SHA-256 manifest; quarantine and reject logs; window summaries; offline dashboard</w:t>
            </w:r>
          </w:p>
        </w:tc>
        <w:tc>
          <w:tcPr>
            <w:tcW w:type="dxa" w:w="1800"/>
          </w:tcPr>
          <w:p>
            <w:pPr>
              <w:spacing w:before="0" w:after="0" w:line="240" w:lineRule="auto"/>
            </w:pPr>
            <w:r>
              <w:rPr>
                <w:rFonts w:ascii="Arial" w:hAnsi="Arial" w:cs="Arial"/>
                <w:b w:val="0"/>
                <w:i w:val="0"/>
                <w:sz w:val="18"/>
              </w:rPr>
              <w:t>58/58 unit tests; 25/25 reference rows; 11/11 protocol vectors</w:t>
            </w:r>
          </w:p>
        </w:tc>
      </w:tr>
      <w:tr>
        <w:trPr>
          <w:cantSplit/>
        </w:trPr>
        <w:tc>
          <w:tcPr>
            <w:tcW w:type="dxa" w:w="1500"/>
          </w:tcPr>
          <w:p>
            <w:pPr>
              <w:spacing w:before="0" w:after="0" w:line="240" w:lineRule="auto"/>
            </w:pPr>
            <w:r>
              <w:rPr>
                <w:rFonts w:ascii="Arial" w:hAnsi="Arial" w:cs="Arial"/>
                <w:b w:val="0"/>
                <w:i w:val="0"/>
                <w:sz w:val="18"/>
              </w:rPr>
              <w:t>UMSF Incident AI Agent Lab [16]</w:t>
            </w:r>
          </w:p>
        </w:tc>
        <w:tc>
          <w:tcPr>
            <w:tcW w:type="dxa" w:w="1900"/>
          </w:tcPr>
          <w:p>
            <w:pPr>
              <w:spacing w:before="0" w:after="0" w:line="240" w:lineRule="auto"/>
            </w:pPr>
            <w:r>
              <w:rPr>
                <w:rFonts w:ascii="Arial" w:hAnsi="Arial" w:cs="Arial"/>
                <w:b w:val="0"/>
                <w:i w:val="0"/>
                <w:sz w:val="18"/>
              </w:rPr>
              <w:t>Linked, deterministic rule-based decision support</w:t>
            </w:r>
          </w:p>
        </w:tc>
        <w:tc>
          <w:tcPr>
            <w:tcW w:type="dxa" w:w="2160"/>
          </w:tcPr>
          <w:p>
            <w:pPr>
              <w:spacing w:before="0" w:after="0" w:line="240" w:lineRule="auto"/>
            </w:pPr>
            <w:r>
              <w:rPr>
                <w:rFonts w:ascii="Arial" w:hAnsi="Arial" w:cs="Arial"/>
                <w:b w:val="0"/>
                <w:i w:val="0"/>
                <w:sz w:val="18"/>
              </w:rPr>
              <w:t>Package umsf_agent 1.0.0 (about 5,300 lines in top-level modules); notebook with 28 analysis cells and 30 figures</w:t>
            </w:r>
          </w:p>
        </w:tc>
        <w:tc>
          <w:tcPr>
            <w:tcW w:type="dxa" w:w="2000"/>
          </w:tcPr>
          <w:p>
            <w:pPr>
              <w:spacing w:before="0" w:after="0" w:line="240" w:lineRule="auto"/>
            </w:pPr>
            <w:r>
              <w:rPr>
                <w:rFonts w:ascii="Arial" w:hAnsi="Arial" w:cs="Arial"/>
                <w:b w:val="0"/>
                <w:i w:val="0"/>
                <w:sz w:val="18"/>
              </w:rPr>
              <w:t>Decision packages (proposals); approval records; hash-chained audit log; report; dashboard</w:t>
            </w:r>
          </w:p>
        </w:tc>
        <w:tc>
          <w:tcPr>
            <w:tcW w:type="dxa" w:w="1800"/>
          </w:tcPr>
          <w:p>
            <w:pPr>
              <w:spacing w:before="0" w:after="0" w:line="240" w:lineRule="auto"/>
            </w:pPr>
            <w:r>
              <w:rPr>
                <w:rFonts w:ascii="Arial" w:hAnsi="Arial" w:cs="Arial"/>
                <w:b w:val="0"/>
                <w:i w:val="0"/>
                <w:sz w:val="18"/>
              </w:rPr>
              <w:t>116/116 unit tests; 44/44 analytical checks</w:t>
            </w:r>
          </w:p>
        </w:tc>
      </w:tr>
      <w:tr>
        <w:trPr>
          <w:cantSplit/>
        </w:trPr>
        <w:tc>
          <w:tcPr>
            <w:tcW w:type="dxa" w:w="1500"/>
          </w:tcPr>
          <w:p>
            <w:pPr>
              <w:spacing w:before="0" w:after="0" w:line="240" w:lineRule="auto"/>
            </w:pPr>
            <w:r>
              <w:rPr>
                <w:rFonts w:ascii="Arial" w:hAnsi="Arial" w:cs="Arial"/>
                <w:b w:val="0"/>
                <w:i w:val="0"/>
                <w:sz w:val="18"/>
              </w:rPr>
              <w:t>UMSF Firmware Lab [17]</w:t>
            </w:r>
          </w:p>
        </w:tc>
        <w:tc>
          <w:tcPr>
            <w:tcW w:type="dxa" w:w="1900"/>
          </w:tcPr>
          <w:p>
            <w:pPr>
              <w:spacing w:before="0" w:after="0" w:line="240" w:lineRule="auto"/>
            </w:pPr>
            <w:r>
              <w:rPr>
                <w:rFonts w:ascii="Arial" w:hAnsi="Arial" w:cs="Arial"/>
                <w:b w:val="0"/>
                <w:i w:val="0"/>
                <w:sz w:val="18"/>
              </w:rPr>
              <w:t>Auxiliary host-side test tool for the reference node firmware</w:t>
            </w:r>
          </w:p>
        </w:tc>
        <w:tc>
          <w:tcPr>
            <w:tcW w:type="dxa" w:w="2160"/>
          </w:tcPr>
          <w:p>
            <w:pPr>
              <w:spacing w:before="0" w:after="0" w:line="240" w:lineRule="auto"/>
            </w:pPr>
            <w:r>
              <w:rPr>
                <w:rFonts w:ascii="Arial" w:hAnsi="Arial" w:cs="Arial"/>
                <w:b w:val="0"/>
                <w:i w:val="0"/>
                <w:sz w:val="18"/>
              </w:rPr>
              <w:t>Libraries umsf_proto, umsf_buffer, umsf_features and umsf_gwcore (firmware 1.0.0), built with GCC on a host computer</w:t>
            </w:r>
          </w:p>
        </w:tc>
        <w:tc>
          <w:tcPr>
            <w:tcW w:type="dxa" w:w="2000"/>
          </w:tcPr>
          <w:p>
            <w:pPr>
              <w:spacing w:before="0" w:after="0" w:line="240" w:lineRule="auto"/>
            </w:pPr>
            <w:r>
              <w:rPr>
                <w:rFonts w:ascii="Arial" w:hAnsi="Arial" w:cs="Arial"/>
                <w:b w:val="0"/>
                <w:i w:val="0"/>
                <w:sz w:val="18"/>
              </w:rPr>
              <w:t>Native test report; protocol test vectors</w:t>
            </w:r>
          </w:p>
        </w:tc>
        <w:tc>
          <w:tcPr>
            <w:tcW w:type="dxa" w:w="1800"/>
          </w:tcPr>
          <w:p>
            <w:pPr>
              <w:spacing w:before="0" w:after="0" w:line="240" w:lineRule="auto"/>
            </w:pPr>
            <w:r>
              <w:rPr>
                <w:rFonts w:ascii="Arial" w:hAnsi="Arial" w:cs="Arial"/>
                <w:b w:val="0"/>
                <w:i w:val="0"/>
                <w:sz w:val="18"/>
              </w:rPr>
              <w:t>43 native test cases (475 checks); 19/19 vectors verified by a Python verifier and decoded by Incident Lab</w:t>
            </w:r>
          </w:p>
        </w:tc>
      </w:tr>
    </w:tbl>
    <w:p>
      <w:pPr>
        <w:spacing w:before="0" w:after="120" w:line="240" w:lineRule="auto"/>
      </w:pPr>
    </w:p>
    <w:p>
      <w:pPr>
        <w:spacing w:before="0" w:after="120" w:line="240" w:lineRule="auto"/>
      </w:pPr>
      <w:r>
        <w:rPr>
          <w:rFonts w:ascii="Arial" w:hAnsi="Arial" w:cs="Arial"/>
          <w:b w:val="0"/>
          <w:i/>
          <w:sz w:val="22"/>
        </w:rPr>
        <w:t>Evidence-state and decision rules.</w:t>
      </w:r>
      <w:r>
        <w:rPr>
          <w:rFonts w:ascii="Arial" w:hAnsi="Arial" w:cs="Arial"/>
          <w:b w:val="0"/>
          <w:i w:val="0"/>
          <w:sz w:val="22"/>
        </w:rPr>
        <w:t xml:space="preserve"> Every record keeps two times, the time of measurement (measured_at) and the time of receipt (received_at), and the state of every source is evaluated at a receipt-time cutoff </w:t>
      </w:r>
      <w:r>
        <w:rPr>
          <w:rFonts w:ascii="Arial" w:hAnsi="Arial" w:cs="Arial"/>
          <w:b w:val="0"/>
          <w:i/>
          <w:sz w:val="22"/>
        </w:rPr>
        <w:t>t</w:t>
      </w:r>
      <w:r>
        <w:rPr>
          <w:rFonts w:ascii="Arial" w:hAnsi="Arial" w:cs="Arial"/>
          <w:b w:val="0"/>
          <w:i w:val="0"/>
          <w:sz w:val="22"/>
        </w:rPr>
        <w:t xml:space="preserve"> using only the records received by </w:t>
      </w:r>
      <w:r>
        <w:rPr>
          <w:rFonts w:ascii="Arial" w:hAnsi="Arial" w:cs="Arial"/>
          <w:b w:val="0"/>
          <w:i/>
          <w:sz w:val="22"/>
        </w:rPr>
        <w:t>t</w:t>
      </w:r>
      <w:r>
        <w:rPr>
          <w:rFonts w:ascii="Arial" w:hAnsi="Arial" w:cs="Arial"/>
          <w:b w:val="0"/>
          <w:i w:val="0"/>
          <w:sz w:val="22"/>
        </w:rPr>
        <w:t xml:space="preserve"> (Fig. 1). At a cutoff </w:t>
      </w:r>
      <w:r>
        <w:rPr>
          <w:rFonts w:ascii="Arial" w:hAnsi="Arial" w:cs="Arial"/>
          <w:b w:val="0"/>
          <w:i/>
          <w:sz w:val="22"/>
        </w:rPr>
        <w:t>t</w:t>
      </w:r>
      <w:r>
        <w:rPr>
          <w:rFonts w:ascii="Arial" w:hAnsi="Arial" w:cs="Arial"/>
          <w:b w:val="0"/>
          <w:i w:val="0"/>
          <w:sz w:val="22"/>
        </w:rPr>
        <w:t xml:space="preserve">, a personnel device is current (fresh) if its newest received measurement was taken no more than </w:t>
      </w:r>
      <w:r>
        <w:rPr>
          <w:rFonts w:ascii="Arial" w:hAnsi="Arial" w:cs="Arial"/>
          <w:b w:val="0"/>
          <w:i/>
          <w:sz w:val="22"/>
        </w:rPr>
        <w:t>h</w:t>
      </w:r>
      <w:r>
        <w:rPr>
          <w:rFonts w:ascii="Arial" w:hAnsi="Arial" w:cs="Arial"/>
          <w:b w:val="0"/>
          <w:i w:val="0"/>
          <w:sz w:val="22"/>
        </w:rPr>
        <w:t xml:space="preserve"> = 60 s before </w:t>
      </w:r>
      <w:r>
        <w:rPr>
          <w:rFonts w:ascii="Arial" w:hAnsi="Arial" w:cs="Arial"/>
          <w:b w:val="0"/>
          <w:i/>
          <w:sz w:val="22"/>
        </w:rPr>
        <w:t>t</w:t>
      </w:r>
      <w:r>
        <w:rPr>
          <w:rFonts w:ascii="Arial" w:hAnsi="Arial" w:cs="Arial"/>
          <w:b w:val="0"/>
          <w:i w:val="0"/>
          <w:sz w:val="22"/>
        </w:rPr>
        <w:t>, stale if that measurement is older, and missing if no record has been received; a missing device stays in the roster denominator and is never imputed. A late first arrival extends the history but is never made current, and a stationary node whose link is lost becomes unknown instead of receiving a damage state.</w:t>
      </w:r>
    </w:p>
    <w:p>
      <w:pPr>
        <w:keepNext/>
        <w:spacing w:before="120" w:after="0" w:line="240" w:lineRule="auto"/>
        <w:jc w:val="center"/>
      </w:pPr>
      <w:r>
        <w:drawing>
          <wp:inline xmlns:a="http://schemas.openxmlformats.org/drawingml/2006/main" xmlns:pic="http://schemas.openxmlformats.org/drawingml/2006/picture">
            <wp:extent cx="5943600" cy="2797322"/>
            <wp:docPr id="1" name="Picture 1"/>
            <wp:cNvGraphicFramePr>
              <a:graphicFrameLocks noChangeAspect="1"/>
            </wp:cNvGraphicFramePr>
            <a:graphic>
              <a:graphicData uri="http://schemas.openxmlformats.org/drawingml/2006/picture">
                <pic:pic>
                  <pic:nvPicPr>
                    <pic:cNvPr id="0" name="fig1_states.png"/>
                    <pic:cNvPicPr/>
                  </pic:nvPicPr>
                  <pic:blipFill>
                    <a:blip r:embed="rId26"/>
                    <a:stretch>
                      <a:fillRect/>
                    </a:stretch>
                  </pic:blipFill>
                  <pic:spPr>
                    <a:xfrm>
                      <a:off x="0" y="0"/>
                      <a:ext cx="5943600" cy="2797322"/>
                    </a:xfrm>
                    <a:prstGeom prst="rect"/>
                  </pic:spPr>
                </pic:pic>
              </a:graphicData>
            </a:graphic>
          </wp:inline>
        </w:drawing>
      </w:r>
    </w:p>
    <w:p>
      <w:pPr>
        <w:keepLines/>
        <w:spacing w:before="60" w:after="240" w:line="240" w:lineRule="auto"/>
      </w:pPr>
      <w:r>
        <w:rPr>
          <w:rFonts w:ascii="Arial" w:hAnsi="Arial" w:cs="Arial"/>
          <w:b/>
          <w:i w:val="0"/>
          <w:sz w:val="19"/>
        </w:rPr>
        <w:t>Fig. 1.</w:t>
      </w:r>
      <w:r>
        <w:rPr>
          <w:rFonts w:ascii="Arial" w:hAnsi="Arial" w:cs="Arial"/>
          <w:b w:val="0"/>
          <w:i w:val="0"/>
          <w:sz w:val="19"/>
        </w:rPr>
        <w:t xml:space="preserve"> Schematic of evidence-state classification at a receipt-time cutoff </w:t>
      </w:r>
      <w:r>
        <w:rPr>
          <w:rFonts w:ascii="Arial" w:hAnsi="Arial" w:cs="Arial"/>
          <w:b w:val="0"/>
          <w:i/>
          <w:sz w:val="19"/>
        </w:rPr>
        <w:t>t</w:t>
      </w:r>
      <w:r>
        <w:rPr>
          <w:rFonts w:ascii="Arial" w:hAnsi="Arial" w:cs="Arial"/>
          <w:b w:val="0"/>
          <w:i w:val="0"/>
          <w:sz w:val="19"/>
        </w:rPr>
        <w:t xml:space="preserve">. Each record is measured (circle) and later received (triangle); only records received by </w:t>
      </w:r>
      <w:r>
        <w:rPr>
          <w:rFonts w:ascii="Arial" w:hAnsi="Arial" w:cs="Arial"/>
          <w:b w:val="0"/>
          <w:i/>
          <w:sz w:val="19"/>
        </w:rPr>
        <w:t>t</w:t>
      </w:r>
      <w:r>
        <w:rPr>
          <w:rFonts w:ascii="Arial" w:hAnsi="Arial" w:cs="Arial"/>
          <w:b w:val="0"/>
          <w:i w:val="0"/>
          <w:sz w:val="19"/>
        </w:rPr>
        <w:t xml:space="preserve"> are used. Device 1 has a measurement within the freshness horizon (</w:t>
      </w:r>
      <w:r>
        <w:rPr>
          <w:rFonts w:ascii="Arial" w:hAnsi="Arial" w:cs="Arial"/>
          <w:b w:val="0"/>
          <w:i/>
          <w:sz w:val="19"/>
        </w:rPr>
        <w:t>t</w:t>
      </w:r>
      <w:r>
        <w:rPr>
          <w:rFonts w:ascii="Arial" w:hAnsi="Arial" w:cs="Arial"/>
          <w:b w:val="0"/>
          <w:i w:val="0"/>
          <w:sz w:val="19"/>
        </w:rPr>
        <w:t xml:space="preserve"> − </w:t>
      </w:r>
      <w:r>
        <w:rPr>
          <w:rFonts w:ascii="Arial" w:hAnsi="Arial" w:cs="Arial"/>
          <w:b w:val="0"/>
          <w:i/>
          <w:sz w:val="19"/>
        </w:rPr>
        <w:t>h</w:t>
      </w:r>
      <w:r>
        <w:rPr>
          <w:rFonts w:ascii="Arial" w:hAnsi="Arial" w:cs="Arial"/>
          <w:b w:val="0"/>
          <w:i w:val="0"/>
          <w:sz w:val="19"/>
        </w:rPr>
        <w:t xml:space="preserve">, </w:t>
      </w:r>
      <w:r>
        <w:rPr>
          <w:rFonts w:ascii="Arial" w:hAnsi="Arial" w:cs="Arial"/>
          <w:b w:val="0"/>
          <w:i/>
          <w:sz w:val="19"/>
        </w:rPr>
        <w:t>t</w:t>
      </w:r>
      <w:r>
        <w:rPr>
          <w:rFonts w:ascii="Arial" w:hAnsi="Arial" w:cs="Arial"/>
          <w:b w:val="0"/>
          <w:i w:val="0"/>
          <w:sz w:val="19"/>
        </w:rPr>
        <w:t xml:space="preserve">] and is current; the newer records of device 2 are delayed beyond </w:t>
      </w:r>
      <w:r>
        <w:rPr>
          <w:rFonts w:ascii="Arial" w:hAnsi="Arial" w:cs="Arial"/>
          <w:b w:val="0"/>
          <w:i/>
          <w:sz w:val="19"/>
        </w:rPr>
        <w:t>t</w:t>
      </w:r>
      <w:r>
        <w:rPr>
          <w:rFonts w:ascii="Arial" w:hAnsi="Arial" w:cs="Arial"/>
          <w:b w:val="0"/>
          <w:i w:val="0"/>
          <w:sz w:val="19"/>
        </w:rPr>
        <w:t xml:space="preserve">, so its newest received measurement is older than </w:t>
      </w:r>
      <w:r>
        <w:rPr>
          <w:rFonts w:ascii="Arial" w:hAnsi="Arial" w:cs="Arial"/>
          <w:b w:val="0"/>
          <w:i/>
          <w:sz w:val="19"/>
        </w:rPr>
        <w:t>h</w:t>
      </w:r>
      <w:r>
        <w:rPr>
          <w:rFonts w:ascii="Arial" w:hAnsi="Arial" w:cs="Arial"/>
          <w:b w:val="0"/>
          <w:i w:val="0"/>
          <w:sz w:val="19"/>
        </w:rPr>
        <w:t xml:space="preserve"> and it is stale; device 3 is rostered but has sent no record and is missing; the stationary node lost its link and is unknown. Delayed records extend the history after they arrive but do not change the state at </w:t>
      </w:r>
      <w:r>
        <w:rPr>
          <w:rFonts w:ascii="Arial" w:hAnsi="Arial" w:cs="Arial"/>
          <w:b w:val="0"/>
          <w:i/>
          <w:sz w:val="19"/>
        </w:rPr>
        <w:t>t</w:t>
      </w:r>
      <w:r>
        <w:rPr>
          <w:rFonts w:ascii="Arial" w:hAnsi="Arial" w:cs="Arial"/>
          <w:b w:val="0"/>
          <w:i w:val="0"/>
          <w:sz w:val="19"/>
        </w:rPr>
        <w:t>.</w:t>
      </w:r>
    </w:p>
    <w:p>
      <w:pPr>
        <w:spacing w:before="0" w:after="120" w:line="240" w:lineRule="auto"/>
      </w:pPr>
      <w:r>
        <w:rPr>
          <w:rFonts w:ascii="Arial" w:hAnsi="Arial" w:cs="Arial"/>
          <w:b w:val="0"/>
          <w:i w:val="0"/>
          <w:sz w:val="22"/>
        </w:rPr>
        <w:t xml:space="preserve">For zone </w:t>
      </w:r>
      <w:r>
        <w:rPr>
          <w:rFonts w:ascii="Arial" w:hAnsi="Arial" w:cs="Arial"/>
          <w:b w:val="0"/>
          <w:i/>
          <w:sz w:val="22"/>
        </w:rPr>
        <w:t>g</w:t>
      </w:r>
      <w:r>
        <w:rPr>
          <w:rFonts w:ascii="Arial" w:hAnsi="Arial" w:cs="Arial"/>
          <w:b w:val="0"/>
          <w:i w:val="0"/>
          <w:sz w:val="22"/>
        </w:rPr>
        <w:t xml:space="preserve"> with roster size </w:t>
      </w:r>
      <w:r>
        <w:rPr>
          <w:rFonts w:ascii="Arial" w:hAnsi="Arial" w:cs="Arial"/>
          <w:b w:val="0"/>
          <w:i/>
          <w:sz w:val="22"/>
        </w:rPr>
        <w:t>N</w:t>
      </w:r>
      <w:r>
        <w:rPr>
          <w:rFonts w:ascii="Arial" w:hAnsi="Arial" w:cs="Arial"/>
          <w:b w:val="0"/>
          <w:i/>
          <w:sz w:val="22"/>
          <w:vertAlign w:val="subscript"/>
        </w:rPr>
        <w:t>g</w:t>
      </w:r>
      <w:r>
        <w:rPr>
          <w:rFonts w:ascii="Arial" w:hAnsi="Arial" w:cs="Arial"/>
          <w:b w:val="0"/>
          <w:i w:val="0"/>
          <w:sz w:val="22"/>
        </w:rPr>
        <w:t xml:space="preserve">, eligible count </w:t>
      </w:r>
      <w:r>
        <w:rPr>
          <w:rFonts w:ascii="Arial" w:hAnsi="Arial" w:cs="Arial"/>
          <w:b w:val="0"/>
          <w:i/>
          <w:sz w:val="22"/>
        </w:rPr>
        <w:t>n</w:t>
      </w:r>
      <w:r>
        <w:rPr>
          <w:rFonts w:ascii="Arial" w:hAnsi="Arial" w:cs="Arial"/>
          <w:b w:val="0"/>
          <w:i/>
          <w:sz w:val="22"/>
          <w:vertAlign w:val="subscript"/>
        </w:rPr>
        <w:t>g</w:t>
      </w:r>
      <w:r>
        <w:rPr>
          <w:rFonts w:ascii="Arial" w:hAnsi="Arial" w:cs="Arial"/>
          <w:b w:val="0"/>
          <w:i w:val="0"/>
          <w:sz w:val="22"/>
        </w:rPr>
        <w:t xml:space="preserve"> and </w:t>
      </w:r>
      <w:r>
        <w:rPr>
          <w:rFonts w:ascii="Arial" w:hAnsi="Arial" w:cs="Arial"/>
          <w:b w:val="0"/>
          <w:i/>
          <w:sz w:val="22"/>
        </w:rPr>
        <w:t>m</w:t>
      </w:r>
      <w:r>
        <w:rPr>
          <w:rFonts w:ascii="Arial" w:hAnsi="Arial" w:cs="Arial"/>
          <w:b w:val="0"/>
          <w:i/>
          <w:sz w:val="22"/>
          <w:vertAlign w:val="subscript"/>
        </w:rPr>
        <w:t>g</w:t>
      </w:r>
      <w:r>
        <w:rPr>
          <w:rFonts w:ascii="Arial" w:hAnsi="Arial" w:cs="Arial"/>
          <w:b w:val="0"/>
          <w:i w:val="0"/>
          <w:sz w:val="22"/>
        </w:rPr>
        <w:t xml:space="preserve"> persistent individual flags, the group gate is</w:t>
      </w:r>
    </w:p>
    <w:p>
      <w:pPr>
        <w:spacing w:before="60" w:after="120" w:line="240" w:lineRule="auto"/>
        <w:jc w:val="center"/>
      </w:pPr>
      <m:oMathPara>
        <m:oMathParaPr>
          <m:jc m:val="center"/>
        </m:oMathParaPr>
        <m:oMath>
          <m:sSub>
            <m:e>
              <m:r>
                <w:rPr>
                  <w:sz w:val="22"/>
                </w:rPr>
                <m:t>C</m:t>
              </m:r>
            </m:e>
            <m:sub>
              <m:r>
                <w:rPr>
                  <w:sz w:val="22"/>
                </w:rPr>
                <m:t>g</m:t>
              </m:r>
            </m:sub>
          </m:sSub>
          <m:r>
            <m:rPr>
              <m:sty m:val="p"/>
            </m:rPr>
            <w:rPr>
              <w:sz w:val="22"/>
            </w:rPr>
            <m:t>=</m:t>
          </m:r>
          <m:f>
            <m:fPr>
              <m:type m:val="bar"/>
            </m:fPr>
            <m:num>
              <m:sSub>
                <m:e>
                  <m:r>
                    <w:rPr>
                      <w:sz w:val="22"/>
                    </w:rPr>
                    <m:t>n</m:t>
                  </m:r>
                </m:e>
                <m:sub>
                  <m:r>
                    <w:rPr>
                      <w:sz w:val="22"/>
                    </w:rPr>
                    <m:t>g</m:t>
                  </m:r>
                </m:sub>
              </m:sSub>
            </m:num>
            <m:den>
              <m:sSub>
                <m:e>
                  <m:r>
                    <w:rPr>
                      <w:sz w:val="22"/>
                    </w:rPr>
                    <m:t>N</m:t>
                  </m:r>
                </m:e>
                <m:sub>
                  <m:r>
                    <w:rPr>
                      <w:sz w:val="22"/>
                    </w:rPr>
                    <m:t>g</m:t>
                  </m:r>
                </m:sub>
              </m:sSub>
            </m:den>
          </m:f>
          <m:r>
            <m:rPr>
              <m:sty m:val="p"/>
            </m:rPr>
            <w:rPr>
              <w:sz w:val="22"/>
            </w:rPr>
            <m:t>,</m:t>
          </m:r>
          <m:r>
            <w:rPr>
              <w:sz w:val="22"/>
            </w:rPr>
            <m:t> </m:t>
          </m:r>
          <m:r>
            <w:rPr>
              <w:sz w:val="22"/>
            </w:rPr>
            <m:t> </m:t>
          </m:r>
          <m:sSub>
            <m:e>
              <m:r>
                <w:rPr>
                  <w:sz w:val="22"/>
                </w:rPr>
                <m:t>p</m:t>
              </m:r>
            </m:e>
            <m:sub>
              <m:r>
                <w:rPr>
                  <w:sz w:val="22"/>
                </w:rPr>
                <m:t>g</m:t>
              </m:r>
            </m:sub>
          </m:sSub>
          <m:r>
            <m:rPr>
              <m:sty m:val="p"/>
            </m:rPr>
            <w:rPr>
              <w:sz w:val="22"/>
            </w:rPr>
            <m:t>=</m:t>
          </m:r>
          <m:f>
            <m:fPr>
              <m:type m:val="bar"/>
            </m:fPr>
            <m:num>
              <m:sSub>
                <m:e>
                  <m:r>
                    <w:rPr>
                      <w:sz w:val="22"/>
                    </w:rPr>
                    <m:t>m</m:t>
                  </m:r>
                </m:e>
                <m:sub>
                  <m:r>
                    <w:rPr>
                      <w:sz w:val="22"/>
                    </w:rPr>
                    <m:t>g</m:t>
                  </m:r>
                </m:sub>
              </m:sSub>
            </m:num>
            <m:den>
              <m:sSub>
                <m:e>
                  <m:r>
                    <w:rPr>
                      <w:sz w:val="22"/>
                    </w:rPr>
                    <m:t>n</m:t>
                  </m:r>
                </m:e>
                <m:sub>
                  <m:r>
                    <w:rPr>
                      <w:sz w:val="22"/>
                    </w:rPr>
                    <m:t>g</m:t>
                  </m:r>
                </m:sub>
              </m:sSub>
            </m:den>
          </m:f>
          <m:r>
            <m:rPr>
              <m:sty m:val="p"/>
            </m:rPr>
            <w:rPr>
              <w:sz w:val="22"/>
            </w:rPr>
            <m:t>,</m:t>
          </m:r>
          <m:r>
            <w:rPr>
              <w:sz w:val="22"/>
            </w:rPr>
            <m:t> </m:t>
          </m:r>
          <m:r>
            <w:rPr>
              <w:sz w:val="22"/>
            </w:rPr>
            <m:t> </m:t>
          </m:r>
          <m:d>
            <m:dPr>
              <m:begChr m:val="("/>
              <m:sepChr m:val=""/>
              <m:endChr m:val=")"/>
              <m:grow/>
            </m:dPr>
            <m:e>
              <m:r>
                <w:rPr>
                  <w:sz w:val="22"/>
                </w:rPr>
                <m:t>1</m:t>
              </m:r>
            </m:e>
          </m:d>
        </m:oMath>
      </m:oMathPara>
    </w:p>
    <w:p>
      <w:pPr>
        <w:spacing w:before="60" w:after="120" w:line="240" w:lineRule="auto"/>
        <w:jc w:val="center"/>
      </w:pPr>
      <m:oMathPara>
        <m:oMathParaPr>
          <m:jc m:val="center"/>
        </m:oMathParaPr>
        <m:oMath>
          <m:sSub>
            <m:e>
              <m:r>
                <w:rPr>
                  <w:sz w:val="22"/>
                </w:rPr>
                <m:t>A</m:t>
              </m:r>
            </m:e>
            <m:sub>
              <m:r>
                <w:rPr>
                  <w:sz w:val="22"/>
                </w:rPr>
                <m:t>g</m:t>
              </m:r>
            </m:sub>
          </m:sSub>
          <m:r>
            <m:rPr>
              <m:sty m:val="p"/>
            </m:rPr>
            <w:rPr>
              <w:sz w:val="22"/>
            </w:rPr>
            <m:t>=</m:t>
          </m:r>
          <m:r>
            <m:rPr>
              <m:sty m:val="b"/>
            </m:rPr>
            <w:rPr>
              <w:sz w:val="22"/>
            </w:rPr>
            <m:t>1</m:t>
          </m:r>
          <m:r>
            <m:rPr>
              <m:sty m:val="p"/>
            </m:rPr>
            <w:rPr>
              <w:sz w:val="22"/>
            </w:rPr>
            <m:t>{</m:t>
          </m:r>
          <m:sSub>
            <m:e>
              <m:r>
                <w:rPr>
                  <w:sz w:val="22"/>
                </w:rPr>
                <m:t>n</m:t>
              </m:r>
            </m:e>
            <m:sub>
              <m:r>
                <w:rPr>
                  <w:sz w:val="22"/>
                </w:rPr>
                <m:t>g</m:t>
              </m:r>
            </m:sub>
          </m:sSub>
          <m:r>
            <m:rPr>
              <m:sty m:val="p"/>
            </m:rPr>
            <w:rPr>
              <w:sz w:val="22"/>
            </w:rPr>
            <m:t>≥</m:t>
          </m:r>
          <m:sSub>
            <m:e>
              <m:r>
                <w:rPr>
                  <w:sz w:val="22"/>
                </w:rPr>
                <m:t>n</m:t>
              </m:r>
            </m:e>
            <m:sub>
              <m:r>
                <m:rPr>
                  <m:sty m:val="p"/>
                </m:rPr>
                <w:rPr>
                  <w:sz w:val="22"/>
                </w:rPr>
                <m:t>min</m:t>
              </m:r>
            </m:sub>
          </m:sSub>
          <m:r>
            <w:rPr>
              <w:sz w:val="22"/>
            </w:rPr>
            <m:t> </m:t>
          </m:r>
          <m:r>
            <m:rPr>
              <m:sty m:val="p"/>
            </m:rPr>
            <w:rPr>
              <w:sz w:val="22"/>
            </w:rPr>
            <m:t>∧</m:t>
          </m:r>
          <m:r>
            <w:rPr>
              <w:sz w:val="22"/>
            </w:rPr>
            <m:t> </m:t>
          </m:r>
          <m:sSub>
            <m:e>
              <m:r>
                <w:rPr>
                  <w:sz w:val="22"/>
                </w:rPr>
                <m:t>C</m:t>
              </m:r>
            </m:e>
            <m:sub>
              <m:r>
                <w:rPr>
                  <w:sz w:val="22"/>
                </w:rPr>
                <m:t>g</m:t>
              </m:r>
            </m:sub>
          </m:sSub>
          <m:r>
            <m:rPr>
              <m:sty m:val="p"/>
            </m:rPr>
            <w:rPr>
              <w:sz w:val="22"/>
            </w:rPr>
            <m:t>≥</m:t>
          </m:r>
          <m:sSub>
            <m:e>
              <m:r>
                <w:rPr>
                  <w:sz w:val="22"/>
                </w:rPr>
                <m:t>C</m:t>
              </m:r>
            </m:e>
            <m:sub>
              <m:r>
                <m:rPr>
                  <m:sty m:val="p"/>
                </m:rPr>
                <w:rPr>
                  <w:sz w:val="22"/>
                </w:rPr>
                <m:t>min</m:t>
              </m:r>
            </m:sub>
          </m:sSub>
          <m:r>
            <w:rPr>
              <w:sz w:val="22"/>
            </w:rPr>
            <m:t> </m:t>
          </m:r>
          <m:r>
            <m:rPr>
              <m:sty m:val="p"/>
            </m:rPr>
            <w:rPr>
              <w:sz w:val="22"/>
            </w:rPr>
            <m:t>∧</m:t>
          </m:r>
          <m:r>
            <w:rPr>
              <w:sz w:val="22"/>
            </w:rPr>
            <m:t> </m:t>
          </m:r>
          <m:sSub>
            <m:e>
              <m:r>
                <w:rPr>
                  <w:sz w:val="22"/>
                </w:rPr>
                <m:t>m</m:t>
              </m:r>
            </m:e>
            <m:sub>
              <m:r>
                <w:rPr>
                  <w:sz w:val="22"/>
                </w:rPr>
                <m:t>g</m:t>
              </m:r>
            </m:sub>
          </m:sSub>
          <m:r>
            <m:rPr>
              <m:sty m:val="p"/>
            </m:rPr>
            <w:rPr>
              <w:sz w:val="22"/>
            </w:rPr>
            <m:t>≥</m:t>
          </m:r>
          <m:sSub>
            <m:e>
              <m:r>
                <w:rPr>
                  <w:sz w:val="22"/>
                </w:rPr>
                <m:t>m</m:t>
              </m:r>
            </m:e>
            <m:sub>
              <m:r>
                <m:rPr>
                  <m:sty m:val="p"/>
                </m:rPr>
                <w:rPr>
                  <w:sz w:val="22"/>
                </w:rPr>
                <m:t>min</m:t>
              </m:r>
            </m:sub>
          </m:sSub>
          <m:r>
            <w:rPr>
              <w:sz w:val="22"/>
            </w:rPr>
            <m:t> </m:t>
          </m:r>
          <m:r>
            <m:rPr>
              <m:sty m:val="p"/>
            </m:rPr>
            <w:rPr>
              <w:sz w:val="22"/>
            </w:rPr>
            <m:t>∧</m:t>
          </m:r>
          <m:r>
            <w:rPr>
              <w:sz w:val="22"/>
            </w:rPr>
            <m:t> </m:t>
          </m:r>
          <m:sSub>
            <m:e>
              <m:r>
                <w:rPr>
                  <w:sz w:val="22"/>
                </w:rPr>
                <m:t>p</m:t>
              </m:r>
            </m:e>
            <m:sub>
              <m:r>
                <w:rPr>
                  <w:sz w:val="22"/>
                </w:rPr>
                <m:t>g</m:t>
              </m:r>
            </m:sub>
          </m:sSub>
          <m:r>
            <m:rPr>
              <m:sty m:val="p"/>
            </m:rPr>
            <w:rPr>
              <w:sz w:val="22"/>
            </w:rPr>
            <m:t>≥</m:t>
          </m:r>
          <m:sSub>
            <m:e>
              <m:r>
                <w:rPr>
                  <w:sz w:val="22"/>
                </w:rPr>
                <m:t>θ</m:t>
              </m:r>
            </m:e>
            <m:sub>
              <m:r>
                <w:rPr>
                  <w:sz w:val="22"/>
                </w:rPr>
                <m:t>g</m:t>
              </m:r>
            </m:sub>
          </m:sSub>
          <m:r>
            <m:rPr>
              <m:sty m:val="p"/>
            </m:rPr>
            <w:rPr>
              <w:sz w:val="22"/>
            </w:rPr>
            <m:t>}</m:t>
          </m:r>
          <m:r>
            <m:rPr>
              <m:sty m:val="p"/>
            </m:rPr>
            <w:rPr>
              <w:sz w:val="22"/>
            </w:rPr>
            <m:t>.</m:t>
          </m:r>
          <m:r>
            <w:rPr>
              <w:sz w:val="22"/>
            </w:rPr>
            <m:t> </m:t>
          </m:r>
          <m:r>
            <w:rPr>
              <w:sz w:val="22"/>
            </w:rPr>
            <m:t> </m:t>
          </m:r>
          <m:d>
            <m:dPr>
              <m:begChr m:val="("/>
              <m:sepChr m:val=""/>
              <m:endChr m:val=")"/>
              <m:grow/>
            </m:dPr>
            <m:e>
              <m:r>
                <w:rPr>
                  <w:sz w:val="22"/>
                </w:rPr>
                <m:t>2</m:t>
              </m:r>
            </m:e>
          </m:d>
        </m:oMath>
      </m:oMathPara>
    </w:p>
    <w:p>
      <w:pPr>
        <w:spacing w:before="0" w:after="120" w:line="240" w:lineRule="auto"/>
      </w:pPr>
      <w:r>
        <w:rPr>
          <w:rFonts w:ascii="Arial" w:hAnsi="Arial" w:cs="Arial"/>
          <w:b w:val="0"/>
          <w:i w:val="0"/>
          <w:sz w:val="22"/>
        </w:rPr>
        <w:t xml:space="preserve">If the roster is absent or </w:t>
      </w:r>
      <w:r>
        <w:rPr>
          <w:rFonts w:ascii="Arial" w:hAnsi="Arial" w:cs="Arial"/>
          <w:b w:val="0"/>
          <w:i/>
          <w:sz w:val="22"/>
        </w:rPr>
        <w:t>N</w:t>
      </w:r>
      <w:r>
        <w:rPr>
          <w:rFonts w:ascii="Arial" w:hAnsi="Arial" w:cs="Arial"/>
          <w:b w:val="0"/>
          <w:i/>
          <w:sz w:val="22"/>
          <w:vertAlign w:val="subscript"/>
        </w:rPr>
        <w:t>g</w:t>
      </w:r>
      <w:r>
        <w:rPr>
          <w:rFonts w:ascii="Arial" w:hAnsi="Arial" w:cs="Arial"/>
          <w:b w:val="0"/>
          <w:i w:val="0"/>
          <w:sz w:val="22"/>
        </w:rPr>
        <w:t xml:space="preserve"> = 0, no group conclusion is produced. Service continuity selects indivisible services </w:t>
      </w:r>
      <w:r>
        <w:rPr>
          <w:rFonts w:ascii="Arial" w:hAnsi="Arial" w:cs="Arial"/>
          <w:b w:val="0"/>
          <w:i/>
          <w:sz w:val="22"/>
        </w:rPr>
        <w:t>y</w:t>
      </w:r>
      <w:r>
        <w:rPr>
          <w:rFonts w:ascii="Arial" w:hAnsi="Arial" w:cs="Arial"/>
          <w:b w:val="0"/>
          <w:i/>
          <w:sz w:val="22"/>
          <w:vertAlign w:val="subscript"/>
        </w:rPr>
        <w:t>j</w:t>
      </w:r>
      <w:r>
        <w:rPr>
          <w:rFonts w:ascii="Arial" w:hAnsi="Arial" w:cs="Arial"/>
          <w:b w:val="0"/>
          <w:i w:val="0"/>
          <w:sz w:val="22"/>
        </w:rPr>
        <w:t xml:space="preserve"> ∈ {0, 1} with priority weights </w:t>
      </w:r>
      <w:r>
        <w:rPr>
          <w:rFonts w:ascii="Arial" w:hAnsi="Arial" w:cs="Arial"/>
          <w:b w:val="0"/>
          <w:i/>
          <w:sz w:val="22"/>
        </w:rPr>
        <w:t>ω</w:t>
      </w:r>
      <w:r>
        <w:rPr>
          <w:rFonts w:ascii="Arial" w:hAnsi="Arial" w:cs="Arial"/>
          <w:b w:val="0"/>
          <w:i/>
          <w:sz w:val="22"/>
          <w:vertAlign w:val="subscript"/>
        </w:rPr>
        <w:t>j</w:t>
      </w:r>
      <w:r>
        <w:rPr>
          <w:rFonts w:ascii="Arial" w:hAnsi="Arial" w:cs="Arial"/>
          <w:b w:val="0"/>
          <w:i w:val="0"/>
          <w:sz w:val="22"/>
        </w:rPr>
        <w:t xml:space="preserve">, demands </w:t>
      </w:r>
      <w:r>
        <w:rPr>
          <w:rFonts w:ascii="Arial" w:hAnsi="Arial" w:cs="Arial"/>
          <w:b w:val="0"/>
          <w:i/>
          <w:sz w:val="22"/>
        </w:rPr>
        <w:t>η</w:t>
      </w:r>
      <w:r>
        <w:rPr>
          <w:rFonts w:ascii="Arial" w:hAnsi="Arial" w:cs="Arial"/>
          <w:b w:val="0"/>
          <w:i/>
          <w:sz w:val="22"/>
          <w:vertAlign w:val="subscript"/>
        </w:rPr>
        <w:t>sj</w:t>
      </w:r>
      <w:r>
        <w:rPr>
          <w:rFonts w:ascii="Arial" w:hAnsi="Arial" w:cs="Arial"/>
          <w:b w:val="0"/>
          <w:i w:val="0"/>
          <w:sz w:val="22"/>
        </w:rPr>
        <w:t xml:space="preserve">, justified capacity lower bounds </w:t>
      </w:r>
      <w:r>
        <w:rPr>
          <w:rFonts w:ascii="Arial" w:hAnsi="Arial" w:cs="Arial"/>
          <w:b w:val="0"/>
          <w:i/>
          <w:sz w:val="22"/>
        </w:rPr>
        <w:t>b</w:t>
      </w:r>
      <w:r>
        <w:rPr>
          <w:rFonts w:ascii="Arial" w:hAnsi="Arial" w:cs="Arial"/>
          <w:b w:val="0"/>
          <w:i/>
          <w:sz w:val="22"/>
          <w:vertAlign w:val="subscript"/>
        </w:rPr>
        <w:t>s</w:t>
      </w:r>
      <w:r>
        <w:rPr>
          <w:rFonts w:ascii="Arial" w:hAnsi="Arial" w:cs="Arial"/>
          <w:b w:val="0"/>
          <w:i w:val="0"/>
          <w:sz w:val="22"/>
        </w:rPr>
        <w:t xml:space="preserve">, admissibility </w:t>
      </w:r>
      <w:r>
        <w:rPr>
          <w:rFonts w:ascii="Arial" w:hAnsi="Arial" w:cs="Arial"/>
          <w:b w:val="0"/>
          <w:i/>
          <w:sz w:val="22"/>
        </w:rPr>
        <w:t>γ</w:t>
      </w:r>
      <w:r>
        <w:rPr>
          <w:rFonts w:ascii="Arial" w:hAnsi="Arial" w:cs="Arial"/>
          <w:b w:val="0"/>
          <w:i/>
          <w:sz w:val="22"/>
          <w:vertAlign w:val="subscript"/>
        </w:rPr>
        <w:t>j</w:t>
      </w:r>
      <w:r>
        <w:rPr>
          <w:rFonts w:ascii="Arial" w:hAnsi="Arial" w:cs="Arial"/>
          <w:b w:val="0"/>
          <w:i w:val="0"/>
          <w:sz w:val="22"/>
        </w:rPr>
        <w:t xml:space="preserve"> and a mandatory set Λ:</w:t>
      </w:r>
    </w:p>
    <w:p>
      <w:pPr>
        <w:spacing w:before="60" w:after="120" w:line="240" w:lineRule="auto"/>
        <w:jc w:val="center"/>
      </w:pPr>
      <m:oMathPara>
        <m:oMathParaPr>
          <m:jc m:val="center"/>
        </m:oMathParaPr>
        <m:oMath>
          <m:eqArr>
            <m:eqArrPr>
              <m:baseJc m:val="center"/>
            </m:eqArrPr>
            <m:e>
              <m:limLow>
                <m:e>
                  <m:r>
                    <m:rPr>
                      <m:sty m:val="p"/>
                    </m:rPr>
                    <w:rPr>
                      <w:sz w:val="22"/>
                    </w:rPr>
                    <m:t>max</m:t>
                  </m:r>
                </m:e>
                <m:lim>
                  <m:r>
                    <w:rPr>
                      <w:sz w:val="22"/>
                    </w:rPr>
                    <m:t>y</m:t>
                  </m:r>
                </m:lim>
              </m:limLow>
              <m:nary>
                <m:naryPr>
                  <m:chr m:val="∑"/>
                  <m:limLoc m:val="undOvr"/>
                  <m:subHide m:val="off"/>
                  <m:supHide m:val="on"/>
                </m:naryPr>
                <m:sub>
                  <m:r>
                    <w:rPr>
                      <w:sz w:val="22"/>
                    </w:rPr>
                    <m:t>j</m:t>
                  </m:r>
                </m:sub>
                <m:sup>
                  <m:r>
                    <w:rPr>
                      <w:sz w:val="22"/>
                    </w:rPr>
                    <m:t>​</m:t>
                  </m:r>
                </m:sup>
                <m:e>
                  <m:sSub>
                    <m:e>
                      <m:r>
                        <w:rPr>
                          <w:sz w:val="22"/>
                        </w:rPr>
                        <m:t>ω</m:t>
                      </m:r>
                    </m:e>
                    <m:sub>
                      <m:r>
                        <w:rPr>
                          <w:sz w:val="22"/>
                        </w:rPr>
                        <m:t>j</m:t>
                      </m:r>
                    </m:sub>
                  </m:sSub>
                </m:e>
              </m:nary>
              <m:sSub>
                <m:e>
                  <m:r>
                    <w:rPr>
                      <w:sz w:val="22"/>
                    </w:rPr>
                    <m:t>y</m:t>
                  </m:r>
                </m:e>
                <m:sub>
                  <m:r>
                    <w:rPr>
                      <w:sz w:val="22"/>
                    </w:rPr>
                    <m:t>j</m:t>
                  </m:r>
                </m:sub>
              </m:sSub>
              <m:r>
                <w:rPr>
                  <w:sz w:val="22"/>
                </w:rPr>
                <m:t> </m:t>
              </m:r>
            </m:e>
            <m:e>
              <m:r>
                <m:rPr>
                  <m:nor/>
                </m:rPr>
                <w:rPr>
                  <w:sz w:val="22"/>
                </w:rPr>
                <m:t>s.t.</m:t>
              </m:r>
              <m:r>
                <w:rPr>
                  <w:sz w:val="22"/>
                </w:rPr>
                <m:t> </m:t>
              </m:r>
              <m:nary>
                <m:naryPr>
                  <m:chr m:val="∑"/>
                  <m:limLoc m:val="undOvr"/>
                  <m:subHide m:val="off"/>
                  <m:supHide m:val="on"/>
                </m:naryPr>
                <m:sub>
                  <m:r>
                    <w:rPr>
                      <w:sz w:val="22"/>
                    </w:rPr>
                    <m:t>j</m:t>
                  </m:r>
                </m:sub>
                <m:sup>
                  <m:r>
                    <w:rPr>
                      <w:sz w:val="22"/>
                    </w:rPr>
                    <m:t>​</m:t>
                  </m:r>
                </m:sup>
                <m:e>
                  <m:sSub>
                    <m:e>
                      <m:r>
                        <w:rPr>
                          <w:sz w:val="22"/>
                        </w:rPr>
                        <m:t>η</m:t>
                      </m:r>
                    </m:e>
                    <m:sub>
                      <m:r>
                        <w:rPr>
                          <w:sz w:val="22"/>
                        </w:rPr>
                        <m:t>s</m:t>
                      </m:r>
                      <m:r>
                        <w:rPr>
                          <w:sz w:val="22"/>
                        </w:rPr>
                        <m:t>j</m:t>
                      </m:r>
                    </m:sub>
                  </m:sSub>
                </m:e>
              </m:nary>
              <m:sSub>
                <m:e>
                  <m:r>
                    <w:rPr>
                      <w:sz w:val="22"/>
                    </w:rPr>
                    <m:t>y</m:t>
                  </m:r>
                </m:e>
                <m:sub>
                  <m:r>
                    <w:rPr>
                      <w:sz w:val="22"/>
                    </w:rPr>
                    <m:t>j</m:t>
                  </m:r>
                </m:sub>
              </m:sSub>
              <m:r>
                <m:rPr>
                  <m:sty m:val="p"/>
                </m:rPr>
                <w:rPr>
                  <w:sz w:val="22"/>
                </w:rPr>
                <m:t>≤</m:t>
              </m:r>
              <m:sSub>
                <m:e>
                  <m:r>
                    <w:rPr>
                      <w:sz w:val="22"/>
                    </w:rPr>
                    <m:t>b</m:t>
                  </m:r>
                </m:e>
                <m:sub>
                  <m:r>
                    <w:rPr>
                      <w:sz w:val="22"/>
                    </w:rPr>
                    <m:t>s</m:t>
                  </m:r>
                </m:sub>
              </m:sSub>
              <m:r>
                <w:rPr>
                  <w:sz w:val="22"/>
                </w:rPr>
                <m:t> </m:t>
              </m:r>
              <m:r>
                <m:rPr>
                  <m:sty m:val="p"/>
                </m:rPr>
                <w:rPr>
                  <w:sz w:val="22"/>
                </w:rPr>
                <m:t>∀</m:t>
              </m:r>
              <m:r>
                <w:rPr>
                  <w:sz w:val="22"/>
                </w:rPr>
                <m:t>s</m:t>
              </m:r>
              <m:r>
                <m:rPr>
                  <m:sty m:val="p"/>
                </m:rPr>
                <w:rPr>
                  <w:sz w:val="22"/>
                </w:rPr>
                <m:t>,</m:t>
              </m:r>
              <m:r>
                <w:rPr>
                  <w:sz w:val="22"/>
                </w:rPr>
                <m:t> </m:t>
              </m:r>
              <m:r>
                <w:rPr>
                  <w:sz w:val="22"/>
                </w:rPr>
                <m:t> </m:t>
              </m:r>
            </m:e>
            <m:e>
              <m:sSub>
                <m:e>
                  <m:r>
                    <w:rPr>
                      <w:sz w:val="22"/>
                    </w:rPr>
                    <m:t>y</m:t>
                  </m:r>
                </m:e>
                <m:sub>
                  <m:r>
                    <w:rPr>
                      <w:sz w:val="22"/>
                    </w:rPr>
                    <m:t>j</m:t>
                  </m:r>
                </m:sub>
              </m:sSub>
              <m:r>
                <m:rPr>
                  <m:sty m:val="p"/>
                </m:rPr>
                <w:rPr>
                  <w:sz w:val="22"/>
                </w:rPr>
                <m:t>≤</m:t>
              </m:r>
              <m:sSub>
                <m:e>
                  <m:r>
                    <w:rPr>
                      <w:sz w:val="22"/>
                    </w:rPr>
                    <m:t>γ</m:t>
                  </m:r>
                </m:e>
                <m:sub>
                  <m:r>
                    <w:rPr>
                      <w:sz w:val="22"/>
                    </w:rPr>
                    <m:t>j</m:t>
                  </m:r>
                </m:sub>
              </m:sSub>
              <m:r>
                <m:rPr>
                  <m:sty m:val="p"/>
                </m:rPr>
                <w:rPr>
                  <w:sz w:val="22"/>
                </w:rPr>
                <m:t>,</m:t>
              </m:r>
              <m:r>
                <w:rPr>
                  <w:sz w:val="22"/>
                </w:rPr>
                <m:t> </m:t>
              </m:r>
              <m:r>
                <w:rPr>
                  <w:sz w:val="22"/>
                </w:rPr>
                <m:t> </m:t>
              </m:r>
              <m:sSub>
                <m:e>
                  <m:r>
                    <w:rPr>
                      <w:sz w:val="22"/>
                    </w:rPr>
                    <m:t>y</m:t>
                  </m:r>
                </m:e>
                <m:sub>
                  <m:r>
                    <w:rPr>
                      <w:sz w:val="22"/>
                    </w:rPr>
                    <m:t>j</m:t>
                  </m:r>
                </m:sub>
              </m:sSub>
              <m:r>
                <m:rPr>
                  <m:sty m:val="p"/>
                </m:rPr>
                <w:rPr>
                  <w:sz w:val="22"/>
                </w:rPr>
                <m:t>=</m:t>
              </m:r>
              <m:r>
                <w:rPr>
                  <w:sz w:val="22"/>
                </w:rPr>
                <m:t>1</m:t>
              </m:r>
              <m:r>
                <w:rPr>
                  <w:sz w:val="22"/>
                </w:rPr>
                <m:t> </m:t>
              </m:r>
              <m:r>
                <m:rPr>
                  <m:sty m:val="p"/>
                </m:rPr>
                <w:rPr>
                  <w:sz w:val="22"/>
                </w:rPr>
                <m:t>∀</m:t>
              </m:r>
              <m:r>
                <w:rPr>
                  <w:sz w:val="22"/>
                </w:rPr>
                <m:t>j</m:t>
              </m:r>
              <m:r>
                <m:rPr>
                  <m:sty m:val="p"/>
                </m:rPr>
                <w:rPr>
                  <w:sz w:val="22"/>
                </w:rPr>
                <m:t>∈</m:t>
              </m:r>
              <m:r>
                <w:rPr>
                  <w:sz w:val="22"/>
                </w:rPr>
                <m:t>Λ</m:t>
              </m:r>
              <m:r>
                <m:rPr>
                  <m:sty m:val="p"/>
                </m:rPr>
                <w:rPr>
                  <w:sz w:val="22"/>
                </w:rPr>
                <m:t>,</m:t>
              </m:r>
              <m:r>
                <w:rPr>
                  <w:sz w:val="22"/>
                </w:rPr>
                <m:t> </m:t>
              </m:r>
              <m:r>
                <w:rPr>
                  <w:sz w:val="22"/>
                </w:rPr>
                <m:t> </m:t>
              </m:r>
              <m:d>
                <m:dPr>
                  <m:begChr m:val="("/>
                  <m:sepChr m:val=""/>
                  <m:endChr m:val=")"/>
                  <m:grow/>
                </m:dPr>
                <m:e>
                  <m:r>
                    <w:rPr>
                      <w:sz w:val="22"/>
                    </w:rPr>
                    <m:t>3</m:t>
                  </m:r>
                </m:e>
              </m:d>
            </m:e>
          </m:eqArr>
        </m:oMath>
      </m:oMathPara>
    </w:p>
    <w:p>
      <w:pPr>
        <w:spacing w:before="0" w:after="120" w:line="240" w:lineRule="auto"/>
      </w:pPr>
      <w:r>
        <w:rPr>
          <w:rFonts w:ascii="Arial" w:hAnsi="Arial" w:cs="Arial"/>
          <w:b w:val="0"/>
          <w:i w:val="0"/>
          <w:sz w:val="22"/>
        </w:rPr>
        <w:t xml:space="preserve">with prerequisite constraints </w:t>
      </w:r>
      <w:r>
        <w:rPr>
          <w:rFonts w:ascii="Arial" w:hAnsi="Arial" w:cs="Arial"/>
          <w:b w:val="0"/>
          <w:i/>
          <w:sz w:val="22"/>
        </w:rPr>
        <w:t>y</w:t>
      </w:r>
      <w:r>
        <w:rPr>
          <w:rFonts w:ascii="Arial" w:hAnsi="Arial" w:cs="Arial"/>
          <w:b w:val="0"/>
          <w:i/>
          <w:sz w:val="22"/>
          <w:vertAlign w:val="subscript"/>
        </w:rPr>
        <w:t>j</w:t>
      </w:r>
      <w:r>
        <w:rPr>
          <w:rFonts w:ascii="Arial" w:hAnsi="Arial" w:cs="Arial"/>
          <w:b w:val="0"/>
          <w:i w:val="0"/>
          <w:sz w:val="22"/>
        </w:rPr>
        <w:t xml:space="preserve"> ≤ </w:t>
      </w:r>
      <w:r>
        <w:rPr>
          <w:rFonts w:ascii="Arial" w:hAnsi="Arial" w:cs="Arial"/>
          <w:b w:val="0"/>
          <w:i/>
          <w:sz w:val="22"/>
        </w:rPr>
        <w:t>y</w:t>
      </w:r>
      <w:r>
        <w:rPr>
          <w:rFonts w:ascii="Arial" w:hAnsi="Arial" w:cs="Arial"/>
          <w:b w:val="0"/>
          <w:i w:val="0"/>
          <w:sz w:val="22"/>
          <w:vertAlign w:val="subscript"/>
        </w:rPr>
        <w:t>ℓ</w:t>
      </w:r>
      <w:r>
        <w:rPr>
          <w:rFonts w:ascii="Arial" w:hAnsi="Arial" w:cs="Arial"/>
          <w:b w:val="0"/>
          <w:i w:val="0"/>
          <w:sz w:val="22"/>
        </w:rPr>
        <w:t xml:space="preserve">. The reported </w:t>
      </w:r>
      <w:r>
        <w:rPr>
          <w:rFonts w:ascii="Arial" w:hAnsi="Arial" w:cs="Arial"/>
          <w:b w:val="0"/>
          <w:i/>
          <w:sz w:val="22"/>
        </w:rPr>
        <w:t>Q</w:t>
      </w:r>
      <w:r>
        <w:rPr>
          <w:rFonts w:ascii="Arial" w:hAnsi="Arial" w:cs="Arial"/>
          <w:b w:val="0"/>
          <w:i w:val="0"/>
          <w:sz w:val="22"/>
        </w:rPr>
        <w:t xml:space="preserve"> = 100 Σ</w:t>
      </w:r>
      <w:r>
        <w:rPr>
          <w:rFonts w:ascii="Arial" w:hAnsi="Arial" w:cs="Arial"/>
          <w:b w:val="0"/>
          <w:i/>
          <w:sz w:val="22"/>
          <w:vertAlign w:val="subscript"/>
        </w:rPr>
        <w:t>j</w:t>
      </w:r>
      <w:r>
        <w:rPr>
          <w:rFonts w:ascii="Arial" w:hAnsi="Arial" w:cs="Arial"/>
          <w:b w:val="0"/>
          <w:i w:val="0"/>
          <w:sz w:val="22"/>
        </w:rPr>
        <w:t xml:space="preserve"> </w:t>
      </w:r>
      <w:r>
        <w:rPr>
          <w:rFonts w:ascii="Arial" w:hAnsi="Arial" w:cs="Arial"/>
          <w:b w:val="0"/>
          <w:i/>
          <w:sz w:val="22"/>
        </w:rPr>
        <w:t>ω</w:t>
      </w:r>
      <w:r>
        <w:rPr>
          <w:rFonts w:ascii="Arial" w:hAnsi="Arial" w:cs="Arial"/>
          <w:b w:val="0"/>
          <w:i/>
          <w:sz w:val="22"/>
          <w:vertAlign w:val="subscript"/>
        </w:rPr>
        <w:t>j</w:t>
      </w:r>
      <w:r>
        <w:rPr>
          <w:rFonts w:ascii="Arial" w:hAnsi="Arial" w:cs="Arial"/>
          <w:b w:val="0"/>
          <w:i/>
          <w:sz w:val="22"/>
        </w:rPr>
        <w:t>y</w:t>
      </w:r>
      <w:r>
        <w:rPr>
          <w:rFonts w:ascii="Arial" w:hAnsi="Arial" w:cs="Arial"/>
          <w:b w:val="0"/>
          <w:i/>
          <w:sz w:val="22"/>
          <w:vertAlign w:val="subscript"/>
        </w:rPr>
        <w:t>j</w:t>
      </w:r>
      <w:r>
        <w:rPr>
          <w:rFonts w:ascii="Arial" w:hAnsi="Arial" w:cs="Arial"/>
          <w:b w:val="0"/>
          <w:i w:val="0"/>
          <w:sz w:val="22"/>
        </w:rPr>
        <w:t xml:space="preserve"> / Σ</w:t>
      </w:r>
      <w:r>
        <w:rPr>
          <w:rFonts w:ascii="Arial" w:hAnsi="Arial" w:cs="Arial"/>
          <w:b w:val="0"/>
          <w:i/>
          <w:sz w:val="22"/>
          <w:vertAlign w:val="subscript"/>
        </w:rPr>
        <w:t>j</w:t>
      </w:r>
      <w:r>
        <w:rPr>
          <w:rFonts w:ascii="Arial" w:hAnsi="Arial" w:cs="Arial"/>
          <w:b w:val="0"/>
          <w:i w:val="0"/>
          <w:sz w:val="22"/>
        </w:rPr>
        <w:t xml:space="preserve"> </w:t>
      </w:r>
      <w:r>
        <w:rPr>
          <w:rFonts w:ascii="Arial" w:hAnsi="Arial" w:cs="Arial"/>
          <w:b w:val="0"/>
          <w:i/>
          <w:sz w:val="22"/>
        </w:rPr>
        <w:t>ω</w:t>
      </w:r>
      <w:r>
        <w:rPr>
          <w:rFonts w:ascii="Arial" w:hAnsi="Arial" w:cs="Arial"/>
          <w:b w:val="0"/>
          <w:i/>
          <w:sz w:val="22"/>
          <w:vertAlign w:val="subscript"/>
        </w:rPr>
        <w:t>j</w:t>
      </w:r>
      <w:r>
        <w:rPr>
          <w:rFonts w:ascii="Arial" w:hAnsi="Arial" w:cs="Arial"/>
          <w:b w:val="0"/>
          <w:i w:val="0"/>
          <w:sz w:val="22"/>
        </w:rPr>
        <w:t xml:space="preserve"> is a weighted service coverage under assumed weights, not a count of people assisted. Rescue assignment solves an exact lexicographic team–task problem, and tasks with unknown eligibility or access are escalated rather than dropped.</w:t>
      </w:r>
    </w:p>
    <w:p>
      <w:pPr>
        <w:pStyle w:val="Rubrik1"/>
        <w:keepNext/>
        <w:numPr>
          <w:ilvl w:val="1"/>
          <w:numId w:val="1"/>
        </w:numPr>
        <w:spacing w:before="180" w:after="120" w:line="240" w:lineRule="auto"/>
        <w:ind w:left="576" w:hanging="576"/>
        <w:rPr>
          <w:rFonts w:ascii="Arial" w:hAnsi="Arial" w:cs="Arial"/>
          <w:b/>
          <w:sz w:val="22"/>
        </w:rPr>
      </w:pPr>
      <w:r>
        <w:rPr>
          <w:rFonts w:ascii="Arial" w:hAnsi="Arial" w:cs="Arial"/>
          <w:b/>
          <w:i w:val="0"/>
          <w:sz w:val="22"/>
        </w:rPr>
        <w:t>Software architecture</w:t>
      </w:r>
    </w:p>
    <w:p>
      <w:pPr>
        <w:spacing w:before="0" w:after="120" w:line="240" w:lineRule="auto"/>
      </w:pPr>
      <w:r>
        <w:rPr>
          <w:rFonts w:ascii="Arial" w:hAnsi="Arial" w:cs="Arial"/>
          <w:b w:val="0"/>
          <w:i w:val="0"/>
          <w:sz w:val="22"/>
        </w:rPr>
        <w:t>The analytical cores of the first two releases are Python packages that use only the standard library, and each release runs as a notebook or from the command line (Section 2.3).</w:t>
      </w:r>
    </w:p>
    <w:p>
      <w:pPr>
        <w:spacing w:before="0" w:after="120" w:line="240" w:lineRule="auto"/>
      </w:pPr>
      <w:r>
        <w:rPr>
          <w:rFonts w:ascii="Arial" w:hAnsi="Arial" w:cs="Arial"/>
          <w:b w:val="0"/>
          <w:i/>
          <w:sz w:val="22"/>
        </w:rPr>
        <w:t>UMSF Incident Lab.</w:t>
      </w:r>
      <w:r>
        <w:rPr>
          <w:rFonts w:ascii="Arial" w:hAnsi="Arial" w:cs="Arial"/>
          <w:b w:val="0"/>
          <w:i w:val="0"/>
          <w:sz w:val="22"/>
        </w:rPr>
        <w:t xml:space="preserve"> The package umsf_dataset forms the pipeline shown in Fig. 2. The user chooses the input: a scenario generated by the synth/ subpackage, which re-implements two earlier synthetic studies [18,19] and generates the two-site incident scenario used in Section 3, or transcribed records. Adapters for serial, MQTT/TLS and BLE inputs are unit-tested only against simulated interfaces. frames.py decodes binary frames with a CRC-16/CCITT check [20], reassembles fragments and parses gateway text lines; validate.py performs bounded strict JSON parsing [21] (size, depth, duplicate keys, NaN and Infinity) and checks records against JSON Schemas (physio 1.0, station st-1.0, event ev-1.0 and roster). Lines or frames that violate the schema are rejected and logged, never imputed.</w:t>
      </w:r>
    </w:p>
    <w:p>
      <w:pPr>
        <w:keepNext/>
        <w:spacing w:before="120" w:after="0" w:line="240" w:lineRule="auto"/>
        <w:jc w:val="center"/>
      </w:pPr>
      <w:r>
        <w:drawing>
          <wp:inline xmlns:a="http://schemas.openxmlformats.org/drawingml/2006/main" xmlns:pic="http://schemas.openxmlformats.org/drawingml/2006/picture">
            <wp:extent cx="5486400" cy="5137688"/>
            <wp:docPr id="2" name="Picture 2"/>
            <wp:cNvGraphicFramePr>
              <a:graphicFrameLocks noChangeAspect="1"/>
            </wp:cNvGraphicFramePr>
            <a:graphic>
              <a:graphicData uri="http://schemas.openxmlformats.org/drawingml/2006/picture">
                <pic:pic>
                  <pic:nvPicPr>
                    <pic:cNvPr id="0" name="fig2_arch.png"/>
                    <pic:cNvPicPr/>
                  </pic:nvPicPr>
                  <pic:blipFill>
                    <a:blip r:embed="rId27"/>
                    <a:stretch>
                      <a:fillRect/>
                    </a:stretch>
                  </pic:blipFill>
                  <pic:spPr>
                    <a:xfrm>
                      <a:off x="0" y="0"/>
                      <a:ext cx="5486400" cy="5137688"/>
                    </a:xfrm>
                    <a:prstGeom prst="rect"/>
                  </pic:spPr>
                </pic:pic>
              </a:graphicData>
            </a:graphic>
          </wp:inline>
        </w:drawing>
      </w:r>
    </w:p>
    <w:p>
      <w:pPr>
        <w:keepLines/>
        <w:spacing w:before="60" w:after="240" w:line="240" w:lineRule="auto"/>
      </w:pPr>
      <w:r>
        <w:rPr>
          <w:rFonts w:ascii="Arial" w:hAnsi="Arial" w:cs="Arial"/>
          <w:b/>
          <w:i w:val="0"/>
          <w:sz w:val="19"/>
        </w:rPr>
        <w:t>Fig. 2.</w:t>
      </w:r>
      <w:r>
        <w:rPr>
          <w:rFonts w:ascii="Arial" w:hAnsi="Arial" w:cs="Arial"/>
          <w:b w:val="0"/>
          <w:i w:val="0"/>
          <w:sz w:val="19"/>
        </w:rPr>
        <w:t xml:space="preserve"> Architecture of UMSF Incident Lab. Each record passes the numbered stages before it can contribute to summaries; the dataset directory written by export.py is the input of UMSF Incident AI Agent Lab (Fig. 3a), and the protocol vectors of UMSF Firmware Lab are decoded by frames.py. There is no run-time interface between the releases.</w:t>
      </w:r>
    </w:p>
    <w:p>
      <w:pPr>
        <w:spacing w:before="0" w:after="120" w:line="240" w:lineRule="auto"/>
      </w:pPr>
      <w:r>
        <w:rPr>
          <w:rFonts w:ascii="Arial" w:hAnsi="Arial" w:cs="Arial"/>
          <w:b w:val="0"/>
          <w:i w:val="0"/>
          <w:sz w:val="22"/>
        </w:rPr>
        <w:t>Times are ISO-8601 in UTC, missing values are null, never 0 or “normal”, and units appear in field names. The data_origin field labels a record as synthetic or measured, and measured records are rejected unless explicitly allowed; these labels record provenance in the sense of the W3C PROV data model [22]. A roster lists the expected personnel devices per site and zone; these form the coverage denominator, and stationary nodes are reported separately. A strike attribution is accepted only from the event source class authoritative_external_alert, and a locally derived composite is labelled possible_impact_local (Fig. S1).</w:t>
      </w:r>
    </w:p>
    <w:p>
      <w:pPr>
        <w:spacing w:before="0" w:after="120" w:line="240" w:lineRule="auto"/>
      </w:pPr>
      <w:r>
        <w:rPr>
          <w:rFonts w:ascii="Arial" w:hAnsi="Arial" w:cs="Arial"/>
          <w:b w:val="0"/>
          <w:i w:val="0"/>
          <w:sz w:val="22"/>
        </w:rPr>
        <w:t>A measurement is identified by (site, device, boot_id, sequence). store.py writes accepted records to SQLite in WAL mode with synchronous=FULL [23] and enforces this identity key: an identical redelivery is ignored, whereas a different payload under the same identity quarantines that identity from analytical exports while both versions are kept for audit. An application acknowledgement is issued only after the SQLite COMMIT returns; an MQTT broker acknowledgement [24] never authorizes deletion upstream. summaries.py then classifies every source at each receipt-time cutoff and computes roster-based 300 s windows and station states, and export.py writes CSV/JSONL files and a SHA-256 manifest. The notebook [25] embeds the package, its tests and inputs in a hash-checked payload.</w:t>
      </w:r>
    </w:p>
    <w:p>
      <w:pPr>
        <w:spacing w:before="0" w:after="120" w:line="240" w:lineRule="auto"/>
      </w:pPr>
      <w:r>
        <w:rPr>
          <w:rFonts w:ascii="Arial" w:hAnsi="Arial" w:cs="Arial"/>
          <w:b w:val="0"/>
          <w:i/>
          <w:sz w:val="22"/>
        </w:rPr>
        <w:t>UMSF Incident AI Agent Lab</w:t>
      </w:r>
      <w:r>
        <w:rPr>
          <w:rFonts w:ascii="Arial" w:hAnsi="Arial" w:cs="Arial"/>
          <w:b w:val="0"/>
          <w:i w:val="0"/>
          <w:sz w:val="22"/>
        </w:rPr>
        <w:t xml:space="preserve"> reads a dataset directory in the format exported by Incident Lab and applies deterministic rules in sequence (Fig. 3a): physio_rules.py computes robust per-person references (median and MAD) [26], capped deviation scores, persistence and the coverage-aware group gate of Eqs. (1)–(2) (illustrated in Fig. S8); incident_state.py assigns a typed zone state (mechanical, hazard, personnel, functional and unknown components) without averaging across evidence types; rescue.py and assignment.py match rescue tasks to teams; continuity.py allocates services exactly over all admissible sets [27]; recovery.py schedules repair activities with a critical-path heuristic [28] that is not guaranteed optimal; policy.py states which role may approve each decision domain; audit.py keeps an unkeyed SHA-256 hash chain [29,30] of approvals and rejections with their reasons. An optional language-model briefing layer (llm.py), enabled only by an explicit flag, is not validated and was not used for this paper.</w:t>
      </w:r>
    </w:p>
    <w:p>
      <w:pPr>
        <w:spacing w:before="0" w:after="120" w:line="240" w:lineRule="auto"/>
      </w:pPr>
      <w:r>
        <w:rPr>
          <w:rFonts w:ascii="Arial" w:hAnsi="Arial" w:cs="Arial"/>
          <w:b w:val="0"/>
          <w:i/>
          <w:sz w:val="22"/>
        </w:rPr>
        <w:t>UMSF Firmware Lab</w:t>
      </w:r>
      <w:r>
        <w:rPr>
          <w:rFonts w:ascii="Arial" w:hAnsi="Arial" w:cs="Arial"/>
          <w:b w:val="0"/>
          <w:i w:val="0"/>
          <w:sz w:val="22"/>
        </w:rPr>
        <w:t xml:space="preserve"> compiles the portable C/C++ libraries of the reference node firmware on a host computer and runs native tests and protocol vectors (Fig. 3b): umsf_proto handles frames, CRC, fragmentation and JSON (Fig. S2); umsf_buffer implements a RAM ring with urgent and telemetry priorities; umsf_features computes feature windows, stationary detectors, SOS debounce and link supervision; umsf_gwcore handles gateway identity, the acknowledgement watermark and time mapping. It does not build ESP32 images and does not exercise radio, sensors or power hardware.</w:t>
      </w:r>
    </w:p>
    <w:p>
      <w:pPr>
        <w:keepNext/>
        <w:spacing w:before="120" w:after="0" w:line="240" w:lineRule="auto"/>
        <w:jc w:val="center"/>
      </w:pPr>
      <w:r>
        <w:drawing>
          <wp:inline xmlns:a="http://schemas.openxmlformats.org/drawingml/2006/main" xmlns:pic="http://schemas.openxmlformats.org/drawingml/2006/picture">
            <wp:extent cx="5486400" cy="4672739"/>
            <wp:docPr id="3" name="Picture 3"/>
            <wp:cNvGraphicFramePr>
              <a:graphicFrameLocks noChangeAspect="1"/>
            </wp:cNvGraphicFramePr>
            <a:graphic>
              <a:graphicData uri="http://schemas.openxmlformats.org/drawingml/2006/picture">
                <pic:pic>
                  <pic:nvPicPr>
                    <pic:cNvPr id="0" name="fig3_companion.png"/>
                    <pic:cNvPicPr/>
                  </pic:nvPicPr>
                  <pic:blipFill>
                    <a:blip r:embed="rId28"/>
                    <a:stretch>
                      <a:fillRect/>
                    </a:stretch>
                  </pic:blipFill>
                  <pic:spPr>
                    <a:xfrm>
                      <a:off x="0" y="0"/>
                      <a:ext cx="5486400" cy="4672739"/>
                    </a:xfrm>
                    <a:prstGeom prst="rect"/>
                  </pic:spPr>
                </pic:pic>
              </a:graphicData>
            </a:graphic>
          </wp:inline>
        </w:drawing>
      </w:r>
    </w:p>
    <w:p>
      <w:pPr>
        <w:keepLines/>
        <w:spacing w:before="60" w:after="240" w:line="240" w:lineRule="auto"/>
      </w:pPr>
      <w:r>
        <w:rPr>
          <w:rFonts w:ascii="Arial" w:hAnsi="Arial" w:cs="Arial"/>
          <w:b/>
          <w:i w:val="0"/>
          <w:sz w:val="19"/>
        </w:rPr>
        <w:t>Fig. 3.</w:t>
      </w:r>
      <w:r>
        <w:rPr>
          <w:rFonts w:ascii="Arial" w:hAnsi="Arial" w:cs="Arial"/>
          <w:b w:val="0"/>
          <w:i w:val="0"/>
          <w:sz w:val="19"/>
        </w:rPr>
        <w:t xml:space="preserve"> Companion releases. (a) Rule sequence of UMSF Incident AI Agent Lab and its human-approval loop: rules produce a decision package of proposals, a declared role and a reason are required for every approval or rejection, and decisions are kept in a hash chain. (b) Host-side test path of UMSF Firmware Lab.</w:t>
      </w:r>
    </w:p>
    <w:p>
      <w:pPr>
        <w:pStyle w:val="Rubrik1"/>
        <w:keepNext/>
        <w:numPr>
          <w:ilvl w:val="1"/>
          <w:numId w:val="1"/>
        </w:numPr>
        <w:spacing w:before="180" w:after="120" w:line="240" w:lineRule="auto"/>
        <w:ind w:left="576" w:hanging="576"/>
        <w:rPr>
          <w:rFonts w:ascii="Arial" w:hAnsi="Arial" w:cs="Arial"/>
          <w:b/>
          <w:sz w:val="22"/>
        </w:rPr>
      </w:pPr>
      <w:r>
        <w:rPr>
          <w:rFonts w:ascii="Arial" w:hAnsi="Arial" w:cs="Arial"/>
          <w:b/>
          <w:i w:val="0"/>
          <w:sz w:val="22"/>
        </w:rPr>
        <w:t>Software functionalities</w:t>
      </w:r>
    </w:p>
    <w:p>
      <w:pPr>
        <w:spacing w:before="0" w:after="120" w:line="240" w:lineRule="auto"/>
      </w:pPr>
      <w:r>
        <w:rPr>
          <w:rFonts w:ascii="Arial" w:hAnsi="Arial" w:cs="Arial"/>
          <w:b w:val="0"/>
          <w:i w:val="0"/>
          <w:sz w:val="22"/>
        </w:rPr>
        <w:t>The main functionalities are the following; Table 3 lists the corresponding edge cases, their expected outcomes and checks.</w:t>
      </w:r>
    </w:p>
    <w:p>
      <w:pPr>
        <w:pStyle w:val="Liststycke"/>
        <w:numPr>
          <w:ilvl w:val="0"/>
          <w:numId w:val="6"/>
        </w:numPr>
        <w:spacing w:before="0" w:after="60" w:line="240" w:lineRule="auto"/>
        <w:ind w:left="360" w:hanging="360"/>
      </w:pPr>
      <w:r>
        <w:rPr>
          <w:rFonts w:ascii="Arial" w:hAnsi="Arial" w:cs="Arial"/>
          <w:b/>
          <w:i/>
          <w:sz w:val="22"/>
        </w:rPr>
        <w:t>Missing data versus absence of deviation</w:t>
      </w:r>
      <w:r>
        <w:rPr>
          <w:rFonts w:ascii="Arial" w:hAnsi="Arial" w:cs="Arial"/>
          <w:b w:val="0"/>
          <w:i w:val="0"/>
          <w:sz w:val="22"/>
        </w:rPr>
        <w:t xml:space="preserve"> (summaries.py, physio_rules.py): unobserved devices stay in the denominator, and insufficient coverage blocks a group conclusion.</w:t>
      </w:r>
    </w:p>
    <w:p>
      <w:pPr>
        <w:pStyle w:val="Liststycke"/>
        <w:numPr>
          <w:ilvl w:val="0"/>
          <w:numId w:val="6"/>
        </w:numPr>
        <w:spacing w:before="0" w:after="60" w:line="240" w:lineRule="auto"/>
        <w:ind w:left="360" w:hanging="360"/>
      </w:pPr>
      <w:r>
        <w:rPr>
          <w:rFonts w:ascii="Arial" w:hAnsi="Arial" w:cs="Arial"/>
          <w:b/>
          <w:i/>
          <w:sz w:val="22"/>
        </w:rPr>
        <w:t>Measurement versus receipt time</w:t>
      </w:r>
      <w:r>
        <w:rPr>
          <w:rFonts w:ascii="Arial" w:hAnsi="Arial" w:cs="Arial"/>
          <w:b w:val="0"/>
          <w:i w:val="0"/>
          <w:sz w:val="22"/>
        </w:rPr>
        <w:t xml:space="preserve"> (store.py, summaries.py): both times are stored; states are classified at the receipt-time cutoff.</w:t>
      </w:r>
    </w:p>
    <w:p>
      <w:pPr>
        <w:pStyle w:val="Liststycke"/>
        <w:numPr>
          <w:ilvl w:val="0"/>
          <w:numId w:val="6"/>
        </w:numPr>
        <w:spacing w:before="0" w:after="60" w:line="240" w:lineRule="auto"/>
        <w:ind w:left="360" w:hanging="360"/>
      </w:pPr>
      <w:r>
        <w:rPr>
          <w:rFonts w:ascii="Arial" w:hAnsi="Arial" w:cs="Arial"/>
          <w:b/>
          <w:i/>
          <w:sz w:val="22"/>
        </w:rPr>
        <w:t>Duplicates and conflicts</w:t>
      </w:r>
      <w:r>
        <w:rPr>
          <w:rFonts w:ascii="Arial" w:hAnsi="Arial" w:cs="Arial"/>
          <w:b w:val="0"/>
          <w:i w:val="0"/>
          <w:sz w:val="22"/>
        </w:rPr>
        <w:t xml:space="preserve"> (store.py): identical redelivery is ignored; a conflicting payload quarantines the identity.</w:t>
      </w:r>
    </w:p>
    <w:p>
      <w:pPr>
        <w:pStyle w:val="Liststycke"/>
        <w:numPr>
          <w:ilvl w:val="0"/>
          <w:numId w:val="6"/>
        </w:numPr>
        <w:spacing w:before="0" w:after="60" w:line="240" w:lineRule="auto"/>
        <w:ind w:left="360" w:hanging="360"/>
      </w:pPr>
      <w:r>
        <w:rPr>
          <w:rFonts w:ascii="Arial" w:hAnsi="Arial" w:cs="Arial"/>
          <w:b/>
          <w:i/>
          <w:sz w:val="22"/>
        </w:rPr>
        <w:t>Independent SOS handling</w:t>
      </w:r>
      <w:r>
        <w:rPr>
          <w:rFonts w:ascii="Arial" w:hAnsi="Arial" w:cs="Arial"/>
          <w:b w:val="0"/>
          <w:i w:val="0"/>
          <w:sz w:val="22"/>
        </w:rPr>
        <w:t xml:space="preserve"> (rescue.py): an SOS bypasses the group gate and persistence.</w:t>
      </w:r>
    </w:p>
    <w:p>
      <w:pPr>
        <w:pStyle w:val="Liststycke"/>
        <w:numPr>
          <w:ilvl w:val="0"/>
          <w:numId w:val="6"/>
        </w:numPr>
        <w:spacing w:before="0" w:after="60" w:line="240" w:lineRule="auto"/>
        <w:ind w:left="360" w:hanging="360"/>
      </w:pPr>
      <w:r>
        <w:rPr>
          <w:rFonts w:ascii="Arial" w:hAnsi="Arial" w:cs="Arial"/>
          <w:b/>
          <w:i/>
          <w:sz w:val="22"/>
        </w:rPr>
        <w:t>Explicit infeasibility</w:t>
      </w:r>
      <w:r>
        <w:rPr>
          <w:rFonts w:ascii="Arial" w:hAnsi="Arial" w:cs="Arial"/>
          <w:b w:val="0"/>
          <w:i w:val="0"/>
          <w:sz w:val="22"/>
        </w:rPr>
        <w:t xml:space="preserve"> (continuity.py): mandatory services are hard constraints; an infeasible case is reported as INFEASIBLE, with no </w:t>
      </w:r>
      <w:r>
        <w:rPr>
          <w:rFonts w:ascii="Arial" w:hAnsi="Arial" w:cs="Arial"/>
          <w:b w:val="0"/>
          <w:i/>
          <w:sz w:val="22"/>
        </w:rPr>
        <w:t>Q</w:t>
      </w:r>
      <w:r>
        <w:rPr>
          <w:rFonts w:ascii="Arial" w:hAnsi="Arial" w:cs="Arial"/>
          <w:b w:val="0"/>
          <w:i w:val="0"/>
          <w:sz w:val="22"/>
        </w:rPr>
        <w:t>.</w:t>
      </w:r>
    </w:p>
    <w:p>
      <w:pPr>
        <w:pStyle w:val="Liststycke"/>
        <w:numPr>
          <w:ilvl w:val="0"/>
          <w:numId w:val="6"/>
        </w:numPr>
        <w:spacing w:before="0" w:after="60" w:line="240" w:lineRule="auto"/>
        <w:ind w:left="360" w:hanging="360"/>
      </w:pPr>
      <w:r>
        <w:rPr>
          <w:rFonts w:ascii="Arial" w:hAnsi="Arial" w:cs="Arial"/>
          <w:b/>
          <w:i/>
          <w:sz w:val="22"/>
        </w:rPr>
        <w:t>Human approval</w:t>
      </w:r>
      <w:r>
        <w:rPr>
          <w:rFonts w:ascii="Arial" w:hAnsi="Arial" w:cs="Arial"/>
          <w:b w:val="0"/>
          <w:i w:val="0"/>
          <w:sz w:val="22"/>
        </w:rPr>
        <w:t xml:space="preserve"> (policy.py, audit.py): only the authorised role may approve, and a reason is required.</w:t>
      </w:r>
    </w:p>
    <w:p>
      <w:pPr>
        <w:keepNext/>
        <w:keepLines/>
        <w:spacing w:before="120" w:after="80" w:line="240" w:lineRule="auto"/>
      </w:pPr>
      <w:r>
        <w:rPr>
          <w:rFonts w:ascii="Arial" w:hAnsi="Arial" w:cs="Arial"/>
          <w:b/>
          <w:i w:val="0"/>
          <w:sz w:val="19"/>
        </w:rPr>
        <w:t>Table 3.</w:t>
      </w:r>
      <w:r>
        <w:rPr>
          <w:rFonts w:ascii="Arial" w:hAnsi="Arial" w:cs="Arial"/>
          <w:b w:val="0"/>
          <w:i w:val="0"/>
          <w:sz w:val="19"/>
        </w:rPr>
        <w:t xml:space="preserve"> Edge cases with pre-specified expected outcomes and their checks in v1.2.0.</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firstColumn="1" w:firstRow="1" w:lastColumn="0" w:lastRow="0" w:noHBand="0" w:noVBand="1" w:val="04A0"/>
      </w:tblPr>
      <w:tblGrid>
        <w:gridCol w:w="2300"/>
        <w:gridCol w:w="2860"/>
        <w:gridCol w:w="4200"/>
      </w:tblGrid>
      <w:tr>
        <w:trPr>
          <w:tblHeader/>
          <w:cantSplit/>
        </w:trPr>
        <w:tc>
          <w:tcPr>
            <w:tcW w:type="dxa" w:w="2300"/>
            <w:shd w:val="clear" w:color="auto" w:fill="F2F2F2"/>
          </w:tcPr>
          <w:p>
            <w:pPr>
              <w:spacing w:before="0" w:after="0" w:line="240" w:lineRule="auto"/>
            </w:pPr>
            <w:r>
              <w:rPr>
                <w:rFonts w:ascii="Arial" w:hAnsi="Arial" w:cs="Arial"/>
                <w:b/>
                <w:i w:val="0"/>
                <w:sz w:val="18"/>
              </w:rPr>
              <w:t>Edge case</w:t>
            </w:r>
          </w:p>
        </w:tc>
        <w:tc>
          <w:tcPr>
            <w:tcW w:type="dxa" w:w="2860"/>
            <w:shd w:val="clear" w:color="auto" w:fill="F2F2F2"/>
          </w:tcPr>
          <w:p>
            <w:pPr>
              <w:spacing w:before="0" w:after="0" w:line="240" w:lineRule="auto"/>
            </w:pPr>
            <w:r>
              <w:rPr>
                <w:rFonts w:ascii="Arial" w:hAnsi="Arial" w:cs="Arial"/>
                <w:b/>
                <w:i w:val="0"/>
                <w:sz w:val="18"/>
              </w:rPr>
              <w:t>Expected outcome</w:t>
            </w:r>
          </w:p>
        </w:tc>
        <w:tc>
          <w:tcPr>
            <w:tcW w:type="dxa" w:w="4200"/>
            <w:shd w:val="clear" w:color="auto" w:fill="F2F2F2"/>
          </w:tcPr>
          <w:p>
            <w:pPr>
              <w:spacing w:before="0" w:after="0" w:line="240" w:lineRule="auto"/>
            </w:pPr>
            <w:r>
              <w:rPr>
                <w:rFonts w:ascii="Arial" w:hAnsi="Arial" w:cs="Arial"/>
                <w:b/>
                <w:i w:val="0"/>
                <w:sz w:val="18"/>
              </w:rPr>
              <w:t>Check in v1.2.0</w:t>
            </w:r>
          </w:p>
        </w:tc>
      </w:tr>
      <w:tr>
        <w:trPr>
          <w:cantSplit/>
        </w:trPr>
        <w:tc>
          <w:tcPr>
            <w:tcW w:type="dxa" w:w="2300"/>
          </w:tcPr>
          <w:p>
            <w:pPr>
              <w:spacing w:before="0" w:after="0" w:line="240" w:lineRule="auto"/>
            </w:pPr>
            <w:r>
              <w:rPr>
                <w:rFonts w:ascii="Arial" w:hAnsi="Arial" w:cs="Arial"/>
                <w:b w:val="0"/>
                <w:i w:val="0"/>
                <w:sz w:val="18"/>
              </w:rPr>
              <w:t>Rostered device not reporting</w:t>
            </w:r>
          </w:p>
        </w:tc>
        <w:tc>
          <w:tcPr>
            <w:tcW w:type="dxa" w:w="2860"/>
          </w:tcPr>
          <w:p>
            <w:pPr>
              <w:spacing w:before="0" w:after="0" w:line="240" w:lineRule="auto"/>
            </w:pPr>
            <w:r>
              <w:rPr>
                <w:rFonts w:ascii="Arial" w:hAnsi="Arial" w:cs="Arial"/>
                <w:b w:val="0"/>
                <w:i w:val="0"/>
                <w:sz w:val="18"/>
              </w:rPr>
              <w:t>Kept in the denominator</w:t>
            </w:r>
          </w:p>
        </w:tc>
        <w:tc>
          <w:tcPr>
            <w:tcW w:type="dxa" w:w="4200"/>
          </w:tcPr>
          <w:p>
            <w:pPr>
              <w:spacing w:before="0" w:after="0" w:line="240" w:lineRule="auto"/>
            </w:pPr>
            <w:r>
              <w:rPr>
                <w:rFonts w:ascii="Arial" w:hAnsi="Arial" w:cs="Arial"/>
                <w:b w:val="0"/>
                <w:i w:val="0"/>
                <w:sz w:val="18"/>
              </w:rPr>
              <w:t>test_roster_denominators_not_reporting_devices; Table 4</w:t>
            </w:r>
          </w:p>
        </w:tc>
      </w:tr>
      <w:tr>
        <w:trPr>
          <w:cantSplit/>
        </w:trPr>
        <w:tc>
          <w:tcPr>
            <w:tcW w:type="dxa" w:w="2300"/>
          </w:tcPr>
          <w:p>
            <w:pPr>
              <w:spacing w:before="0" w:after="0" w:line="240" w:lineRule="auto"/>
            </w:pPr>
            <w:r>
              <w:rPr>
                <w:rFonts w:ascii="Arial" w:hAnsi="Arial" w:cs="Arial"/>
                <w:b w:val="0"/>
                <w:i w:val="0"/>
                <w:sz w:val="18"/>
              </w:rPr>
              <w:t>Roster unavailable</w:t>
            </w:r>
          </w:p>
        </w:tc>
        <w:tc>
          <w:tcPr>
            <w:tcW w:type="dxa" w:w="2860"/>
          </w:tcPr>
          <w:p>
            <w:pPr>
              <w:spacing w:before="0" w:after="0" w:line="240" w:lineRule="auto"/>
            </w:pPr>
            <w:r>
              <w:rPr>
                <w:rFonts w:ascii="Arial" w:hAnsi="Arial" w:cs="Arial"/>
                <w:b w:val="0"/>
                <w:i w:val="0"/>
                <w:sz w:val="18"/>
              </w:rPr>
              <w:t>No group conclusion</w:t>
            </w:r>
          </w:p>
        </w:tc>
        <w:tc>
          <w:tcPr>
            <w:tcW w:type="dxa" w:w="4200"/>
          </w:tcPr>
          <w:p>
            <w:pPr>
              <w:spacing w:before="0" w:after="0" w:line="240" w:lineRule="auto"/>
            </w:pPr>
            <w:r>
              <w:rPr>
                <w:rFonts w:ascii="Arial" w:hAnsi="Arial" w:cs="Arial"/>
                <w:b w:val="0"/>
                <w:i w:val="0"/>
                <w:sz w:val="18"/>
              </w:rPr>
              <w:t>test_roster_unavailable_no_group_conclusion</w:t>
            </w:r>
          </w:p>
        </w:tc>
      </w:tr>
      <w:tr>
        <w:trPr>
          <w:cantSplit/>
        </w:trPr>
        <w:tc>
          <w:tcPr>
            <w:tcW w:type="dxa" w:w="2300"/>
          </w:tcPr>
          <w:p>
            <w:pPr>
              <w:spacing w:before="0" w:after="0" w:line="240" w:lineRule="auto"/>
            </w:pPr>
            <w:r>
              <w:rPr>
                <w:rFonts w:ascii="Arial" w:hAnsi="Arial" w:cs="Arial"/>
                <w:b w:val="0"/>
                <w:i w:val="0"/>
                <w:sz w:val="18"/>
              </w:rPr>
              <w:t>Exact duplicate</w:t>
            </w:r>
          </w:p>
        </w:tc>
        <w:tc>
          <w:tcPr>
            <w:tcW w:type="dxa" w:w="2860"/>
          </w:tcPr>
          <w:p>
            <w:pPr>
              <w:spacing w:before="0" w:after="0" w:line="240" w:lineRule="auto"/>
            </w:pPr>
            <w:r>
              <w:rPr>
                <w:rFonts w:ascii="Arial" w:hAnsi="Arial" w:cs="Arial"/>
                <w:b w:val="0"/>
                <w:i w:val="0"/>
                <w:sz w:val="18"/>
              </w:rPr>
              <w:t>Counted once</w:t>
            </w:r>
          </w:p>
        </w:tc>
        <w:tc>
          <w:tcPr>
            <w:tcW w:type="dxa" w:w="4200"/>
          </w:tcPr>
          <w:p>
            <w:pPr>
              <w:spacing w:before="0" w:after="0" w:line="240" w:lineRule="auto"/>
            </w:pPr>
            <w:r>
              <w:rPr>
                <w:rFonts w:ascii="Arial" w:hAnsi="Arial" w:cs="Arial"/>
                <w:b w:val="0"/>
                <w:i w:val="0"/>
                <w:sz w:val="18"/>
              </w:rPr>
              <w:t>test_duplicates_count_once</w:t>
            </w:r>
          </w:p>
        </w:tc>
      </w:tr>
      <w:tr>
        <w:trPr>
          <w:cantSplit/>
        </w:trPr>
        <w:tc>
          <w:tcPr>
            <w:tcW w:type="dxa" w:w="2300"/>
          </w:tcPr>
          <w:p>
            <w:pPr>
              <w:spacing w:before="0" w:after="0" w:line="240" w:lineRule="auto"/>
            </w:pPr>
            <w:r>
              <w:rPr>
                <w:rFonts w:ascii="Arial" w:hAnsi="Arial" w:cs="Arial"/>
                <w:b w:val="0"/>
                <w:i w:val="0"/>
                <w:sz w:val="18"/>
              </w:rPr>
              <w:t>Changed payload under the same identity</w:t>
            </w:r>
          </w:p>
        </w:tc>
        <w:tc>
          <w:tcPr>
            <w:tcW w:type="dxa" w:w="2860"/>
          </w:tcPr>
          <w:p>
            <w:pPr>
              <w:spacing w:before="0" w:after="0" w:line="240" w:lineRule="auto"/>
            </w:pPr>
            <w:r>
              <w:rPr>
                <w:rFonts w:ascii="Arial" w:hAnsi="Arial" w:cs="Arial"/>
                <w:b w:val="0"/>
                <w:i w:val="0"/>
                <w:sz w:val="18"/>
              </w:rPr>
              <w:t>Identity quarantined; both versions kept for audit</w:t>
            </w:r>
          </w:p>
        </w:tc>
        <w:tc>
          <w:tcPr>
            <w:tcW w:type="dxa" w:w="4200"/>
          </w:tcPr>
          <w:p>
            <w:pPr>
              <w:spacing w:before="0" w:after="0" w:line="240" w:lineRule="auto"/>
            </w:pPr>
            <w:r>
              <w:rPr>
                <w:rFonts w:ascii="Arial" w:hAnsi="Arial" w:cs="Arial"/>
                <w:b w:val="0"/>
                <w:i w:val="0"/>
                <w:sz w:val="18"/>
              </w:rPr>
              <w:t>test_dedup_conflict_quarantine</w:t>
            </w:r>
          </w:p>
        </w:tc>
      </w:tr>
      <w:tr>
        <w:trPr>
          <w:cantSplit/>
        </w:trPr>
        <w:tc>
          <w:tcPr>
            <w:tcW w:type="dxa" w:w="2300"/>
          </w:tcPr>
          <w:p>
            <w:pPr>
              <w:spacing w:before="0" w:after="0" w:line="240" w:lineRule="auto"/>
            </w:pPr>
            <w:r>
              <w:rPr>
                <w:rFonts w:ascii="Arial" w:hAnsi="Arial" w:cs="Arial"/>
                <w:b w:val="0"/>
                <w:i w:val="0"/>
                <w:sz w:val="18"/>
              </w:rPr>
              <w:t>Out-of-order fragments</w:t>
            </w:r>
          </w:p>
        </w:tc>
        <w:tc>
          <w:tcPr>
            <w:tcW w:type="dxa" w:w="2860"/>
          </w:tcPr>
          <w:p>
            <w:pPr>
              <w:spacing w:before="0" w:after="0" w:line="240" w:lineRule="auto"/>
            </w:pPr>
            <w:r>
              <w:rPr>
                <w:rFonts w:ascii="Arial" w:hAnsi="Arial" w:cs="Arial"/>
                <w:b w:val="0"/>
                <w:i w:val="0"/>
                <w:sz w:val="18"/>
              </w:rPr>
              <w:t>Reassembled exactly</w:t>
            </w:r>
          </w:p>
        </w:tc>
        <w:tc>
          <w:tcPr>
            <w:tcW w:type="dxa" w:w="4200"/>
          </w:tcPr>
          <w:p>
            <w:pPr>
              <w:spacing w:before="0" w:after="0" w:line="240" w:lineRule="auto"/>
            </w:pPr>
            <w:r>
              <w:rPr>
                <w:rFonts w:ascii="Arial" w:hAnsi="Arial" w:cs="Arial"/>
                <w:b w:val="0"/>
                <w:i w:val="0"/>
                <w:sz w:val="18"/>
              </w:rPr>
              <w:t>test_multi_fragment_out_of_order</w:t>
            </w:r>
          </w:p>
        </w:tc>
      </w:tr>
      <w:tr>
        <w:trPr>
          <w:cantSplit/>
        </w:trPr>
        <w:tc>
          <w:tcPr>
            <w:tcW w:type="dxa" w:w="2300"/>
          </w:tcPr>
          <w:p>
            <w:pPr>
              <w:spacing w:before="0" w:after="0" w:line="240" w:lineRule="auto"/>
            </w:pPr>
            <w:r>
              <w:rPr>
                <w:rFonts w:ascii="Arial" w:hAnsi="Arial" w:cs="Arial"/>
                <w:b w:val="0"/>
                <w:i w:val="0"/>
                <w:sz w:val="18"/>
              </w:rPr>
              <w:t>Late first arrival</w:t>
            </w:r>
          </w:p>
        </w:tc>
        <w:tc>
          <w:tcPr>
            <w:tcW w:type="dxa" w:w="2860"/>
          </w:tcPr>
          <w:p>
            <w:pPr>
              <w:spacing w:before="0" w:after="0" w:line="240" w:lineRule="auto"/>
            </w:pPr>
            <w:r>
              <w:rPr>
                <w:rFonts w:ascii="Arial" w:hAnsi="Arial" w:cs="Arial"/>
                <w:b w:val="0"/>
                <w:i w:val="0"/>
                <w:sz w:val="18"/>
              </w:rPr>
              <w:t>Added to history; not current</w:t>
            </w:r>
          </w:p>
        </w:tc>
        <w:tc>
          <w:tcPr>
            <w:tcW w:type="dxa" w:w="4200"/>
          </w:tcPr>
          <w:p>
            <w:pPr>
              <w:spacing w:before="0" w:after="0" w:line="240" w:lineRule="auto"/>
            </w:pPr>
            <w:r>
              <w:rPr>
                <w:rFonts w:ascii="Arial" w:hAnsi="Arial" w:cs="Arial"/>
                <w:b w:val="0"/>
                <w:i w:val="0"/>
                <w:sz w:val="18"/>
              </w:rPr>
              <w:t>Replay (Fig. 4a)</w:t>
            </w:r>
          </w:p>
        </w:tc>
      </w:tr>
      <w:tr>
        <w:trPr>
          <w:cantSplit/>
        </w:trPr>
        <w:tc>
          <w:tcPr>
            <w:tcW w:type="dxa" w:w="2300"/>
          </w:tcPr>
          <w:p>
            <w:pPr>
              <w:spacing w:before="0" w:after="0" w:line="240" w:lineRule="auto"/>
            </w:pPr>
            <w:r>
              <w:rPr>
                <w:rFonts w:ascii="Arial" w:hAnsi="Arial" w:cs="Arial"/>
                <w:b w:val="0"/>
                <w:i w:val="0"/>
                <w:sz w:val="18"/>
              </w:rPr>
              <w:t>Loss of a source</w:t>
            </w:r>
          </w:p>
        </w:tc>
        <w:tc>
          <w:tcPr>
            <w:tcW w:type="dxa" w:w="2860"/>
          </w:tcPr>
          <w:p>
            <w:pPr>
              <w:spacing w:before="0" w:after="0" w:line="240" w:lineRule="auto"/>
            </w:pPr>
            <w:r>
              <w:rPr>
                <w:rFonts w:ascii="Arial" w:hAnsi="Arial" w:cs="Arial"/>
                <w:b w:val="0"/>
                <w:i w:val="0"/>
                <w:sz w:val="18"/>
              </w:rPr>
              <w:t>Device stale or missing; stationary node unknown; no damage state</w:t>
            </w:r>
          </w:p>
        </w:tc>
        <w:tc>
          <w:tcPr>
            <w:tcW w:type="dxa" w:w="4200"/>
          </w:tcPr>
          <w:p>
            <w:pPr>
              <w:spacing w:before="0" w:after="0" w:line="240" w:lineRule="auto"/>
            </w:pPr>
            <w:r>
              <w:rPr>
                <w:rFonts w:ascii="Arial" w:hAnsi="Arial" w:cs="Arial"/>
                <w:b w:val="0"/>
                <w:i w:val="0"/>
                <w:sz w:val="18"/>
              </w:rPr>
              <w:t>Replay (Fig. 4a)</w:t>
            </w:r>
          </w:p>
        </w:tc>
      </w:tr>
      <w:tr>
        <w:trPr>
          <w:cantSplit/>
        </w:trPr>
        <w:tc>
          <w:tcPr>
            <w:tcW w:type="dxa" w:w="2300"/>
          </w:tcPr>
          <w:p>
            <w:pPr>
              <w:spacing w:before="0" w:after="0" w:line="240" w:lineRule="auto"/>
            </w:pPr>
            <w:r>
              <w:rPr>
                <w:rFonts w:ascii="Arial" w:hAnsi="Arial" w:cs="Arial"/>
                <w:b w:val="0"/>
                <w:i w:val="0"/>
                <w:sz w:val="18"/>
              </w:rPr>
              <w:t>SOS under insufficient coverage</w:t>
            </w:r>
          </w:p>
        </w:tc>
        <w:tc>
          <w:tcPr>
            <w:tcW w:type="dxa" w:w="2860"/>
          </w:tcPr>
          <w:p>
            <w:pPr>
              <w:spacing w:before="0" w:after="0" w:line="240" w:lineRule="auto"/>
            </w:pPr>
            <w:r>
              <w:rPr>
                <w:rFonts w:ascii="Arial" w:hAnsi="Arial" w:cs="Arial"/>
                <w:b w:val="0"/>
                <w:i w:val="0"/>
                <w:sz w:val="18"/>
              </w:rPr>
              <w:t>Urgent task regardless of coverage</w:t>
            </w:r>
          </w:p>
        </w:tc>
        <w:tc>
          <w:tcPr>
            <w:tcW w:type="dxa" w:w="4200"/>
          </w:tcPr>
          <w:p>
            <w:pPr>
              <w:spacing w:before="0" w:after="0" w:line="240" w:lineRule="auto"/>
            </w:pPr>
            <w:r>
              <w:rPr>
                <w:rFonts w:ascii="Arial" w:hAnsi="Arial" w:cs="Arial"/>
                <w:b w:val="0"/>
                <w:i w:val="0"/>
                <w:sz w:val="18"/>
              </w:rPr>
              <w:t>Table 4, case C; replay</w:t>
            </w:r>
          </w:p>
        </w:tc>
      </w:tr>
      <w:tr>
        <w:trPr>
          <w:cantSplit/>
        </w:trPr>
        <w:tc>
          <w:tcPr>
            <w:tcW w:type="dxa" w:w="2300"/>
          </w:tcPr>
          <w:p>
            <w:pPr>
              <w:spacing w:before="0" w:after="0" w:line="240" w:lineRule="auto"/>
            </w:pPr>
            <w:r>
              <w:rPr>
                <w:rFonts w:ascii="Arial" w:hAnsi="Arial" w:cs="Arial"/>
                <w:b w:val="0"/>
                <w:i w:val="0"/>
                <w:sz w:val="18"/>
              </w:rPr>
              <w:t>Unknown access authorization</w:t>
            </w:r>
          </w:p>
        </w:tc>
        <w:tc>
          <w:tcPr>
            <w:tcW w:type="dxa" w:w="2860"/>
          </w:tcPr>
          <w:p>
            <w:pPr>
              <w:spacing w:before="0" w:after="0" w:line="240" w:lineRule="auto"/>
            </w:pPr>
            <w:r>
              <w:rPr>
                <w:rFonts w:ascii="Arial" w:hAnsi="Arial" w:cs="Arial"/>
                <w:b w:val="0"/>
                <w:i w:val="0"/>
                <w:sz w:val="18"/>
              </w:rPr>
              <w:t>Escalated, not dropped</w:t>
            </w:r>
          </w:p>
        </w:tc>
        <w:tc>
          <w:tcPr>
            <w:tcW w:type="dxa" w:w="4200"/>
          </w:tcPr>
          <w:p>
            <w:pPr>
              <w:spacing w:before="0" w:after="0" w:line="240" w:lineRule="auto"/>
            </w:pPr>
            <w:r>
              <w:rPr>
                <w:rFonts w:ascii="Arial" w:hAnsi="Arial" w:cs="Arial"/>
                <w:b w:val="0"/>
                <w:i w:val="0"/>
                <w:sz w:val="18"/>
              </w:rPr>
              <w:t>test_unknown_access_is_escalated_not_abandoned</w:t>
            </w:r>
          </w:p>
        </w:tc>
      </w:tr>
      <w:tr>
        <w:trPr>
          <w:cantSplit/>
        </w:trPr>
        <w:tc>
          <w:tcPr>
            <w:tcW w:type="dxa" w:w="2300"/>
          </w:tcPr>
          <w:p>
            <w:pPr>
              <w:spacing w:before="0" w:after="0" w:line="240" w:lineRule="auto"/>
            </w:pPr>
            <w:r>
              <w:rPr>
                <w:rFonts w:ascii="Arial" w:hAnsi="Arial" w:cs="Arial"/>
                <w:b w:val="0"/>
                <w:i w:val="0"/>
                <w:sz w:val="18"/>
              </w:rPr>
              <w:t>Insufficient resources</w:t>
            </w:r>
          </w:p>
        </w:tc>
        <w:tc>
          <w:tcPr>
            <w:tcW w:type="dxa" w:w="2860"/>
          </w:tcPr>
          <w:p>
            <w:pPr>
              <w:spacing w:before="0" w:after="0" w:line="240" w:lineRule="auto"/>
            </w:pPr>
            <w:r>
              <w:rPr>
                <w:rFonts w:ascii="Arial" w:hAnsi="Arial" w:cs="Arial"/>
                <w:b w:val="0"/>
                <w:i w:val="0"/>
                <w:sz w:val="18"/>
              </w:rPr>
              <w:t>INFEASIBLE; mandatory services kept</w:t>
            </w:r>
          </w:p>
        </w:tc>
        <w:tc>
          <w:tcPr>
            <w:tcW w:type="dxa" w:w="4200"/>
          </w:tcPr>
          <w:p>
            <w:pPr>
              <w:spacing w:before="0" w:after="0" w:line="240" w:lineRule="auto"/>
            </w:pPr>
            <w:r>
              <w:rPr>
                <w:rFonts w:ascii="Arial" w:hAnsi="Arial" w:cs="Arial"/>
                <w:b w:val="0"/>
                <w:i w:val="0"/>
                <w:sz w:val="18"/>
              </w:rPr>
              <w:t>test_infeasible_never_relaxed; Fig. 4c,d</w:t>
            </w:r>
          </w:p>
        </w:tc>
      </w:tr>
      <w:tr>
        <w:trPr>
          <w:cantSplit/>
        </w:trPr>
        <w:tc>
          <w:tcPr>
            <w:tcW w:type="dxa" w:w="2300"/>
          </w:tcPr>
          <w:p>
            <w:pPr>
              <w:spacing w:before="0" w:after="0" w:line="240" w:lineRule="auto"/>
            </w:pPr>
            <w:r>
              <w:rPr>
                <w:rFonts w:ascii="Arial" w:hAnsi="Arial" w:cs="Arial"/>
                <w:b w:val="0"/>
                <w:i w:val="0"/>
                <w:sz w:val="18"/>
              </w:rPr>
              <w:t>Wrong role or missing reason</w:t>
            </w:r>
          </w:p>
        </w:tc>
        <w:tc>
          <w:tcPr>
            <w:tcW w:type="dxa" w:w="2860"/>
          </w:tcPr>
          <w:p>
            <w:pPr>
              <w:spacing w:before="0" w:after="0" w:line="240" w:lineRule="auto"/>
            </w:pPr>
            <w:r>
              <w:rPr>
                <w:rFonts w:ascii="Arial" w:hAnsi="Arial" w:cs="Arial"/>
                <w:b w:val="0"/>
                <w:i w:val="0"/>
                <w:sz w:val="18"/>
              </w:rPr>
              <w:t>Refused; nothing executed</w:t>
            </w:r>
          </w:p>
        </w:tc>
        <w:tc>
          <w:tcPr>
            <w:tcW w:type="dxa" w:w="4200"/>
          </w:tcPr>
          <w:p>
            <w:pPr>
              <w:spacing w:before="0" w:after="0" w:line="240" w:lineRule="auto"/>
            </w:pPr>
            <w:r>
              <w:rPr>
                <w:rFonts w:ascii="Arial" w:hAnsi="Arial" w:cs="Arial"/>
                <w:b w:val="0"/>
                <w:i w:val="0"/>
                <w:sz w:val="18"/>
              </w:rPr>
              <w:t>test_wrong_role_or_missing_reason_refused</w:t>
            </w:r>
          </w:p>
        </w:tc>
      </w:tr>
    </w:tbl>
    <w:p>
      <w:pPr>
        <w:spacing w:before="0" w:after="120" w:line="240" w:lineRule="auto"/>
      </w:pPr>
    </w:p>
    <w:p>
      <w:pPr>
        <w:pStyle w:val="Rubrik1"/>
        <w:keepNext/>
        <w:numPr>
          <w:ilvl w:val="1"/>
          <w:numId w:val="1"/>
        </w:numPr>
        <w:spacing w:before="180" w:after="120" w:line="240" w:lineRule="auto"/>
        <w:ind w:left="576" w:hanging="576"/>
        <w:rPr>
          <w:rFonts w:ascii="Arial" w:hAnsi="Arial" w:cs="Arial"/>
          <w:b/>
          <w:sz w:val="22"/>
        </w:rPr>
      </w:pPr>
      <w:r>
        <w:rPr>
          <w:rFonts w:ascii="Arial" w:hAnsi="Arial" w:cs="Arial"/>
          <w:b/>
          <w:i w:val="0"/>
          <w:sz w:val="22"/>
        </w:rPr>
        <w:t>Sample code snippets analysis</w:t>
      </w:r>
    </w:p>
    <w:p>
      <w:pPr>
        <w:spacing w:before="0" w:after="120" w:line="240" w:lineRule="auto"/>
      </w:pPr>
      <w:r>
        <w:rPr>
          <w:rFonts w:ascii="Arial" w:hAnsi="Arial" w:cs="Arial"/>
          <w:b w:val="0"/>
          <w:i w:val="0"/>
          <w:sz w:val="22"/>
        </w:rPr>
        <w:t>The notebooks run in Google Colab or local Jupyter: the user uploads the notebook and runs all cells (local execution was tested for this paper; the hosted Colab interface was not). The commands below, run from the release directories, reproduce the tests and checks of Section 3, run decision support on a dataset directory and build the bench-prototype firmware; the reproduction exits with a non-zero status on mismatch:</w:t>
      </w:r>
    </w:p>
    <w:p>
      <w:pPr>
        <w:shd w:val="clear" w:color="auto" w:fill="F2F2F2"/>
        <w:spacing w:before="0" w:after="0" w:line="240" w:lineRule="auto"/>
        <w:ind w:left="360"/>
      </w:pPr>
      <w:r>
        <w:rPr>
          <w:rFonts w:ascii="Courier New" w:hAnsi="Courier New" w:cs="Courier New"/>
          <w:color w:val="555555"/>
          <w:sz w:val="17"/>
        </w:rPr>
        <w:t># UMSF Incident Lab (release directory)</w:t>
      </w:r>
    </w:p>
    <w:p>
      <w:pPr>
        <w:shd w:val="clear" w:color="auto" w:fill="F2F2F2"/>
        <w:spacing w:before="0" w:after="0" w:line="240" w:lineRule="auto"/>
        <w:ind w:left="360"/>
      </w:pPr>
      <w:r>
        <w:rPr>
          <w:rFonts w:ascii="Courier New" w:hAnsi="Courier New" w:cs="Courier New"/>
          <w:sz w:val="17"/>
        </w:rPr>
        <w:t>PYTHONPATH=src python3 -m unittest discover -s tests</w:t>
      </w:r>
    </w:p>
    <w:p>
      <w:pPr>
        <w:shd w:val="clear" w:color="auto" w:fill="F2F2F2"/>
        <w:spacing w:before="0" w:after="0" w:line="240" w:lineRule="auto"/>
        <w:ind w:left="360"/>
      </w:pPr>
      <w:r>
        <w:rPr>
          <w:rFonts w:ascii="Courier New" w:hAnsi="Courier New" w:cs="Courier New"/>
          <w:sz w:val="17"/>
        </w:rPr>
        <w:t>PYTHONPATH=src python3 -m umsf_dataset reproduce</w:t>
      </w:r>
    </w:p>
    <w:p>
      <w:pPr>
        <w:shd w:val="clear" w:color="auto" w:fill="F2F2F2"/>
        <w:spacing w:before="0" w:after="0" w:line="240" w:lineRule="auto"/>
        <w:ind w:left="360"/>
      </w:pPr>
      <w:r>
        <w:rPr>
          <w:rFonts w:ascii="Courier New" w:hAnsi="Courier New" w:cs="Courier New"/>
          <w:sz w:val="17"/>
        </w:rPr>
        <w:t xml:space="preserve"> </w:t>
      </w:r>
    </w:p>
    <w:p>
      <w:pPr>
        <w:shd w:val="clear" w:color="auto" w:fill="F2F2F2"/>
        <w:spacing w:before="0" w:after="0" w:line="240" w:lineRule="auto"/>
        <w:ind w:left="360"/>
      </w:pPr>
      <w:r>
        <w:rPr>
          <w:rFonts w:ascii="Courier New" w:hAnsi="Courier New" w:cs="Courier New"/>
          <w:color w:val="555555"/>
          <w:sz w:val="17"/>
        </w:rPr>
        <w:t># UMSF Incident AI Agent Lab (package directory)</w:t>
      </w:r>
    </w:p>
    <w:p>
      <w:pPr>
        <w:shd w:val="clear" w:color="auto" w:fill="F2F2F2"/>
        <w:spacing w:before="0" w:after="0" w:line="240" w:lineRule="auto"/>
        <w:ind w:left="360"/>
      </w:pPr>
      <w:r>
        <w:rPr>
          <w:rFonts w:ascii="Courier New" w:hAnsi="Courier New" w:cs="Courier New"/>
          <w:sz w:val="17"/>
        </w:rPr>
        <w:t>python -m unittest discover -s tests -t tests</w:t>
      </w:r>
    </w:p>
    <w:p>
      <w:pPr>
        <w:shd w:val="clear" w:color="auto" w:fill="F2F2F2"/>
        <w:spacing w:before="0" w:after="0" w:line="240" w:lineRule="auto"/>
        <w:ind w:left="360"/>
      </w:pPr>
      <w:r>
        <w:rPr>
          <w:rFonts w:ascii="Courier New" w:hAnsi="Courier New" w:cs="Courier New"/>
          <w:sz w:val="17"/>
        </w:rPr>
        <w:t>python -m umsf_agent reproduce-paper</w:t>
      </w:r>
    </w:p>
    <w:p>
      <w:pPr>
        <w:shd w:val="clear" w:color="auto" w:fill="F2F2F2"/>
        <w:spacing w:before="0" w:after="0" w:line="240" w:lineRule="auto"/>
        <w:ind w:left="360"/>
      </w:pPr>
      <w:r>
        <w:rPr>
          <w:rFonts w:ascii="Courier New" w:hAnsi="Courier New" w:cs="Courier New"/>
          <w:sz w:val="17"/>
        </w:rPr>
        <w:t>umsf-agent run --data &lt;dataset dir&gt; --out &lt;output dir&gt;</w:t>
      </w:r>
    </w:p>
    <w:p>
      <w:pPr>
        <w:shd w:val="clear" w:color="auto" w:fill="F2F2F2"/>
        <w:spacing w:before="0" w:after="0" w:line="240" w:lineRule="auto"/>
        <w:ind w:left="360"/>
      </w:pPr>
      <w:r>
        <w:rPr>
          <w:rFonts w:ascii="Courier New" w:hAnsi="Courier New" w:cs="Courier New"/>
          <w:sz w:val="17"/>
        </w:rPr>
        <w:t xml:space="preserve"> </w:t>
      </w:r>
    </w:p>
    <w:p>
      <w:pPr>
        <w:shd w:val="clear" w:color="auto" w:fill="F2F2F2"/>
        <w:spacing w:before="0" w:after="0" w:line="240" w:lineRule="auto"/>
        <w:ind w:left="360"/>
      </w:pPr>
      <w:r>
        <w:rPr>
          <w:rFonts w:ascii="Courier New" w:hAnsi="Courier New" w:cs="Courier New"/>
          <w:color w:val="555555"/>
          <w:sz w:val="17"/>
        </w:rPr>
        <w:t># UMSF Firmware Lab (firmware directory)</w:t>
      </w:r>
    </w:p>
    <w:p>
      <w:pPr>
        <w:shd w:val="clear" w:color="auto" w:fill="F2F2F2"/>
        <w:spacing w:before="0" w:after="0" w:line="240" w:lineRule="auto"/>
        <w:ind w:left="360"/>
      </w:pPr>
      <w:r>
        <w:rPr>
          <w:rFonts w:ascii="Courier New" w:hAnsi="Courier New" w:cs="Courier New"/>
          <w:sz w:val="17"/>
        </w:rPr>
        <w:t>make -C test/host</w:t>
      </w:r>
    </w:p>
    <w:p>
      <w:pPr>
        <w:shd w:val="clear" w:color="auto" w:fill="F2F2F2"/>
        <w:spacing w:before="0" w:after="0" w:line="240" w:lineRule="auto"/>
        <w:ind w:left="360"/>
      </w:pPr>
      <w:r>
        <w:rPr>
          <w:rFonts w:ascii="Courier New" w:hAnsi="Courier New" w:cs="Courier New"/>
          <w:sz w:val="17"/>
        </w:rPr>
        <w:t xml:space="preserve"> </w:t>
      </w:r>
    </w:p>
    <w:p>
      <w:pPr>
        <w:shd w:val="clear" w:color="auto" w:fill="F2F2F2"/>
        <w:spacing w:before="0" w:after="0" w:line="240" w:lineRule="auto"/>
        <w:ind w:left="360"/>
      </w:pPr>
      <w:r>
        <w:rPr>
          <w:rFonts w:ascii="Courier New" w:hAnsi="Courier New" w:cs="Courier New"/>
          <w:color w:val="555555"/>
          <w:sz w:val="17"/>
        </w:rPr>
        <w:t># UMSF Bench Prototype (archive directory; Section 3)</w:t>
      </w:r>
    </w:p>
    <w:p>
      <w:pPr>
        <w:shd w:val="clear" w:color="auto" w:fill="F2F2F2"/>
        <w:spacing w:before="0" w:after="0" w:line="240" w:lineRule="auto"/>
        <w:ind w:left="360"/>
      </w:pPr>
      <w:r>
        <w:rPr>
          <w:rFonts w:ascii="Courier New" w:hAnsi="Courier New" w:cs="Courier New"/>
          <w:sz w:val="17"/>
        </w:rPr>
        <w:t>cd firmware/gateway  &amp;&amp; pio run -t upload</w:t>
      </w:r>
    </w:p>
    <w:p>
      <w:pPr>
        <w:shd w:val="clear" w:color="auto" w:fill="F2F2F2"/>
        <w:spacing w:before="0" w:after="0" w:line="240" w:lineRule="auto"/>
        <w:ind w:left="360"/>
      </w:pPr>
      <w:r>
        <w:rPr>
          <w:rFonts w:ascii="Courier New" w:hAnsi="Courier New" w:cs="Courier New"/>
          <w:sz w:val="17"/>
        </w:rPr>
        <w:t>cd firmware/wearable &amp;&amp; pio run -t upload   # set NODE_ID first</w:t>
      </w:r>
    </w:p>
    <w:p>
      <w:pPr>
        <w:shd w:val="clear" w:color="auto" w:fill="F2F2F2"/>
        <w:spacing w:before="0" w:after="160" w:line="240" w:lineRule="auto"/>
        <w:ind w:left="360"/>
      </w:pPr>
      <w:r>
        <w:rPr>
          <w:rFonts w:ascii="Courier New" w:hAnsi="Courier New" w:cs="Courier New"/>
          <w:sz w:val="17"/>
        </w:rPr>
        <w:t>python3 interface/mock_gateway.py --scenario impact</w:t>
      </w:r>
    </w:p>
    <w:p>
      <w:pPr>
        <w:spacing w:before="0" w:after="120" w:line="240" w:lineRule="auto"/>
      </w:pPr>
      <w:r>
        <w:rPr>
          <w:rFonts w:ascii="Arial" w:hAnsi="Arial" w:cs="Arial"/>
          <w:b w:val="0"/>
          <w:i w:val="0"/>
          <w:sz w:val="22"/>
        </w:rPr>
        <w:t>Each release ships README.md, CITATION.cff, LICENSE, a changelog, requirements files, docs/, the executed notebook with its HTML report and a SHA256SUMS inventory.</w:t>
      </w:r>
    </w:p>
    <w:p>
      <w:pPr>
        <w:pStyle w:val="Rubrik1"/>
        <w:keepNext/>
        <w:numPr>
          <w:ilvl w:val="0"/>
          <w:numId w:val="1"/>
        </w:numPr>
        <w:spacing w:before="240" w:after="120" w:line="240" w:lineRule="auto"/>
        <w:ind w:left="432" w:hanging="432"/>
        <w:rPr>
          <w:rFonts w:ascii="Arial" w:hAnsi="Arial" w:cs="Arial"/>
          <w:b/>
          <w:sz w:val="22"/>
        </w:rPr>
      </w:pPr>
      <w:r>
        <w:rPr>
          <w:rFonts w:ascii="Arial" w:hAnsi="Arial" w:cs="Arial"/>
          <w:b/>
          <w:i w:val="0"/>
          <w:sz w:val="22"/>
        </w:rPr>
        <w:t>Illustrative examples</w:t>
      </w:r>
    </w:p>
    <w:p>
      <w:pPr>
        <w:spacing w:before="0" w:after="120" w:line="240" w:lineRule="auto"/>
      </w:pPr>
      <w:r>
        <w:rPr>
          <w:rFonts w:ascii="Arial" w:hAnsi="Arial" w:cs="Arial"/>
          <w:b w:val="0"/>
          <w:i w:val="0"/>
          <w:sz w:val="22"/>
        </w:rPr>
        <w:t>All examples use synthetic or transcribed inputs, labelled in the data_origin field; release figure numbers refer to [15–17]. The only exception is the bench run of the prototype at the end of this section, with uncalibrated readings.</w:t>
      </w:r>
    </w:p>
    <w:p>
      <w:pPr>
        <w:spacing w:before="0" w:after="120" w:line="240" w:lineRule="auto"/>
      </w:pPr>
      <w:r>
        <w:rPr>
          <w:rFonts w:ascii="Arial" w:hAnsi="Arial" w:cs="Arial"/>
          <w:b w:val="0"/>
          <w:i/>
          <w:sz w:val="22"/>
        </w:rPr>
        <w:t>Gaps and delays.</w:t>
      </w:r>
      <w:r>
        <w:rPr>
          <w:rFonts w:ascii="Arial" w:hAnsi="Arial" w:cs="Arial"/>
          <w:b w:val="0"/>
          <w:i w:val="0"/>
          <w:sz w:val="22"/>
        </w:rPr>
        <w:t xml:space="preserve"> The incident scenario of UMSF Incident Lab has two sites, twelve personnel devices at 10 s cadence and five stationary nodes, with 2,024 physiological and 7,660 stationary records and 30 events over 30 min. It is replayed at successive receipt-time cutoffs (Fig. 4a). Delayed personnel records appear as stale rather than current; a stationary node whose link is lost changes to unknown for the rest of the scenario instead of receiving a damage state; and records that arrive late extend the history without raising on-time completeness at the original cutoff.</w:t>
      </w:r>
    </w:p>
    <w:p>
      <w:pPr>
        <w:spacing w:before="0" w:after="120" w:line="240" w:lineRule="auto"/>
      </w:pPr>
      <w:r>
        <w:rPr>
          <w:rFonts w:ascii="Arial" w:hAnsi="Arial" w:cs="Arial"/>
          <w:b w:val="0"/>
          <w:i/>
          <w:sz w:val="22"/>
        </w:rPr>
        <w:t>SOS under insufficient group coverage.</w:t>
      </w:r>
      <w:r>
        <w:rPr>
          <w:rFonts w:ascii="Arial" w:hAnsi="Arial" w:cs="Arial"/>
          <w:b w:val="0"/>
          <w:i w:val="0"/>
          <w:sz w:val="22"/>
        </w:rPr>
        <w:t xml:space="preserve"> Three constructed cases with twelve expected workers and illustrative thresholds </w:t>
      </w:r>
      <w:r>
        <w:rPr>
          <w:rFonts w:ascii="Arial" w:hAnsi="Arial" w:cs="Arial"/>
          <w:b w:val="0"/>
          <w:i/>
          <w:sz w:val="22"/>
        </w:rPr>
        <w:t>n</w:t>
      </w:r>
      <w:r>
        <w:rPr>
          <w:rFonts w:ascii="Arial" w:hAnsi="Arial" w:cs="Arial"/>
          <w:b w:val="0"/>
          <w:i w:val="0"/>
          <w:sz w:val="22"/>
          <w:vertAlign w:val="subscript"/>
        </w:rPr>
        <w:t>min</w:t>
      </w:r>
      <w:r>
        <w:rPr>
          <w:rFonts w:ascii="Arial" w:hAnsi="Arial" w:cs="Arial"/>
          <w:b w:val="0"/>
          <w:i w:val="0"/>
          <w:sz w:val="22"/>
        </w:rPr>
        <w:t xml:space="preserve"> = 6, </w:t>
      </w:r>
      <w:r>
        <w:rPr>
          <w:rFonts w:ascii="Arial" w:hAnsi="Arial" w:cs="Arial"/>
          <w:b w:val="0"/>
          <w:i/>
          <w:sz w:val="22"/>
        </w:rPr>
        <w:t>C</w:t>
      </w:r>
      <w:r>
        <w:rPr>
          <w:rFonts w:ascii="Arial" w:hAnsi="Arial" w:cs="Arial"/>
          <w:b w:val="0"/>
          <w:i w:val="0"/>
          <w:sz w:val="22"/>
          <w:vertAlign w:val="subscript"/>
        </w:rPr>
        <w:t>min</w:t>
      </w:r>
      <w:r>
        <w:rPr>
          <w:rFonts w:ascii="Arial" w:hAnsi="Arial" w:cs="Arial"/>
          <w:b w:val="0"/>
          <w:i w:val="0"/>
          <w:sz w:val="22"/>
        </w:rPr>
        <w:t xml:space="preserve"> = 0.70, </w:t>
      </w:r>
      <w:r>
        <w:rPr>
          <w:rFonts w:ascii="Arial" w:hAnsi="Arial" w:cs="Arial"/>
          <w:b w:val="0"/>
          <w:i/>
          <w:sz w:val="22"/>
        </w:rPr>
        <w:t>m</w:t>
      </w:r>
      <w:r>
        <w:rPr>
          <w:rFonts w:ascii="Arial" w:hAnsi="Arial" w:cs="Arial"/>
          <w:b w:val="0"/>
          <w:i w:val="0"/>
          <w:sz w:val="22"/>
          <w:vertAlign w:val="subscript"/>
        </w:rPr>
        <w:t>min</w:t>
      </w:r>
      <w:r>
        <w:rPr>
          <w:rFonts w:ascii="Arial" w:hAnsi="Arial" w:cs="Arial"/>
          <w:b w:val="0"/>
          <w:i w:val="0"/>
          <w:sz w:val="22"/>
        </w:rPr>
        <w:t xml:space="preserve"> = 3 and </w:t>
      </w:r>
      <w:r>
        <w:rPr>
          <w:rFonts w:ascii="Arial" w:hAnsi="Arial" w:cs="Arial"/>
          <w:b w:val="0"/>
          <w:i/>
          <w:sz w:val="22"/>
        </w:rPr>
        <w:t>θ</w:t>
      </w:r>
      <w:r>
        <w:rPr>
          <w:rFonts w:ascii="Arial" w:hAnsi="Arial" w:cs="Arial"/>
          <w:b w:val="0"/>
          <w:i/>
          <w:sz w:val="22"/>
          <w:vertAlign w:val="subscript"/>
        </w:rPr>
        <w:t>g</w:t>
      </w:r>
      <w:r>
        <w:rPr>
          <w:rFonts w:ascii="Arial" w:hAnsi="Arial" w:cs="Arial"/>
          <w:b w:val="0"/>
          <w:i w:val="0"/>
          <w:sz w:val="22"/>
        </w:rPr>
        <w:t xml:space="preserve"> = 0.30 show how coverage changes the meaning of a group proportion (Table 4; Fig. S8). In case B the affected proportion is high, but only four of twelve workers are observed, so the gate refuses a group conclusion while the individual concerns remain visible. In case C one worker requests help, and the urgent pathway activates without any group threshold. The thresholds illustrate the rule; they are not clinical values.</w:t>
      </w:r>
    </w:p>
    <w:p>
      <w:pPr>
        <w:keepNext/>
        <w:keepLines/>
        <w:spacing w:before="120" w:after="80" w:line="240" w:lineRule="auto"/>
      </w:pPr>
      <w:r>
        <w:rPr>
          <w:rFonts w:ascii="Arial" w:hAnsi="Arial" w:cs="Arial"/>
          <w:b/>
          <w:i w:val="0"/>
          <w:sz w:val="19"/>
        </w:rPr>
        <w:t>Table 4.</w:t>
      </w:r>
      <w:r>
        <w:rPr>
          <w:rFonts w:ascii="Arial" w:hAnsi="Arial" w:cs="Arial"/>
          <w:b w:val="0"/>
          <w:i w:val="0"/>
          <w:sz w:val="19"/>
        </w:rPr>
        <w:t xml:space="preserve"> Constructed coverage cases (no participant data).</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firstColumn="1" w:firstRow="1" w:lastColumn="0" w:lastRow="0" w:noHBand="0" w:noVBand="1" w:val="04A0"/>
      </w:tblPr>
      <w:tblGrid>
        <w:gridCol w:w="900"/>
        <w:gridCol w:w="1500"/>
        <w:gridCol w:w="1500"/>
        <w:gridCol w:w="1300"/>
        <w:gridCol w:w="1500"/>
        <w:gridCol w:w="2660"/>
      </w:tblGrid>
      <w:tr>
        <w:trPr>
          <w:tblHeader/>
          <w:cantSplit/>
        </w:trPr>
        <w:tc>
          <w:tcPr>
            <w:tcW w:type="dxa" w:w="900"/>
            <w:shd w:val="clear" w:color="auto" w:fill="F2F2F2"/>
          </w:tcPr>
          <w:p>
            <w:pPr>
              <w:spacing w:before="0" w:after="0" w:line="240" w:lineRule="auto"/>
            </w:pPr>
            <w:r>
              <w:rPr>
                <w:rFonts w:ascii="Arial" w:hAnsi="Arial" w:cs="Arial"/>
                <w:b/>
                <w:i w:val="0"/>
                <w:sz w:val="18"/>
              </w:rPr>
              <w:t>Case</w:t>
            </w:r>
          </w:p>
        </w:tc>
        <w:tc>
          <w:tcPr>
            <w:tcW w:type="dxa" w:w="1500"/>
            <w:shd w:val="clear" w:color="auto" w:fill="F2F2F2"/>
          </w:tcPr>
          <w:p>
            <w:pPr>
              <w:spacing w:before="0" w:after="0" w:line="240" w:lineRule="auto"/>
            </w:pPr>
            <w:r>
              <w:rPr>
                <w:rFonts w:ascii="Arial" w:hAnsi="Arial" w:cs="Arial"/>
                <w:b/>
                <w:i w:val="0"/>
                <w:sz w:val="18"/>
              </w:rPr>
              <w:t>Expected / valid</w:t>
            </w:r>
          </w:p>
        </w:tc>
        <w:tc>
          <w:tcPr>
            <w:tcW w:type="dxa" w:w="1500"/>
            <w:shd w:val="clear" w:color="auto" w:fill="F2F2F2"/>
          </w:tcPr>
          <w:p>
            <w:pPr>
              <w:spacing w:before="0" w:after="0" w:line="240" w:lineRule="auto"/>
            </w:pPr>
            <w:r>
              <w:rPr>
                <w:rFonts w:ascii="Arial" w:hAnsi="Arial" w:cs="Arial"/>
                <w:b/>
                <w:i w:val="0"/>
                <w:sz w:val="18"/>
              </w:rPr>
              <w:t>Persistent flags</w:t>
            </w:r>
          </w:p>
        </w:tc>
        <w:tc>
          <w:tcPr>
            <w:tcW w:type="dxa" w:w="1300"/>
            <w:shd w:val="clear" w:color="auto" w:fill="F2F2F2"/>
          </w:tcPr>
          <w:p>
            <w:pPr>
              <w:spacing w:before="0" w:after="0" w:line="240" w:lineRule="auto"/>
            </w:pPr>
            <w:r>
              <w:rPr>
                <w:rFonts w:ascii="Arial" w:hAnsi="Arial" w:cs="Arial"/>
                <w:b/>
                <w:i w:val="0"/>
                <w:sz w:val="18"/>
              </w:rPr>
              <w:t>Coverage</w:t>
            </w:r>
          </w:p>
        </w:tc>
        <w:tc>
          <w:tcPr>
            <w:tcW w:type="dxa" w:w="1500"/>
            <w:shd w:val="clear" w:color="auto" w:fill="F2F2F2"/>
          </w:tcPr>
          <w:p>
            <w:pPr>
              <w:spacing w:before="0" w:after="0" w:line="240" w:lineRule="auto"/>
            </w:pPr>
            <w:r>
              <w:rPr>
                <w:rFonts w:ascii="Arial" w:hAnsi="Arial" w:cs="Arial"/>
                <w:b/>
                <w:i w:val="0"/>
                <w:sz w:val="18"/>
              </w:rPr>
              <w:t>Affected proportion</w:t>
            </w:r>
          </w:p>
        </w:tc>
        <w:tc>
          <w:tcPr>
            <w:tcW w:type="dxa" w:w="2660"/>
            <w:shd w:val="clear" w:color="auto" w:fill="F2F2F2"/>
          </w:tcPr>
          <w:p>
            <w:pPr>
              <w:spacing w:before="0" w:after="0" w:line="240" w:lineRule="auto"/>
            </w:pPr>
            <w:r>
              <w:rPr>
                <w:rFonts w:ascii="Arial" w:hAnsi="Arial" w:cs="Arial"/>
                <w:b/>
                <w:i w:val="0"/>
                <w:sz w:val="18"/>
              </w:rPr>
              <w:t>Output</w:t>
            </w:r>
          </w:p>
        </w:tc>
      </w:tr>
      <w:tr>
        <w:trPr>
          <w:cantSplit/>
        </w:trPr>
        <w:tc>
          <w:tcPr>
            <w:tcW w:type="dxa" w:w="900"/>
          </w:tcPr>
          <w:p>
            <w:pPr>
              <w:spacing w:before="0" w:after="0" w:line="240" w:lineRule="auto"/>
            </w:pPr>
            <w:r>
              <w:rPr>
                <w:rFonts w:ascii="Arial" w:hAnsi="Arial" w:cs="Arial"/>
                <w:b w:val="0"/>
                <w:i w:val="0"/>
                <w:sz w:val="18"/>
              </w:rPr>
              <w:t>A</w:t>
            </w:r>
          </w:p>
        </w:tc>
        <w:tc>
          <w:tcPr>
            <w:tcW w:type="dxa" w:w="1500"/>
          </w:tcPr>
          <w:p>
            <w:pPr>
              <w:spacing w:before="0" w:after="0" w:line="240" w:lineRule="auto"/>
            </w:pPr>
            <w:r>
              <w:rPr>
                <w:rFonts w:ascii="Arial" w:hAnsi="Arial" w:cs="Arial"/>
                <w:b w:val="0"/>
                <w:i w:val="0"/>
                <w:sz w:val="18"/>
              </w:rPr>
              <w:t>12 / 10</w:t>
            </w:r>
          </w:p>
        </w:tc>
        <w:tc>
          <w:tcPr>
            <w:tcW w:type="dxa" w:w="1500"/>
          </w:tcPr>
          <w:p>
            <w:pPr>
              <w:spacing w:before="0" w:after="0" w:line="240" w:lineRule="auto"/>
            </w:pPr>
            <w:r>
              <w:rPr>
                <w:rFonts w:ascii="Arial" w:hAnsi="Arial" w:cs="Arial"/>
                <w:b w:val="0"/>
                <w:i w:val="0"/>
                <w:sz w:val="18"/>
              </w:rPr>
              <w:t>4</w:t>
            </w:r>
          </w:p>
        </w:tc>
        <w:tc>
          <w:tcPr>
            <w:tcW w:type="dxa" w:w="1300"/>
          </w:tcPr>
          <w:p>
            <w:pPr>
              <w:spacing w:before="0" w:after="0" w:line="240" w:lineRule="auto"/>
            </w:pPr>
            <w:r>
              <w:rPr>
                <w:rFonts w:ascii="Arial" w:hAnsi="Arial" w:cs="Arial"/>
                <w:b w:val="0"/>
                <w:i w:val="0"/>
                <w:sz w:val="18"/>
              </w:rPr>
              <w:t>83.3%</w:t>
            </w:r>
          </w:p>
        </w:tc>
        <w:tc>
          <w:tcPr>
            <w:tcW w:type="dxa" w:w="1500"/>
          </w:tcPr>
          <w:p>
            <w:pPr>
              <w:spacing w:before="0" w:after="0" w:line="240" w:lineRule="auto"/>
            </w:pPr>
            <w:r>
              <w:rPr>
                <w:rFonts w:ascii="Arial" w:hAnsi="Arial" w:cs="Arial"/>
                <w:b w:val="0"/>
                <w:i w:val="0"/>
                <w:sz w:val="18"/>
              </w:rPr>
              <w:t>40.0%</w:t>
            </w:r>
          </w:p>
        </w:tc>
        <w:tc>
          <w:tcPr>
            <w:tcW w:type="dxa" w:w="2660"/>
          </w:tcPr>
          <w:p>
            <w:pPr>
              <w:spacing w:before="0" w:after="0" w:line="240" w:lineRule="auto"/>
            </w:pPr>
            <w:r>
              <w:rPr>
                <w:rFonts w:ascii="Arial" w:hAnsi="Arial" w:cs="Arial"/>
                <w:b w:val="0"/>
                <w:i w:val="0"/>
                <w:sz w:val="18"/>
              </w:rPr>
              <w:t>Possible group event</w:t>
            </w:r>
          </w:p>
        </w:tc>
      </w:tr>
      <w:tr>
        <w:trPr>
          <w:cantSplit/>
        </w:trPr>
        <w:tc>
          <w:tcPr>
            <w:tcW w:type="dxa" w:w="900"/>
          </w:tcPr>
          <w:p>
            <w:pPr>
              <w:spacing w:before="0" w:after="0" w:line="240" w:lineRule="auto"/>
            </w:pPr>
            <w:r>
              <w:rPr>
                <w:rFonts w:ascii="Arial" w:hAnsi="Arial" w:cs="Arial"/>
                <w:b w:val="0"/>
                <w:i w:val="0"/>
                <w:sz w:val="18"/>
              </w:rPr>
              <w:t>B</w:t>
            </w:r>
          </w:p>
        </w:tc>
        <w:tc>
          <w:tcPr>
            <w:tcW w:type="dxa" w:w="1500"/>
          </w:tcPr>
          <w:p>
            <w:pPr>
              <w:spacing w:before="0" w:after="0" w:line="240" w:lineRule="auto"/>
            </w:pPr>
            <w:r>
              <w:rPr>
                <w:rFonts w:ascii="Arial" w:hAnsi="Arial" w:cs="Arial"/>
                <w:b w:val="0"/>
                <w:i w:val="0"/>
                <w:sz w:val="18"/>
              </w:rPr>
              <w:t>12 / 4</w:t>
            </w:r>
          </w:p>
        </w:tc>
        <w:tc>
          <w:tcPr>
            <w:tcW w:type="dxa" w:w="1500"/>
          </w:tcPr>
          <w:p>
            <w:pPr>
              <w:spacing w:before="0" w:after="0" w:line="240" w:lineRule="auto"/>
            </w:pPr>
            <w:r>
              <w:rPr>
                <w:rFonts w:ascii="Arial" w:hAnsi="Arial" w:cs="Arial"/>
                <w:b w:val="0"/>
                <w:i w:val="0"/>
                <w:sz w:val="18"/>
              </w:rPr>
              <w:t>3</w:t>
            </w:r>
          </w:p>
        </w:tc>
        <w:tc>
          <w:tcPr>
            <w:tcW w:type="dxa" w:w="1300"/>
          </w:tcPr>
          <w:p>
            <w:pPr>
              <w:spacing w:before="0" w:after="0" w:line="240" w:lineRule="auto"/>
            </w:pPr>
            <w:r>
              <w:rPr>
                <w:rFonts w:ascii="Arial" w:hAnsi="Arial" w:cs="Arial"/>
                <w:b w:val="0"/>
                <w:i w:val="0"/>
                <w:sz w:val="18"/>
              </w:rPr>
              <w:t>33.3%</w:t>
            </w:r>
          </w:p>
        </w:tc>
        <w:tc>
          <w:tcPr>
            <w:tcW w:type="dxa" w:w="1500"/>
          </w:tcPr>
          <w:p>
            <w:pPr>
              <w:spacing w:before="0" w:after="0" w:line="240" w:lineRule="auto"/>
            </w:pPr>
            <w:r>
              <w:rPr>
                <w:rFonts w:ascii="Arial" w:hAnsi="Arial" w:cs="Arial"/>
                <w:b w:val="0"/>
                <w:i w:val="0"/>
                <w:sz w:val="18"/>
              </w:rPr>
              <w:t>75.0%</w:t>
            </w:r>
          </w:p>
        </w:tc>
        <w:tc>
          <w:tcPr>
            <w:tcW w:type="dxa" w:w="2660"/>
          </w:tcPr>
          <w:p>
            <w:pPr>
              <w:spacing w:before="0" w:after="0" w:line="240" w:lineRule="auto"/>
            </w:pPr>
            <w:r>
              <w:rPr>
                <w:rFonts w:ascii="Arial" w:hAnsi="Arial" w:cs="Arial"/>
                <w:b w:val="0"/>
                <w:i w:val="0"/>
                <w:sz w:val="18"/>
              </w:rPr>
              <w:t>Insufficient group evidence; individual review</w:t>
            </w:r>
          </w:p>
        </w:tc>
      </w:tr>
      <w:tr>
        <w:trPr>
          <w:cantSplit/>
        </w:trPr>
        <w:tc>
          <w:tcPr>
            <w:tcW w:type="dxa" w:w="900"/>
          </w:tcPr>
          <w:p>
            <w:pPr>
              <w:spacing w:before="0" w:after="0" w:line="240" w:lineRule="auto"/>
            </w:pPr>
            <w:r>
              <w:rPr>
                <w:rFonts w:ascii="Arial" w:hAnsi="Arial" w:cs="Arial"/>
                <w:b w:val="0"/>
                <w:i w:val="0"/>
                <w:sz w:val="18"/>
              </w:rPr>
              <w:t>C</w:t>
            </w:r>
          </w:p>
        </w:tc>
        <w:tc>
          <w:tcPr>
            <w:tcW w:type="dxa" w:w="1500"/>
          </w:tcPr>
          <w:p>
            <w:pPr>
              <w:spacing w:before="0" w:after="0" w:line="240" w:lineRule="auto"/>
            </w:pPr>
            <w:r>
              <w:rPr>
                <w:rFonts w:ascii="Arial" w:hAnsi="Arial" w:cs="Arial"/>
                <w:b w:val="0"/>
                <w:i w:val="0"/>
                <w:sz w:val="18"/>
              </w:rPr>
              <w:t>12 / 10</w:t>
            </w:r>
          </w:p>
        </w:tc>
        <w:tc>
          <w:tcPr>
            <w:tcW w:type="dxa" w:w="1500"/>
          </w:tcPr>
          <w:p>
            <w:pPr>
              <w:spacing w:before="0" w:after="0" w:line="240" w:lineRule="auto"/>
            </w:pPr>
            <w:r>
              <w:rPr>
                <w:rFonts w:ascii="Arial" w:hAnsi="Arial" w:cs="Arial"/>
                <w:b w:val="0"/>
                <w:i w:val="0"/>
                <w:sz w:val="18"/>
              </w:rPr>
              <w:t>1</w:t>
            </w:r>
          </w:p>
        </w:tc>
        <w:tc>
          <w:tcPr>
            <w:tcW w:type="dxa" w:w="1300"/>
          </w:tcPr>
          <w:p>
            <w:pPr>
              <w:spacing w:before="0" w:after="0" w:line="240" w:lineRule="auto"/>
            </w:pPr>
            <w:r>
              <w:rPr>
                <w:rFonts w:ascii="Arial" w:hAnsi="Arial" w:cs="Arial"/>
                <w:b w:val="0"/>
                <w:i w:val="0"/>
                <w:sz w:val="18"/>
              </w:rPr>
              <w:t>83.3%</w:t>
            </w:r>
          </w:p>
        </w:tc>
        <w:tc>
          <w:tcPr>
            <w:tcW w:type="dxa" w:w="1500"/>
          </w:tcPr>
          <w:p>
            <w:pPr>
              <w:spacing w:before="0" w:after="0" w:line="240" w:lineRule="auto"/>
            </w:pPr>
            <w:r>
              <w:rPr>
                <w:rFonts w:ascii="Arial" w:hAnsi="Arial" w:cs="Arial"/>
                <w:b w:val="0"/>
                <w:i w:val="0"/>
                <w:sz w:val="18"/>
              </w:rPr>
              <w:t>10.0%</w:t>
            </w:r>
          </w:p>
        </w:tc>
        <w:tc>
          <w:tcPr>
            <w:tcW w:type="dxa" w:w="2660"/>
          </w:tcPr>
          <w:p>
            <w:pPr>
              <w:spacing w:before="0" w:after="0" w:line="240" w:lineRule="auto"/>
            </w:pPr>
            <w:r>
              <w:rPr>
                <w:rFonts w:ascii="Arial" w:hAnsi="Arial" w:cs="Arial"/>
                <w:b w:val="0"/>
                <w:i w:val="0"/>
                <w:sz w:val="18"/>
              </w:rPr>
              <w:t>Urgent individual assistance; no group trigger</w:t>
            </w:r>
          </w:p>
        </w:tc>
      </w:tr>
    </w:tbl>
    <w:p>
      <w:pPr>
        <w:spacing w:before="0" w:after="120" w:line="240" w:lineRule="auto"/>
      </w:pPr>
    </w:p>
    <w:p>
      <w:pPr>
        <w:spacing w:before="0" w:after="120" w:line="240" w:lineRule="auto"/>
      </w:pPr>
      <w:r>
        <w:rPr>
          <w:rFonts w:ascii="Arial" w:hAnsi="Arial" w:cs="Arial"/>
          <w:b w:val="0"/>
          <w:i/>
          <w:sz w:val="22"/>
        </w:rPr>
        <w:t>Insufficient resources and decision-support replay.</w:t>
      </w:r>
      <w:r>
        <w:rPr>
          <w:rFonts w:ascii="Arial" w:hAnsi="Arial" w:cs="Arial"/>
          <w:b w:val="0"/>
          <w:i w:val="0"/>
          <w:sz w:val="22"/>
        </w:rPr>
        <w:t xml:space="preserve"> Four indivisible services require 1, 2, 3 and 4 units, with weights 6, 5, 4 and 1; communications and emergency lighting are mandatory, and production requires communications. Exhaustive enumeration of all 16 binary allocations gives: INFEASIBLE for capacity </w:t>
      </w:r>
      <w:r>
        <w:rPr>
          <w:rFonts w:ascii="Arial" w:hAnsi="Arial" w:cs="Arial"/>
          <w:b w:val="0"/>
          <w:i/>
          <w:sz w:val="22"/>
        </w:rPr>
        <w:t>B</w:t>
      </w:r>
      <w:r>
        <w:rPr>
          <w:rFonts w:ascii="Arial" w:hAnsi="Arial" w:cs="Arial"/>
          <w:b w:val="0"/>
          <w:i w:val="0"/>
          <w:sz w:val="22"/>
        </w:rPr>
        <w:t xml:space="preserve"> &lt; 3; </w:t>
      </w:r>
      <w:r>
        <w:rPr>
          <w:rFonts w:ascii="Arial" w:hAnsi="Arial" w:cs="Arial"/>
          <w:b w:val="0"/>
          <w:i/>
          <w:sz w:val="22"/>
        </w:rPr>
        <w:t>Q</w:t>
      </w:r>
      <w:r>
        <w:rPr>
          <w:rFonts w:ascii="Arial" w:hAnsi="Arial" w:cs="Arial"/>
          <w:b w:val="0"/>
          <w:i w:val="0"/>
          <w:sz w:val="22"/>
        </w:rPr>
        <w:t xml:space="preserve"> = 68.75% for 3 ≤ </w:t>
      </w:r>
      <w:r>
        <w:rPr>
          <w:rFonts w:ascii="Arial" w:hAnsi="Arial" w:cs="Arial"/>
          <w:b w:val="0"/>
          <w:i/>
          <w:sz w:val="22"/>
        </w:rPr>
        <w:t>B</w:t>
      </w:r>
      <w:r>
        <w:rPr>
          <w:rFonts w:ascii="Arial" w:hAnsi="Arial" w:cs="Arial"/>
          <w:b w:val="0"/>
          <w:i w:val="0"/>
          <w:sz w:val="22"/>
        </w:rPr>
        <w:t xml:space="preserve"> &lt; 6; </w:t>
      </w:r>
      <w:r>
        <w:rPr>
          <w:rFonts w:ascii="Arial" w:hAnsi="Arial" w:cs="Arial"/>
          <w:b w:val="0"/>
          <w:i/>
          <w:sz w:val="22"/>
        </w:rPr>
        <w:t>Q</w:t>
      </w:r>
      <w:r>
        <w:rPr>
          <w:rFonts w:ascii="Arial" w:hAnsi="Arial" w:cs="Arial"/>
          <w:b w:val="0"/>
          <w:i w:val="0"/>
          <w:sz w:val="22"/>
        </w:rPr>
        <w:t xml:space="preserve"> = 93.75% for 6 ≤ </w:t>
      </w:r>
      <w:r>
        <w:rPr>
          <w:rFonts w:ascii="Arial" w:hAnsi="Arial" w:cs="Arial"/>
          <w:b w:val="0"/>
          <w:i/>
          <w:sz w:val="22"/>
        </w:rPr>
        <w:t>B</w:t>
      </w:r>
      <w:r>
        <w:rPr>
          <w:rFonts w:ascii="Arial" w:hAnsi="Arial" w:cs="Arial"/>
          <w:b w:val="0"/>
          <w:i w:val="0"/>
          <w:sz w:val="22"/>
        </w:rPr>
        <w:t xml:space="preserve"> &lt; 10; and </w:t>
      </w:r>
      <w:r>
        <w:rPr>
          <w:rFonts w:ascii="Arial" w:hAnsi="Arial" w:cs="Arial"/>
          <w:b w:val="0"/>
          <w:i/>
          <w:sz w:val="22"/>
        </w:rPr>
        <w:t>Q</w:t>
      </w:r>
      <w:r>
        <w:rPr>
          <w:rFonts w:ascii="Arial" w:hAnsi="Arial" w:cs="Arial"/>
          <w:b w:val="0"/>
          <w:i w:val="0"/>
          <w:sz w:val="22"/>
        </w:rPr>
        <w:t xml:space="preserve"> = 100% for </w:t>
      </w:r>
      <w:r>
        <w:rPr>
          <w:rFonts w:ascii="Arial" w:hAnsi="Arial" w:cs="Arial"/>
          <w:b w:val="0"/>
          <w:i/>
          <w:sz w:val="22"/>
        </w:rPr>
        <w:t>B</w:t>
      </w:r>
      <w:r>
        <w:rPr>
          <w:rFonts w:ascii="Arial" w:hAnsi="Arial" w:cs="Arial"/>
          <w:b w:val="0"/>
          <w:i w:val="0"/>
          <w:sz w:val="22"/>
        </w:rPr>
        <w:t xml:space="preserve"> ≥ 10 (Fig. 4d). The decision-support module was replayed over 41 one-minute cutoffs in two post-impact scenarios with twelve workers, six zones and six stationary nodes (Fig. 4b,c). The agent kept three urgent tasks explicitly unassigned from minute 7 to minute 28 instead of dropping them, escalated a task whose access authorization was unknown, and reported service continuity as infeasible rather than relaxing a mandatory service when verified backup capacity was absent. On the Incident Lab dataset itself, a run of umsf-agent at the end of the data reports one open assistance request, two unassigned urgent tasks, an optimal continuity allocation with </w:t>
      </w:r>
      <w:r>
        <w:rPr>
          <w:rFonts w:ascii="Arial" w:hAnsi="Arial" w:cs="Arial"/>
          <w:b w:val="0"/>
          <w:i/>
          <w:sz w:val="22"/>
        </w:rPr>
        <w:t>Q</w:t>
      </w:r>
      <w:r>
        <w:rPr>
          <w:rFonts w:ascii="Arial" w:hAnsi="Arial" w:cs="Arial"/>
          <w:b w:val="0"/>
          <w:i w:val="0"/>
          <w:sz w:val="22"/>
        </w:rPr>
        <w:t xml:space="preserve"> = 93.75%, and three blocked recovery activities; it takes about 0.4 s. The replay </w:t>
      </w:r>
      <w:r>
        <w:rPr>
          <w:rFonts w:ascii="Arial" w:hAnsi="Arial" w:cs="Arial"/>
          <w:b w:val="0"/>
          <w:i/>
          <w:sz w:val="22"/>
        </w:rPr>
        <w:t>Q</w:t>
      </w:r>
      <w:r>
        <w:rPr>
          <w:rFonts w:ascii="Arial" w:hAnsi="Arial" w:cs="Arial"/>
          <w:b w:val="0"/>
          <w:i w:val="0"/>
          <w:sz w:val="22"/>
        </w:rPr>
        <w:t xml:space="preserve"> values in Fig. 4c are not directly comparable with the constructed example.</w:t>
      </w:r>
    </w:p>
    <w:p>
      <w:pPr>
        <w:keepNext/>
        <w:spacing w:before="120" w:after="0" w:line="240" w:lineRule="auto"/>
        <w:jc w:val="center"/>
      </w:pPr>
      <w:r>
        <w:drawing>
          <wp:inline xmlns:a="http://schemas.openxmlformats.org/drawingml/2006/main" xmlns:pic="http://schemas.openxmlformats.org/drawingml/2006/picture">
            <wp:extent cx="5669280" cy="5086015"/>
            <wp:docPr id="4" name="Picture 4"/>
            <wp:cNvGraphicFramePr>
              <a:graphicFrameLocks noChangeAspect="1"/>
            </wp:cNvGraphicFramePr>
            <a:graphic>
              <a:graphicData uri="http://schemas.openxmlformats.org/drawingml/2006/picture">
                <pic:pic>
                  <pic:nvPicPr>
                    <pic:cNvPr id="0" name="fig4_outputs.png"/>
                    <pic:cNvPicPr/>
                  </pic:nvPicPr>
                  <pic:blipFill>
                    <a:blip r:embed="rId29"/>
                    <a:stretch>
                      <a:fillRect/>
                    </a:stretch>
                  </pic:blipFill>
                  <pic:spPr>
                    <a:xfrm>
                      <a:off x="0" y="0"/>
                      <a:ext cx="5669280" cy="5086015"/>
                    </a:xfrm>
                    <a:prstGeom prst="rect"/>
                  </pic:spPr>
                </pic:pic>
              </a:graphicData>
            </a:graphic>
          </wp:inline>
        </w:drawing>
      </w:r>
    </w:p>
    <w:p>
      <w:pPr>
        <w:keepLines/>
        <w:spacing w:before="60" w:after="240" w:line="240" w:lineRule="auto"/>
      </w:pPr>
      <w:r>
        <w:rPr>
          <w:rFonts w:ascii="Arial" w:hAnsi="Arial" w:cs="Arial"/>
          <w:b/>
          <w:i w:val="0"/>
          <w:sz w:val="19"/>
        </w:rPr>
        <w:t>Fig. 4.</w:t>
      </w:r>
      <w:r>
        <w:rPr>
          <w:rFonts w:ascii="Arial" w:hAnsi="Arial" w:cs="Arial"/>
          <w:b w:val="0"/>
          <w:i w:val="0"/>
          <w:sz w:val="19"/>
        </w:rPr>
        <w:t xml:space="preserve"> Illustrative outputs. (a) As-of evidence states of the twelve personnel devices and five stationary nodes in the synthetic 30-min incident at receipt-time cutoffs (redrawn from release figure 19 of UMSF Incident Lab [15]). (b) Rescue tasks, proposed assignments and unassigned urgent tasks over 41 one-minute cutoffs, with the observation gap shaded, and (c) weighted service coverage </w:t>
      </w:r>
      <w:r>
        <w:rPr>
          <w:rFonts w:ascii="Arial" w:hAnsi="Arial" w:cs="Arial"/>
          <w:b w:val="0"/>
          <w:i/>
          <w:sz w:val="19"/>
        </w:rPr>
        <w:t>Q</w:t>
      </w:r>
      <w:r>
        <w:rPr>
          <w:rFonts w:ascii="Arial" w:hAnsi="Arial" w:cs="Arial"/>
          <w:b w:val="0"/>
          <w:i w:val="0"/>
          <w:sz w:val="19"/>
        </w:rPr>
        <w:t xml:space="preserve"> (undefined when infeasible) with and without verified backup capacity, redrawn from the replay data behind release figures 11 and 23 of UMSF Incident AI Agent Lab [16]. (d) Allocation as a function of usable capacity </w:t>
      </w:r>
      <w:r>
        <w:rPr>
          <w:rFonts w:ascii="Arial" w:hAnsi="Arial" w:cs="Arial"/>
          <w:b w:val="0"/>
          <w:i/>
          <w:sz w:val="19"/>
        </w:rPr>
        <w:t>B</w:t>
      </w:r>
      <w:r>
        <w:rPr>
          <w:rFonts w:ascii="Arial" w:hAnsi="Arial" w:cs="Arial"/>
          <w:b w:val="0"/>
          <w:i w:val="0"/>
          <w:sz w:val="19"/>
        </w:rPr>
        <w:t xml:space="preserve"> for the constructed example, for the default service list and for a list in which water support is also mandatory. Synthetic data; outputs are proposals awaiting approval.</w:t>
      </w:r>
    </w:p>
    <w:p>
      <w:pPr>
        <w:spacing w:before="0" w:after="120" w:line="240" w:lineRule="auto"/>
      </w:pPr>
      <w:r>
        <w:rPr>
          <w:rFonts w:ascii="Arial" w:hAnsi="Arial" w:cs="Arial"/>
          <w:b w:val="0"/>
          <w:i/>
          <w:sz w:val="22"/>
        </w:rPr>
        <w:t>Comparison of three configurations on identical streams.</w:t>
      </w:r>
      <w:r>
        <w:rPr>
          <w:rFonts w:ascii="Arial" w:hAnsi="Arial" w:cs="Arial"/>
          <w:b w:val="0"/>
          <w:i w:val="0"/>
          <w:sz w:val="22"/>
        </w:rPr>
        <w:t xml:space="preserve"> To show what the evidence-state rules change, we compared three configurations on identical streams derived from the released incident scenario (Table 5; Fig. S3). C1 shows the last received value of each device as current and computes coverage over the devices that have reported. C2 uses the rostered devices as denominator but still shows the last received value as current. C3 is the full mechanism: the rostered denominator and the release function physio_current_state with its default 60 s freshness horizon. Each of four scenarios (S1–S4, defined below Table 5) was run with five seeds at 30 one-minute cutoffs for each site (12 devices; 360 device-cutoffs per run).</w:t>
      </w:r>
    </w:p>
    <w:p>
      <w:pPr>
        <w:keepNext/>
        <w:keepLines/>
        <w:spacing w:before="120" w:after="80" w:line="240" w:lineRule="auto"/>
      </w:pPr>
      <w:r>
        <w:rPr>
          <w:rFonts w:ascii="Arial" w:hAnsi="Arial" w:cs="Arial"/>
          <w:b/>
          <w:i w:val="0"/>
          <w:sz w:val="19"/>
        </w:rPr>
        <w:t>Table 5.</w:t>
      </w:r>
      <w:r>
        <w:rPr>
          <w:rFonts w:ascii="Arial" w:hAnsi="Arial" w:cs="Arial"/>
          <w:b w:val="0"/>
          <w:i w:val="0"/>
          <w:sz w:val="19"/>
        </w:rPr>
        <w:t xml:space="preserve"> Configuration comparison, mean over five seeds. Values are for C1 / C2 / C3 out of 360 device-cutoffs per run.</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firstColumn="1" w:firstRow="1" w:lastColumn="0" w:lastRow="0" w:noHBand="0" w:noVBand="1" w:val="04A0"/>
      </w:tblPr>
      <w:tblGrid>
        <w:gridCol w:w="1900"/>
        <w:gridCol w:w="1800"/>
        <w:gridCol w:w="2060"/>
        <w:gridCol w:w="1800"/>
        <w:gridCol w:w="1800"/>
      </w:tblGrid>
      <w:tr>
        <w:trPr>
          <w:tblHeader/>
          <w:cantSplit/>
        </w:trPr>
        <w:tc>
          <w:tcPr>
            <w:tcW w:type="dxa" w:w="1900"/>
            <w:shd w:val="clear" w:color="auto" w:fill="F2F2F2"/>
          </w:tcPr>
          <w:p>
            <w:pPr>
              <w:spacing w:before="0" w:after="0" w:line="240" w:lineRule="auto"/>
            </w:pPr>
            <w:r>
              <w:rPr>
                <w:rFonts w:ascii="Arial" w:hAnsi="Arial" w:cs="Arial"/>
                <w:b/>
                <w:i w:val="0"/>
                <w:sz w:val="18"/>
              </w:rPr>
              <w:t>Scenario</w:t>
            </w:r>
          </w:p>
        </w:tc>
        <w:tc>
          <w:tcPr>
            <w:tcW w:type="dxa" w:w="1800"/>
            <w:shd w:val="clear" w:color="auto" w:fill="F2F2F2"/>
          </w:tcPr>
          <w:p>
            <w:pPr>
              <w:spacing w:before="0" w:after="0" w:line="240" w:lineRule="auto"/>
            </w:pPr>
            <w:r>
              <w:rPr>
                <w:rFonts w:ascii="Arial" w:hAnsi="Arial" w:cs="Arial"/>
                <w:b/>
                <w:i w:val="0"/>
                <w:sz w:val="18"/>
              </w:rPr>
              <w:t>Stale value shown as current</w:t>
            </w:r>
          </w:p>
        </w:tc>
        <w:tc>
          <w:tcPr>
            <w:tcW w:type="dxa" w:w="2060"/>
            <w:shd w:val="clear" w:color="auto" w:fill="F2F2F2"/>
          </w:tcPr>
          <w:p>
            <w:pPr>
              <w:spacing w:before="0" w:after="0" w:line="240" w:lineRule="auto"/>
            </w:pPr>
            <w:r>
              <w:rPr>
                <w:rFonts w:ascii="Arial" w:hAnsi="Arial" w:cs="Arial"/>
                <w:b/>
                <w:i w:val="0"/>
                <w:sz w:val="18"/>
              </w:rPr>
              <w:t>Non-reporting rostered device-cutoffs omitted from the denominator</w:t>
            </w:r>
          </w:p>
        </w:tc>
        <w:tc>
          <w:tcPr>
            <w:tcW w:type="dxa" w:w="1800"/>
            <w:shd w:val="clear" w:color="auto" w:fill="F2F2F2"/>
          </w:tcPr>
          <w:p>
            <w:pPr>
              <w:spacing w:before="0" w:after="0" w:line="240" w:lineRule="auto"/>
            </w:pPr>
            <w:r>
              <w:rPr>
                <w:rFonts w:ascii="Arial" w:hAnsi="Arial" w:cs="Arial"/>
                <w:b/>
                <w:i w:val="0"/>
                <w:sz w:val="18"/>
              </w:rPr>
              <w:t>Measuring but not shown as current</w:t>
            </w:r>
          </w:p>
        </w:tc>
        <w:tc>
          <w:tcPr>
            <w:tcW w:type="dxa" w:w="1800"/>
            <w:shd w:val="clear" w:color="auto" w:fill="F2F2F2"/>
          </w:tcPr>
          <w:p>
            <w:pPr>
              <w:spacing w:before="0" w:after="0" w:line="240" w:lineRule="auto"/>
            </w:pPr>
            <w:r>
              <w:rPr>
                <w:rFonts w:ascii="Arial" w:hAnsi="Arial" w:cs="Arial"/>
                <w:b/>
                <w:i w:val="0"/>
                <w:sz w:val="18"/>
              </w:rPr>
              <w:t>Mean coverage error</w:t>
            </w:r>
          </w:p>
        </w:tc>
      </w:tr>
      <w:tr>
        <w:trPr>
          <w:cantSplit/>
        </w:trPr>
        <w:tc>
          <w:tcPr>
            <w:tcW w:type="dxa" w:w="1900"/>
          </w:tcPr>
          <w:p>
            <w:pPr>
              <w:spacing w:before="0" w:after="0" w:line="240" w:lineRule="auto"/>
            </w:pPr>
            <w:r>
              <w:rPr>
                <w:rFonts w:ascii="Arial" w:hAnsi="Arial" w:cs="Arial"/>
                <w:b w:val="0"/>
                <w:i w:val="0"/>
                <w:sz w:val="18"/>
              </w:rPr>
              <w:t>S1 reference</w:t>
            </w:r>
          </w:p>
        </w:tc>
        <w:tc>
          <w:tcPr>
            <w:tcW w:type="dxa" w:w="1800"/>
          </w:tcPr>
          <w:p>
            <w:pPr>
              <w:spacing w:before="0" w:after="0" w:line="240" w:lineRule="auto"/>
            </w:pPr>
            <w:r>
              <w:rPr>
                <w:rFonts w:ascii="Arial" w:hAnsi="Arial" w:cs="Arial"/>
                <w:b w:val="0"/>
                <w:i w:val="0"/>
                <w:sz w:val="18"/>
              </w:rPr>
              <w:t>27 / 27 / 0</w:t>
            </w:r>
          </w:p>
        </w:tc>
        <w:tc>
          <w:tcPr>
            <w:tcW w:type="dxa" w:w="2060"/>
          </w:tcPr>
          <w:p>
            <w:pPr>
              <w:spacing w:before="0" w:after="0" w:line="240" w:lineRule="auto"/>
            </w:pPr>
            <w:r>
              <w:rPr>
                <w:rFonts w:ascii="Arial" w:hAnsi="Arial" w:cs="Arial"/>
                <w:b w:val="0"/>
                <w:i w:val="0"/>
                <w:sz w:val="18"/>
              </w:rPr>
              <w:t>0 / 0 / 0</w:t>
            </w:r>
          </w:p>
        </w:tc>
        <w:tc>
          <w:tcPr>
            <w:tcW w:type="dxa" w:w="1800"/>
          </w:tcPr>
          <w:p>
            <w:pPr>
              <w:spacing w:before="0" w:after="0" w:line="240" w:lineRule="auto"/>
            </w:pPr>
            <w:r>
              <w:rPr>
                <w:rFonts w:ascii="Arial" w:hAnsi="Arial" w:cs="Arial"/>
                <w:b w:val="0"/>
                <w:i w:val="0"/>
                <w:sz w:val="18"/>
              </w:rPr>
              <w:t>0 / 0 / 5</w:t>
            </w:r>
          </w:p>
        </w:tc>
        <w:tc>
          <w:tcPr>
            <w:tcW w:type="dxa" w:w="1800"/>
          </w:tcPr>
          <w:p>
            <w:pPr>
              <w:spacing w:before="0" w:after="0" w:line="240" w:lineRule="auto"/>
            </w:pPr>
            <w:r>
              <w:rPr>
                <w:rFonts w:ascii="Arial" w:hAnsi="Arial" w:cs="Arial"/>
                <w:b w:val="0"/>
                <w:i w:val="0"/>
                <w:sz w:val="18"/>
              </w:rPr>
              <w:t>0.061 / 0.061 / 0.014</w:t>
            </w:r>
          </w:p>
        </w:tc>
      </w:tr>
      <w:tr>
        <w:trPr>
          <w:cantSplit/>
        </w:trPr>
        <w:tc>
          <w:tcPr>
            <w:tcW w:type="dxa" w:w="1900"/>
          </w:tcPr>
          <w:p>
            <w:pPr>
              <w:spacing w:before="0" w:after="0" w:line="240" w:lineRule="auto"/>
            </w:pPr>
            <w:r>
              <w:rPr>
                <w:rFonts w:ascii="Arial" w:hAnsi="Arial" w:cs="Arial"/>
                <w:b w:val="0"/>
                <w:i w:val="0"/>
                <w:sz w:val="18"/>
              </w:rPr>
              <w:t>S2 outage, 10 min</w:t>
            </w:r>
          </w:p>
        </w:tc>
        <w:tc>
          <w:tcPr>
            <w:tcW w:type="dxa" w:w="1800"/>
          </w:tcPr>
          <w:p>
            <w:pPr>
              <w:spacing w:before="0" w:after="0" w:line="240" w:lineRule="auto"/>
            </w:pPr>
            <w:r>
              <w:rPr>
                <w:rFonts w:ascii="Arial" w:hAnsi="Arial" w:cs="Arial"/>
                <w:b w:val="0"/>
                <w:i w:val="0"/>
                <w:sz w:val="18"/>
              </w:rPr>
              <w:t>57 / 57 / 0</w:t>
            </w:r>
          </w:p>
        </w:tc>
        <w:tc>
          <w:tcPr>
            <w:tcW w:type="dxa" w:w="2060"/>
          </w:tcPr>
          <w:p>
            <w:pPr>
              <w:spacing w:before="0" w:after="0" w:line="240" w:lineRule="auto"/>
            </w:pPr>
            <w:r>
              <w:rPr>
                <w:rFonts w:ascii="Arial" w:hAnsi="Arial" w:cs="Arial"/>
                <w:b w:val="0"/>
                <w:i w:val="0"/>
                <w:sz w:val="18"/>
              </w:rPr>
              <w:t>0 / 0 / 0</w:t>
            </w:r>
          </w:p>
        </w:tc>
        <w:tc>
          <w:tcPr>
            <w:tcW w:type="dxa" w:w="1800"/>
          </w:tcPr>
          <w:p>
            <w:pPr>
              <w:spacing w:before="0" w:after="0" w:line="240" w:lineRule="auto"/>
            </w:pPr>
            <w:r>
              <w:rPr>
                <w:rFonts w:ascii="Arial" w:hAnsi="Arial" w:cs="Arial"/>
                <w:b w:val="0"/>
                <w:i w:val="0"/>
                <w:sz w:val="18"/>
              </w:rPr>
              <w:t>0 / 0 / 35</w:t>
            </w:r>
          </w:p>
        </w:tc>
        <w:tc>
          <w:tcPr>
            <w:tcW w:type="dxa" w:w="1800"/>
          </w:tcPr>
          <w:p>
            <w:pPr>
              <w:spacing w:before="0" w:after="0" w:line="240" w:lineRule="auto"/>
            </w:pPr>
            <w:r>
              <w:rPr>
                <w:rFonts w:ascii="Arial" w:hAnsi="Arial" w:cs="Arial"/>
                <w:b w:val="0"/>
                <w:i w:val="0"/>
                <w:sz w:val="18"/>
              </w:rPr>
              <w:t>0.061 / 0.061 / 0.097</w:t>
            </w:r>
          </w:p>
        </w:tc>
      </w:tr>
      <w:tr>
        <w:trPr>
          <w:cantSplit/>
        </w:trPr>
        <w:tc>
          <w:tcPr>
            <w:tcW w:type="dxa" w:w="1900"/>
          </w:tcPr>
          <w:p>
            <w:pPr>
              <w:spacing w:before="0" w:after="0" w:line="240" w:lineRule="auto"/>
            </w:pPr>
            <w:r>
              <w:rPr>
                <w:rFonts w:ascii="Arial" w:hAnsi="Arial" w:cs="Arial"/>
                <w:b w:val="0"/>
                <w:i w:val="0"/>
                <w:sz w:val="18"/>
              </w:rPr>
              <w:t>S3 S2 + 2 devices stop</w:t>
            </w:r>
          </w:p>
        </w:tc>
        <w:tc>
          <w:tcPr>
            <w:tcW w:type="dxa" w:w="1800"/>
          </w:tcPr>
          <w:p>
            <w:pPr>
              <w:spacing w:before="0" w:after="0" w:line="240" w:lineRule="auto"/>
            </w:pPr>
            <w:r>
              <w:rPr>
                <w:rFonts w:ascii="Arial" w:hAnsi="Arial" w:cs="Arial"/>
                <w:b w:val="0"/>
                <w:i w:val="0"/>
                <w:sz w:val="18"/>
              </w:rPr>
              <w:t>81 / 81 / 0</w:t>
            </w:r>
          </w:p>
        </w:tc>
        <w:tc>
          <w:tcPr>
            <w:tcW w:type="dxa" w:w="2060"/>
          </w:tcPr>
          <w:p>
            <w:pPr>
              <w:spacing w:before="0" w:after="0" w:line="240" w:lineRule="auto"/>
            </w:pPr>
            <w:r>
              <w:rPr>
                <w:rFonts w:ascii="Arial" w:hAnsi="Arial" w:cs="Arial"/>
                <w:b w:val="0"/>
                <w:i w:val="0"/>
                <w:sz w:val="18"/>
              </w:rPr>
              <w:t>0 / 0 / 0</w:t>
            </w:r>
          </w:p>
        </w:tc>
        <w:tc>
          <w:tcPr>
            <w:tcW w:type="dxa" w:w="1800"/>
          </w:tcPr>
          <w:p>
            <w:pPr>
              <w:spacing w:before="0" w:after="0" w:line="240" w:lineRule="auto"/>
            </w:pPr>
            <w:r>
              <w:rPr>
                <w:rFonts w:ascii="Arial" w:hAnsi="Arial" w:cs="Arial"/>
                <w:b w:val="0"/>
                <w:i w:val="0"/>
                <w:sz w:val="18"/>
              </w:rPr>
              <w:t>0 / 0 / 17</w:t>
            </w:r>
          </w:p>
        </w:tc>
        <w:tc>
          <w:tcPr>
            <w:tcW w:type="dxa" w:w="1800"/>
          </w:tcPr>
          <w:p>
            <w:pPr>
              <w:spacing w:before="0" w:after="0" w:line="240" w:lineRule="auto"/>
            </w:pPr>
            <w:r>
              <w:rPr>
                <w:rFonts w:ascii="Arial" w:hAnsi="Arial" w:cs="Arial"/>
                <w:b w:val="0"/>
                <w:i w:val="0"/>
                <w:sz w:val="18"/>
              </w:rPr>
              <w:t>0.178 / 0.178 / 0.047</w:t>
            </w:r>
          </w:p>
        </w:tc>
      </w:tr>
      <w:tr>
        <w:trPr>
          <w:cantSplit/>
        </w:trPr>
        <w:tc>
          <w:tcPr>
            <w:tcW w:type="dxa" w:w="1900"/>
          </w:tcPr>
          <w:p>
            <w:pPr>
              <w:spacing w:before="0" w:after="0" w:line="240" w:lineRule="auto"/>
            </w:pPr>
            <w:r>
              <w:rPr>
                <w:rFonts w:ascii="Arial" w:hAnsi="Arial" w:cs="Arial"/>
                <w:b w:val="0"/>
                <w:i w:val="0"/>
                <w:sz w:val="18"/>
              </w:rPr>
              <w:t>S4 S3 + 1 silent device</w:t>
            </w:r>
          </w:p>
        </w:tc>
        <w:tc>
          <w:tcPr>
            <w:tcW w:type="dxa" w:w="1800"/>
          </w:tcPr>
          <w:p>
            <w:pPr>
              <w:spacing w:before="0" w:after="0" w:line="240" w:lineRule="auto"/>
            </w:pPr>
            <w:r>
              <w:rPr>
                <w:rFonts w:ascii="Arial" w:hAnsi="Arial" w:cs="Arial"/>
                <w:b w:val="0"/>
                <w:i w:val="0"/>
                <w:sz w:val="18"/>
              </w:rPr>
              <w:t>75.6 ± 8.5 / 75.6 ± 8.5 / 0</w:t>
            </w:r>
          </w:p>
        </w:tc>
        <w:tc>
          <w:tcPr>
            <w:tcW w:type="dxa" w:w="2060"/>
          </w:tcPr>
          <w:p>
            <w:pPr>
              <w:spacing w:before="0" w:after="0" w:line="240" w:lineRule="auto"/>
            </w:pPr>
            <w:r>
              <w:rPr>
                <w:rFonts w:ascii="Arial" w:hAnsi="Arial" w:cs="Arial"/>
                <w:b w:val="0"/>
                <w:i w:val="0"/>
                <w:sz w:val="18"/>
              </w:rPr>
              <w:t>30 / 0 / 0</w:t>
            </w:r>
          </w:p>
        </w:tc>
        <w:tc>
          <w:tcPr>
            <w:tcW w:type="dxa" w:w="1800"/>
          </w:tcPr>
          <w:p>
            <w:pPr>
              <w:spacing w:before="0" w:after="0" w:line="240" w:lineRule="auto"/>
            </w:pPr>
            <w:r>
              <w:rPr>
                <w:rFonts w:ascii="Arial" w:hAnsi="Arial" w:cs="Arial"/>
                <w:b w:val="0"/>
                <w:i w:val="0"/>
                <w:sz w:val="18"/>
              </w:rPr>
              <w:t>0 / 0 / 16.0 ± 2.0</w:t>
            </w:r>
          </w:p>
        </w:tc>
        <w:tc>
          <w:tcPr>
            <w:tcW w:type="dxa" w:w="1800"/>
          </w:tcPr>
          <w:p>
            <w:pPr>
              <w:spacing w:before="0" w:after="0" w:line="240" w:lineRule="auto"/>
            </w:pPr>
            <w:r>
              <w:rPr>
                <w:rFonts w:ascii="Arial" w:hAnsi="Arial" w:cs="Arial"/>
                <w:b w:val="0"/>
                <w:i w:val="0"/>
                <w:sz w:val="18"/>
              </w:rPr>
              <w:t>0.249 / 0.166 / 0.044</w:t>
            </w:r>
          </w:p>
        </w:tc>
      </w:tr>
    </w:tbl>
    <w:p>
      <w:pPr>
        <w:spacing w:before="60" w:after="200" w:line="240" w:lineRule="auto"/>
      </w:pPr>
      <w:r>
        <w:rPr>
          <w:rFonts w:ascii="Arial" w:hAnsi="Arial" w:cs="Arial"/>
          <w:b w:val="0"/>
          <w:i w:val="0"/>
          <w:sz w:val="17"/>
        </w:rPr>
        <w:t xml:space="preserve">S1, the reference stream; S2, a 10-min outage of one gateway from minute 8, with backlog delivered at reconnection; S3, S2 with two devices behind that gateway stopping at minute 9; S4, S3 with one further rostered device that never reports. A device counts as measuring at cutoff </w:t>
      </w:r>
      <w:r>
        <w:rPr>
          <w:rFonts w:ascii="Arial" w:hAnsi="Arial" w:cs="Arial"/>
          <w:b w:val="0"/>
          <w:i/>
          <w:sz w:val="17"/>
        </w:rPr>
        <w:t>t</w:t>
      </w:r>
      <w:r>
        <w:rPr>
          <w:rFonts w:ascii="Arial" w:hAnsi="Arial" w:cs="Arial"/>
          <w:b w:val="0"/>
          <w:i w:val="0"/>
          <w:sz w:val="17"/>
        </w:rPr>
        <w:t xml:space="preserve"> if it has a measurement with measured_at in (</w:t>
      </w:r>
      <w:r>
        <w:rPr>
          <w:rFonts w:ascii="Arial" w:hAnsi="Arial" w:cs="Arial"/>
          <w:b w:val="0"/>
          <w:i/>
          <w:sz w:val="17"/>
        </w:rPr>
        <w:t>t</w:t>
      </w:r>
      <w:r>
        <w:rPr>
          <w:rFonts w:ascii="Arial" w:hAnsi="Arial" w:cs="Arial"/>
          <w:b w:val="0"/>
          <w:i w:val="0"/>
          <w:sz w:val="17"/>
        </w:rPr>
        <w:t xml:space="preserve"> − 60 s, </w:t>
      </w:r>
      <w:r>
        <w:rPr>
          <w:rFonts w:ascii="Arial" w:hAnsi="Arial" w:cs="Arial"/>
          <w:b w:val="0"/>
          <w:i/>
          <w:sz w:val="17"/>
        </w:rPr>
        <w:t>t</w:t>
      </w:r>
      <w:r>
        <w:rPr>
          <w:rFonts w:ascii="Arial" w:hAnsi="Arial" w:cs="Arial"/>
          <w:b w:val="0"/>
          <w:i w:val="0"/>
          <w:sz w:val="17"/>
        </w:rPr>
        <w:t xml:space="preserve">], whether or not that measurement had arrived by </w:t>
      </w:r>
      <w:r>
        <w:rPr>
          <w:rFonts w:ascii="Arial" w:hAnsi="Arial" w:cs="Arial"/>
          <w:b w:val="0"/>
          <w:i/>
          <w:sz w:val="17"/>
        </w:rPr>
        <w:t>t</w:t>
      </w:r>
      <w:r>
        <w:rPr>
          <w:rFonts w:ascii="Arial" w:hAnsi="Arial" w:cs="Arial"/>
          <w:b w:val="0"/>
          <w:i w:val="0"/>
          <w:sz w:val="17"/>
        </w:rPr>
        <w:t>. A shown-as-current device is stale-as-current if its newest arrived measurement is more than 60 s old or none has arrived. Coverage error is the absolute difference between a configuration's coverage and the true fraction of rostered devices that are measuring, averaged over site-cutoffs.</w:t>
      </w:r>
    </w:p>
    <w:p>
      <w:pPr>
        <w:spacing w:before="0" w:after="120" w:line="240" w:lineRule="auto"/>
      </w:pPr>
      <w:r>
        <w:rPr>
          <w:rFonts w:ascii="Arial" w:hAnsi="Arial" w:cs="Arial"/>
          <w:b w:val="0"/>
          <w:i w:val="0"/>
          <w:sz w:val="22"/>
        </w:rPr>
        <w:t>The full mechanism eliminated stale-as-current states in every scenario, and the roster denominator removed the 30 device-cutoffs in S4 that C1 omits for the silent device. The price is conservatism: during the outage in S2, C3 did not show as current 35 device-cutoffs in which devices were measuring but their data had not yet arrived, so its coverage error was higher than that of C1 and C2 (0.097 against 0.061). In S1, S3 and S4, C3 has the lowest coverage error. These results characterize the rules on synthetic streams; they are not estimates of field accuracy.</w:t>
      </w:r>
    </w:p>
    <w:p>
      <w:pPr>
        <w:spacing w:before="0" w:after="120" w:line="240" w:lineRule="auto"/>
      </w:pPr>
      <w:r>
        <w:rPr>
          <w:rFonts w:ascii="Arial" w:hAnsi="Arial" w:cs="Arial"/>
          <w:b w:val="0"/>
          <w:i/>
          <w:sz w:val="22"/>
        </w:rPr>
        <w:t>Verification and performance.</w:t>
      </w:r>
      <w:r>
        <w:rPr>
          <w:rFonts w:ascii="Arial" w:hAnsi="Arial" w:cs="Arial"/>
          <w:b w:val="0"/>
          <w:i w:val="0"/>
          <w:sz w:val="22"/>
        </w:rPr>
        <w:t xml:space="preserve"> The outputs of re-executing the three releases are summarized in Fig. 5a. umsf_dataset reproduce compares 25 reference rows with the earlier synthetic studies, including TP = 280, FP = 0, FN = 120 and TN = 4,400 for Study A [18], and the Study B counts of 2,173 input lines, 2,160 unique identities and 2,159 exported non-conflicting records [19]. All 25 rows matched. Because the generators were tuned to these aggregates, this confirms internal consistency, not independent validation. One difference is documented: observed fresh good records in full Study B windows are 33–36 of 36, where the earlier report gives 32–36. All 217 pre-specified tests passed: 58 Incident Lab and 116 Agent Lab unit tests (six of which need the neighbouring dataset set, included in the archive) and 43 native firmware test cases with 475 checks. The Incident Lab decoder read all 19 firmware-generated protocol vectors, and umsf-agent processed the Incident Lab dataset directory directly.</w:t>
      </w:r>
    </w:p>
    <w:p>
      <w:pPr>
        <w:keepNext/>
        <w:spacing w:before="120" w:after="0" w:line="240" w:lineRule="auto"/>
        <w:jc w:val="center"/>
      </w:pPr>
      <w:r>
        <w:drawing>
          <wp:inline xmlns:a="http://schemas.openxmlformats.org/drawingml/2006/main" xmlns:pic="http://schemas.openxmlformats.org/drawingml/2006/picture">
            <wp:extent cx="5669280" cy="4523062"/>
            <wp:docPr id="5" name="Picture 5"/>
            <wp:cNvGraphicFramePr>
              <a:graphicFrameLocks noChangeAspect="1"/>
            </wp:cNvGraphicFramePr>
            <a:graphic>
              <a:graphicData uri="http://schemas.openxmlformats.org/drawingml/2006/picture">
                <pic:pic>
                  <pic:nvPicPr>
                    <pic:cNvPr id="0" name="fig5_verification.png"/>
                    <pic:cNvPicPr/>
                  </pic:nvPicPr>
                  <pic:blipFill>
                    <a:blip r:embed="rId30"/>
                    <a:stretch>
                      <a:fillRect/>
                    </a:stretch>
                  </pic:blipFill>
                  <pic:spPr>
                    <a:xfrm>
                      <a:off x="0" y="0"/>
                      <a:ext cx="5669280" cy="4523062"/>
                    </a:xfrm>
                    <a:prstGeom prst="rect"/>
                  </pic:spPr>
                </pic:pic>
              </a:graphicData>
            </a:graphic>
          </wp:inline>
        </w:drawing>
      </w:r>
    </w:p>
    <w:p>
      <w:pPr>
        <w:keepLines/>
        <w:spacing w:before="60" w:after="240" w:line="240" w:lineRule="auto"/>
      </w:pPr>
      <w:r>
        <w:rPr>
          <w:rFonts w:ascii="Arial" w:hAnsi="Arial" w:cs="Arial"/>
          <w:b/>
          <w:i w:val="0"/>
          <w:sz w:val="19"/>
        </w:rPr>
        <w:t>Fig. 5.</w:t>
      </w:r>
      <w:r>
        <w:rPr>
          <w:rFonts w:ascii="Arial" w:hAnsi="Arial" w:cs="Arial"/>
          <w:b w:val="0"/>
          <w:i w:val="0"/>
          <w:sz w:val="19"/>
        </w:rPr>
        <w:t xml:space="preserve"> Outputs of the re-executed releases. (a) Verification outcomes: unit tests, reference rows, protocol vectors, analytical checks and the cross-release decoding of firmware vectors by Incident Lab. (b) Wall time of ingestion and of a current-state query, (c) ingestion throughput and (d) peak memory of the benchmark process and on-disk database size versus stream length for the unchanged umsf_dataset 1.0.0 core. Means of three runs; ± 1 SD is smaller than the markers.</w:t>
      </w:r>
    </w:p>
    <w:p>
      <w:pPr>
        <w:spacing w:before="0" w:after="120" w:line="240" w:lineRule="auto"/>
      </w:pPr>
      <w:r>
        <w:rPr>
          <w:rFonts w:ascii="Arial" w:hAnsi="Arial" w:cs="Arial"/>
          <w:b w:val="0"/>
          <w:i w:val="0"/>
          <w:sz w:val="22"/>
        </w:rPr>
        <w:t>Ingestion (validation and storage) and a current-state query were timed on streams of 2,024 to 200,000 physiological records, built by replicating the incident stream with distinct identities, with three repetitions per size, on a 2-vCPU Intel Xeon virtual machine at 2.1 GHz with 7 GB RAM, CPython 3.13.16 and SQLite 3.45.1 (Fig. 5b–d). Ingestion was linear at about 5,900–6,900 records per second (30.3 ± 1.2 s for 200,000 records). A current-state query scans all stored records and took 0.03 s for 2,024 and 2.2 s for 200,000 records. At 200,000 records, the database with its WAL file occupied 295 MB, and the peak resident memory of the benchmark process was 629 MB. An 8-h shift of twelve devices at 10 s cadence (34,560 records) is ingested in about 6 s.</w:t>
      </w:r>
    </w:p>
    <w:p>
      <w:pPr>
        <w:spacing w:before="0" w:after="120" w:line="240" w:lineRule="auto"/>
      </w:pPr>
      <w:r>
        <w:rPr>
          <w:rFonts w:ascii="Arial" w:hAnsi="Arial" w:cs="Arial"/>
          <w:b w:val="0"/>
          <w:i/>
          <w:sz w:val="22"/>
        </w:rPr>
        <w:t>Bench-prototype firmware and interface.</w:t>
      </w:r>
      <w:r>
        <w:rPr>
          <w:rFonts w:ascii="Arial" w:hAnsi="Arial" w:cs="Arial"/>
          <w:b w:val="0"/>
          <w:i w:val="0"/>
          <w:sz w:val="22"/>
        </w:rPr>
        <w:t xml:space="preserve"> The bench prototype that motivated the record semantics is archived as UMSF Bench Prototype v1.0.0 [31] (MIT license; Table 6). It is not one of the verified releases, and no prototype reading is used as an input in this paper. The bench experiment was carried out in the laboratory of the University of Customs and Finance, Dnipro. Wearable and fixed nodes broadcast fixed-layout packets over ESP-NOW once per second and immediately when a status flag changes (Fig. S9a). The gateway AG1 accepts a packet only if its magic number and exact length match (40 bytes for a wearable packet, 55 bytes for a fixed-node packet), counts sequence gaps as lost packets, keeps alarm flags latched until an operator reset, and marks a node as having lost its link after 5 s while keeping its last data visible. Packets with a simulated heart rate carry a dedicated flag that the dashboard shows as SIMULATED, the same principle as the data_origin field of Incident Lab; heart-rate processing on the node is shown in Fig. S9b.</w:t>
      </w:r>
    </w:p>
    <w:p>
      <w:pPr>
        <w:keepNext/>
        <w:keepLines/>
        <w:spacing w:before="120" w:after="80" w:line="240" w:lineRule="auto"/>
      </w:pPr>
      <w:r>
        <w:rPr>
          <w:rFonts w:ascii="Arial" w:hAnsi="Arial" w:cs="Arial"/>
          <w:b/>
          <w:i w:val="0"/>
          <w:sz w:val="19"/>
        </w:rPr>
        <w:t>Table 6.</w:t>
      </w:r>
      <w:r>
        <w:rPr>
          <w:rFonts w:ascii="Arial" w:hAnsi="Arial" w:cs="Arial"/>
          <w:b w:val="0"/>
          <w:i w:val="0"/>
          <w:sz w:val="19"/>
        </w:rPr>
        <w:t xml:space="preserve"> Contents of the bench-prototype archive (UMSF Bench Prototype v1.0.0 [31]).</w:t>
      </w:r>
    </w:p>
    <w:tbl>
      <w:tblPr>
        <w:tblW w:type="dxa" w:w="93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firstColumn="1" w:firstRow="1" w:lastColumn="0" w:lastRow="0" w:noHBand="0" w:noVBand="1" w:val="04A0"/>
      </w:tblPr>
      <w:tblGrid>
        <w:gridCol w:w="1500"/>
        <w:gridCol w:w="2900"/>
        <w:gridCol w:w="2300"/>
        <w:gridCol w:w="2660"/>
      </w:tblGrid>
      <w:tr>
        <w:trPr>
          <w:tblHeader/>
          <w:cantSplit/>
        </w:trPr>
        <w:tc>
          <w:tcPr>
            <w:tcW w:type="dxa" w:w="1500"/>
            <w:shd w:val="clear" w:color="auto" w:fill="F2F2F2"/>
          </w:tcPr>
          <w:p>
            <w:pPr>
              <w:spacing w:before="0" w:after="0" w:line="240" w:lineRule="auto"/>
            </w:pPr>
            <w:r>
              <w:rPr>
                <w:rFonts w:ascii="Arial" w:hAnsi="Arial" w:cs="Arial"/>
                <w:b/>
                <w:i w:val="0"/>
                <w:sz w:val="18"/>
              </w:rPr>
              <w:t>Component</w:t>
            </w:r>
          </w:p>
        </w:tc>
        <w:tc>
          <w:tcPr>
            <w:tcW w:type="dxa" w:w="2900"/>
            <w:shd w:val="clear" w:color="auto" w:fill="F2F2F2"/>
          </w:tcPr>
          <w:p>
            <w:pPr>
              <w:spacing w:before="0" w:after="0" w:line="240" w:lineRule="auto"/>
            </w:pPr>
            <w:r>
              <w:rPr>
                <w:rFonts w:ascii="Arial" w:hAnsi="Arial" w:cs="Arial"/>
                <w:b/>
                <w:i w:val="0"/>
                <w:sz w:val="18"/>
              </w:rPr>
              <w:t>Files and implementation</w:t>
            </w:r>
          </w:p>
        </w:tc>
        <w:tc>
          <w:tcPr>
            <w:tcW w:type="dxa" w:w="2300"/>
            <w:shd w:val="clear" w:color="auto" w:fill="F2F2F2"/>
          </w:tcPr>
          <w:p>
            <w:pPr>
              <w:spacing w:before="0" w:after="0" w:line="240" w:lineRule="auto"/>
            </w:pPr>
            <w:r>
              <w:rPr>
                <w:rFonts w:ascii="Arial" w:hAnsi="Arial" w:cs="Arial"/>
                <w:b/>
                <w:i w:val="0"/>
                <w:sz w:val="18"/>
              </w:rPr>
              <w:t>Function</w:t>
            </w:r>
          </w:p>
        </w:tc>
        <w:tc>
          <w:tcPr>
            <w:tcW w:type="dxa" w:w="2660"/>
            <w:shd w:val="clear" w:color="auto" w:fill="F2F2F2"/>
          </w:tcPr>
          <w:p>
            <w:pPr>
              <w:spacing w:before="0" w:after="0" w:line="240" w:lineRule="auto"/>
            </w:pPr>
            <w:r>
              <w:rPr>
                <w:rFonts w:ascii="Arial" w:hAnsi="Arial" w:cs="Arial"/>
                <w:b/>
                <w:i w:val="0"/>
                <w:sz w:val="18"/>
              </w:rPr>
              <w:t>Interfaces and main parameters</w:t>
            </w:r>
          </w:p>
        </w:tc>
      </w:tr>
      <w:tr>
        <w:trPr>
          <w:cantSplit/>
        </w:trPr>
        <w:tc>
          <w:tcPr>
            <w:tcW w:type="dxa" w:w="1500"/>
          </w:tcPr>
          <w:p>
            <w:pPr>
              <w:spacing w:before="0" w:after="0" w:line="240" w:lineRule="auto"/>
            </w:pPr>
            <w:r>
              <w:rPr>
                <w:rFonts w:ascii="Arial" w:hAnsi="Arial" w:cs="Arial"/>
                <w:b w:val="0"/>
                <w:i w:val="0"/>
                <w:sz w:val="18"/>
              </w:rPr>
              <w:t>Gateway AG1</w:t>
            </w:r>
          </w:p>
        </w:tc>
        <w:tc>
          <w:tcPr>
            <w:tcW w:type="dxa" w:w="2900"/>
          </w:tcPr>
          <w:p>
            <w:pPr>
              <w:spacing w:before="0" w:after="0" w:line="240" w:lineRule="auto"/>
            </w:pPr>
            <w:r>
              <w:rPr>
                <w:rFonts w:ascii="Arial" w:hAnsi="Arial" w:cs="Arial"/>
                <w:b w:val="0"/>
                <w:i w:val="0"/>
                <w:sz w:val="18"/>
              </w:rPr>
              <w:t>firmware/gateway/src/main.cpp; C++, 616 lines including the embedded page</w:t>
            </w:r>
          </w:p>
        </w:tc>
        <w:tc>
          <w:tcPr>
            <w:tcW w:type="dxa" w:w="2300"/>
          </w:tcPr>
          <w:p>
            <w:pPr>
              <w:spacing w:before="0" w:after="0" w:line="240" w:lineRule="auto"/>
            </w:pPr>
            <w:r>
              <w:rPr>
                <w:rFonts w:ascii="Arial" w:hAnsi="Arial" w:cs="Arial"/>
                <w:b w:val="0"/>
                <w:i w:val="0"/>
                <w:sz w:val="18"/>
              </w:rPr>
              <w:t>ESP-NOW reception, node state, latched alarms, event log, web server</w:t>
            </w:r>
          </w:p>
        </w:tc>
        <w:tc>
          <w:tcPr>
            <w:tcW w:type="dxa" w:w="2660"/>
          </w:tcPr>
          <w:p>
            <w:pPr>
              <w:spacing w:before="0" w:after="0" w:line="240" w:lineRule="auto"/>
            </w:pPr>
            <w:r>
              <w:rPr>
                <w:rFonts w:ascii="Arial" w:hAnsi="Arial" w:cs="Arial"/>
                <w:b w:val="0"/>
                <w:i w:val="0"/>
                <w:sz w:val="18"/>
              </w:rPr>
              <w:t>Wi-Fi access point UMSF_AG1, channel 1; GET /, GET /api, POST /reset; link lost after 5 s; serial log at 115,200 baud</w:t>
            </w:r>
          </w:p>
        </w:tc>
      </w:tr>
      <w:tr>
        <w:trPr>
          <w:cantSplit/>
        </w:trPr>
        <w:tc>
          <w:tcPr>
            <w:tcW w:type="dxa" w:w="1500"/>
          </w:tcPr>
          <w:p>
            <w:pPr>
              <w:spacing w:before="0" w:after="0" w:line="240" w:lineRule="auto"/>
            </w:pPr>
            <w:r>
              <w:rPr>
                <w:rFonts w:ascii="Arial" w:hAnsi="Arial" w:cs="Arial"/>
                <w:b w:val="0"/>
                <w:i w:val="0"/>
                <w:sz w:val="18"/>
              </w:rPr>
              <w:t>Wearable node W01–W03</w:t>
            </w:r>
          </w:p>
        </w:tc>
        <w:tc>
          <w:tcPr>
            <w:tcW w:type="dxa" w:w="2900"/>
          </w:tcPr>
          <w:p>
            <w:pPr>
              <w:spacing w:before="0" w:after="0" w:line="240" w:lineRule="auto"/>
            </w:pPr>
            <w:r>
              <w:rPr>
                <w:rFonts w:ascii="Arial" w:hAnsi="Arial" w:cs="Arial"/>
                <w:b w:val="0"/>
                <w:i w:val="0"/>
                <w:sz w:val="18"/>
              </w:rPr>
              <w:t>firmware/wearable/src/main.cpp; C++, 565 lines</w:t>
            </w:r>
          </w:p>
        </w:tc>
        <w:tc>
          <w:tcPr>
            <w:tcW w:type="dxa" w:w="2300"/>
          </w:tcPr>
          <w:p>
            <w:pPr>
              <w:spacing w:before="0" w:after="0" w:line="240" w:lineRule="auto"/>
            </w:pPr>
            <w:r>
              <w:rPr>
                <w:rFonts w:ascii="Arial" w:hAnsi="Arial" w:cs="Arial"/>
                <w:b w:val="0"/>
                <w:i w:val="0"/>
                <w:sz w:val="18"/>
              </w:rPr>
              <w:t>Heart rate, motion and impact, skin temperature, SOS</w:t>
            </w:r>
          </w:p>
        </w:tc>
        <w:tc>
          <w:tcPr>
            <w:tcW w:type="dxa" w:w="2660"/>
          </w:tcPr>
          <w:p>
            <w:pPr>
              <w:spacing w:before="0" w:after="0" w:line="240" w:lineRule="auto"/>
            </w:pPr>
            <w:r>
              <w:rPr>
                <w:rFonts w:ascii="Arial" w:hAnsi="Arial" w:cs="Arial"/>
                <w:b w:val="0"/>
                <w:i w:val="0"/>
                <w:sz w:val="18"/>
              </w:rPr>
              <w:t>MAX30102 and MPU-6050 on I²C, DS18B20 on 1-Wire, SOS button; 40-byte packet</w:t>
            </w:r>
          </w:p>
        </w:tc>
      </w:tr>
      <w:tr>
        <w:trPr>
          <w:cantSplit/>
        </w:trPr>
        <w:tc>
          <w:tcPr>
            <w:tcW w:type="dxa" w:w="1500"/>
          </w:tcPr>
          <w:p>
            <w:pPr>
              <w:spacing w:before="0" w:after="0" w:line="240" w:lineRule="auto"/>
            </w:pPr>
            <w:r>
              <w:rPr>
                <w:rFonts w:ascii="Arial" w:hAnsi="Arial" w:cs="Arial"/>
                <w:b w:val="0"/>
                <w:i w:val="0"/>
                <w:sz w:val="18"/>
              </w:rPr>
              <w:t>Fixed node A01–A03</w:t>
            </w:r>
          </w:p>
        </w:tc>
        <w:tc>
          <w:tcPr>
            <w:tcW w:type="dxa" w:w="2900"/>
          </w:tcPr>
          <w:p>
            <w:pPr>
              <w:spacing w:before="0" w:after="0" w:line="240" w:lineRule="auto"/>
            </w:pPr>
            <w:r>
              <w:rPr>
                <w:rFonts w:ascii="Arial" w:hAnsi="Arial" w:cs="Arial"/>
                <w:b w:val="0"/>
                <w:i w:val="0"/>
                <w:sz w:val="18"/>
              </w:rPr>
              <w:t>firmware/fixed_node/README.md; packet contract only</w:t>
            </w:r>
          </w:p>
        </w:tc>
        <w:tc>
          <w:tcPr>
            <w:tcW w:type="dxa" w:w="2300"/>
          </w:tcPr>
          <w:p>
            <w:pPr>
              <w:spacing w:before="0" w:after="0" w:line="240" w:lineRule="auto"/>
            </w:pPr>
            <w:r>
              <w:rPr>
                <w:rFonts w:ascii="Arial" w:hAnsi="Arial" w:cs="Arial"/>
                <w:b w:val="0"/>
                <w:i w:val="0"/>
                <w:sz w:val="18"/>
              </w:rPr>
              <w:t>Shock, tilt, pressure, temperature, sound, gas, motion, SOS</w:t>
            </w:r>
          </w:p>
        </w:tc>
        <w:tc>
          <w:tcPr>
            <w:tcW w:type="dxa" w:w="2660"/>
          </w:tcPr>
          <w:p>
            <w:pPr>
              <w:spacing w:before="0" w:after="0" w:line="240" w:lineRule="auto"/>
            </w:pPr>
            <w:r>
              <w:rPr>
                <w:rFonts w:ascii="Arial" w:hAnsi="Arial" w:cs="Arial"/>
                <w:b w:val="0"/>
                <w:i w:val="0"/>
                <w:sz w:val="18"/>
              </w:rPr>
              <w:t>55-byte packet; firmware source not included</w:t>
            </w:r>
          </w:p>
        </w:tc>
      </w:tr>
      <w:tr>
        <w:trPr>
          <w:cantSplit/>
        </w:trPr>
        <w:tc>
          <w:tcPr>
            <w:tcW w:type="dxa" w:w="1500"/>
          </w:tcPr>
          <w:p>
            <w:pPr>
              <w:spacing w:before="0" w:after="0" w:line="240" w:lineRule="auto"/>
            </w:pPr>
            <w:r>
              <w:rPr>
                <w:rFonts w:ascii="Arial" w:hAnsi="Arial" w:cs="Arial"/>
                <w:b w:val="0"/>
                <w:i w:val="0"/>
                <w:sz w:val="18"/>
              </w:rPr>
              <w:t>Dashboard</w:t>
            </w:r>
          </w:p>
        </w:tc>
        <w:tc>
          <w:tcPr>
            <w:tcW w:type="dxa" w:w="2900"/>
          </w:tcPr>
          <w:p>
            <w:pPr>
              <w:spacing w:before="0" w:after="0" w:line="240" w:lineRule="auto"/>
            </w:pPr>
            <w:r>
              <w:rPr>
                <w:rFonts w:ascii="Arial" w:hAnsi="Arial" w:cs="Arial"/>
                <w:b w:val="0"/>
                <w:i w:val="0"/>
                <w:sz w:val="18"/>
              </w:rPr>
              <w:t>interface/dashboard.html; HTML, CSS and JavaScript extracted verbatim from the gateway</w:t>
            </w:r>
          </w:p>
        </w:tc>
        <w:tc>
          <w:tcPr>
            <w:tcW w:type="dxa" w:w="2300"/>
          </w:tcPr>
          <w:p>
            <w:pPr>
              <w:spacing w:before="0" w:after="0" w:line="240" w:lineRule="auto"/>
            </w:pPr>
            <w:r>
              <w:rPr>
                <w:rFonts w:ascii="Arial" w:hAnsi="Arial" w:cs="Arial"/>
                <w:b w:val="0"/>
                <w:i w:val="0"/>
                <w:sz w:val="18"/>
              </w:rPr>
              <w:t>Operator view</w:t>
            </w:r>
          </w:p>
        </w:tc>
        <w:tc>
          <w:tcPr>
            <w:tcW w:type="dxa" w:w="2660"/>
          </w:tcPr>
          <w:p>
            <w:pPr>
              <w:spacing w:before="0" w:after="0" w:line="240" w:lineRule="auto"/>
            </w:pPr>
            <w:r>
              <w:rPr>
                <w:rFonts w:ascii="Arial" w:hAnsi="Arial" w:cs="Arial"/>
                <w:b w:val="0"/>
                <w:i w:val="0"/>
                <w:sz w:val="18"/>
              </w:rPr>
              <w:t>Polls /api once per second</w:t>
            </w:r>
          </w:p>
        </w:tc>
      </w:tr>
      <w:tr>
        <w:trPr>
          <w:cantSplit/>
        </w:trPr>
        <w:tc>
          <w:tcPr>
            <w:tcW w:type="dxa" w:w="1500"/>
          </w:tcPr>
          <w:p>
            <w:pPr>
              <w:spacing w:before="0" w:after="0" w:line="240" w:lineRule="auto"/>
            </w:pPr>
            <w:r>
              <w:rPr>
                <w:rFonts w:ascii="Arial" w:hAnsi="Arial" w:cs="Arial"/>
                <w:b w:val="0"/>
                <w:i w:val="0"/>
                <w:sz w:val="18"/>
              </w:rPr>
              <w:t>Interface simulator</w:t>
            </w:r>
          </w:p>
        </w:tc>
        <w:tc>
          <w:tcPr>
            <w:tcW w:type="dxa" w:w="2900"/>
          </w:tcPr>
          <w:p>
            <w:pPr>
              <w:spacing w:before="0" w:after="0" w:line="240" w:lineRule="auto"/>
            </w:pPr>
            <w:r>
              <w:rPr>
                <w:rFonts w:ascii="Arial" w:hAnsi="Arial" w:cs="Arial"/>
                <w:b w:val="0"/>
                <w:i w:val="0"/>
                <w:sz w:val="18"/>
              </w:rPr>
              <w:t>interface/mock_gateway.py; Python standard library, 209 lines</w:t>
            </w:r>
          </w:p>
        </w:tc>
        <w:tc>
          <w:tcPr>
            <w:tcW w:type="dxa" w:w="2300"/>
          </w:tcPr>
          <w:p>
            <w:pPr>
              <w:spacing w:before="0" w:after="0" w:line="240" w:lineRule="auto"/>
            </w:pPr>
            <w:r>
              <w:rPr>
                <w:rFonts w:ascii="Arial" w:hAnsi="Arial" w:cs="Arial"/>
                <w:b w:val="0"/>
                <w:i w:val="0"/>
                <w:sz w:val="18"/>
              </w:rPr>
              <w:t>Synthetic /api for inspection without hardware</w:t>
            </w:r>
          </w:p>
        </w:tc>
        <w:tc>
          <w:tcPr>
            <w:tcW w:type="dxa" w:w="2660"/>
          </w:tcPr>
          <w:p>
            <w:pPr>
              <w:spacing w:before="0" w:after="0" w:line="240" w:lineRule="auto"/>
            </w:pPr>
            <w:r>
              <w:rPr>
                <w:rFonts w:ascii="Arial" w:hAnsi="Arial" w:cs="Arial"/>
                <w:b w:val="0"/>
                <w:i w:val="0"/>
                <w:sz w:val="18"/>
              </w:rPr>
              <w:t>Scenarios idle, impact, sos and linkloss</w:t>
            </w:r>
          </w:p>
        </w:tc>
      </w:tr>
      <w:tr>
        <w:trPr>
          <w:cantSplit/>
        </w:trPr>
        <w:tc>
          <w:tcPr>
            <w:tcW w:type="dxa" w:w="1500"/>
          </w:tcPr>
          <w:p>
            <w:pPr>
              <w:spacing w:before="0" w:after="0" w:line="240" w:lineRule="auto"/>
            </w:pPr>
            <w:r>
              <w:rPr>
                <w:rFonts w:ascii="Arial" w:hAnsi="Arial" w:cs="Arial"/>
                <w:b w:val="0"/>
                <w:i w:val="0"/>
                <w:sz w:val="18"/>
              </w:rPr>
              <w:t>Documentation</w:t>
            </w:r>
          </w:p>
        </w:tc>
        <w:tc>
          <w:tcPr>
            <w:tcW w:type="dxa" w:w="2900"/>
          </w:tcPr>
          <w:p>
            <w:pPr>
              <w:spacing w:before="0" w:after="0" w:line="240" w:lineRule="auto"/>
            </w:pPr>
            <w:r>
              <w:rPr>
                <w:rFonts w:ascii="Arial" w:hAnsi="Arial" w:cs="Arial"/>
                <w:b w:val="0"/>
                <w:i w:val="0"/>
                <w:sz w:val="18"/>
              </w:rPr>
              <w:t>README.md, docs/HARDWARE.md, docs/PROTOCOL.md, CITATION.cff, SHA256SUMS.txt</w:t>
            </w:r>
          </w:p>
        </w:tc>
        <w:tc>
          <w:tcPr>
            <w:tcW w:type="dxa" w:w="2300"/>
          </w:tcPr>
          <w:p>
            <w:pPr>
              <w:spacing w:before="0" w:after="0" w:line="240" w:lineRule="auto"/>
            </w:pPr>
            <w:r>
              <w:rPr>
                <w:rFonts w:ascii="Arial" w:hAnsi="Arial" w:cs="Arial"/>
                <w:b w:val="0"/>
                <w:i w:val="0"/>
                <w:sz w:val="18"/>
              </w:rPr>
              <w:t>Build and wiring instructions, packet layouts with byte offsets, HTTP interface, limitations</w:t>
            </w:r>
          </w:p>
        </w:tc>
        <w:tc>
          <w:tcPr>
            <w:tcW w:type="dxa" w:w="2660"/>
          </w:tcPr>
          <w:p>
            <w:pPr>
              <w:spacing w:before="0" w:after="0" w:line="240" w:lineRule="auto"/>
            </w:pPr>
            <w:r>
              <w:rPr>
                <w:rFonts w:ascii="Arial" w:hAnsi="Arial" w:cs="Arial"/>
                <w:b w:val="0"/>
                <w:i w:val="0"/>
                <w:sz w:val="18"/>
              </w:rPr>
              <w:t>—</w:t>
            </w:r>
          </w:p>
        </w:tc>
      </w:tr>
    </w:tbl>
    <w:p>
      <w:pPr>
        <w:spacing w:before="0" w:after="120" w:line="240" w:lineRule="auto"/>
      </w:pPr>
    </w:p>
    <w:p>
      <w:pPr>
        <w:spacing w:before="0" w:after="120" w:line="240" w:lineRule="auto"/>
      </w:pPr>
      <w:r>
        <w:rPr>
          <w:rFonts w:ascii="Arial" w:hAnsi="Arial" w:cs="Arial"/>
          <w:b w:val="0"/>
          <w:i w:val="0"/>
          <w:sz w:val="22"/>
        </w:rPr>
        <w:t>The gateway serves a single offline page at http://192.168.4.1 that polls a JSON endpoint once per second (Fig. 6). Personnel cards show the heart rate with its state (measured, simulated, sensor not on finger, motion, acquiring), skin temperature, activity, impact and SOS; fixed-node channels show value, status, a short explanation and a trend; side panels show signs of life, a rule-based situation assessment and the event log (Fig. 6a,b). A node that stops reporting keeps its last data under an explicit no-link notice instead of being shown as normal (Fig. 6d), matching the rules of Incident Lab: observations stay latched, a lost source is not reported as normal, and an SOS is displayed regardless of other channels. The simulator mock_gateway.py serves the unchanged page with synthetic data in four scenarios (normal operation, impact, SOS and link loss), so the interface can be inspected without hardware (Fig. 6c,d). For this paper, the simulator was run in all four scenarios and its pages were rendered in Chromium without script errors, and the 40- and 55-byte packet sizes were confirmed by compiling the packed structures on the host.</w:t>
      </w:r>
    </w:p>
    <w:p>
      <w:pPr>
        <w:keepNext/>
        <w:spacing w:before="120" w:after="0" w:line="240" w:lineRule="auto"/>
        <w:jc w:val="center"/>
      </w:pPr>
      <w:r>
        <w:drawing>
          <wp:inline xmlns:a="http://schemas.openxmlformats.org/drawingml/2006/main" xmlns:pic="http://schemas.openxmlformats.org/drawingml/2006/picture">
            <wp:extent cx="5943600" cy="3991292"/>
            <wp:docPr id="6" name="Picture 6"/>
            <wp:cNvGraphicFramePr>
              <a:graphicFrameLocks noChangeAspect="1"/>
            </wp:cNvGraphicFramePr>
            <a:graphic>
              <a:graphicData uri="http://schemas.openxmlformats.org/drawingml/2006/picture">
                <pic:pic>
                  <pic:nvPicPr>
                    <pic:cNvPr id="0" name="fig6_interface.png"/>
                    <pic:cNvPicPr/>
                  </pic:nvPicPr>
                  <pic:blipFill>
                    <a:blip r:embed="rId31"/>
                    <a:stretch>
                      <a:fillRect/>
                    </a:stretch>
                  </pic:blipFill>
                  <pic:spPr>
                    <a:xfrm>
                      <a:off x="0" y="0"/>
                      <a:ext cx="5943600" cy="3991292"/>
                    </a:xfrm>
                    <a:prstGeom prst="rect"/>
                  </pic:spPr>
                </pic:pic>
              </a:graphicData>
            </a:graphic>
          </wp:inline>
        </w:drawing>
      </w:r>
    </w:p>
    <w:p>
      <w:pPr>
        <w:keepLines/>
        <w:spacing w:before="60" w:after="240" w:line="240" w:lineRule="auto"/>
      </w:pPr>
      <w:r>
        <w:rPr>
          <w:rFonts w:ascii="Arial" w:hAnsi="Arial" w:cs="Arial"/>
          <w:b/>
          <w:i w:val="0"/>
          <w:sz w:val="19"/>
        </w:rPr>
        <w:t>Fig. 6.</w:t>
      </w:r>
      <w:r>
        <w:rPr>
          <w:rFonts w:ascii="Arial" w:hAnsi="Arial" w:cs="Arial"/>
          <w:b w:val="0"/>
          <w:i w:val="0"/>
          <w:sz w:val="19"/>
        </w:rPr>
        <w:t xml:space="preserve"> Local monitoring interface of the bench prototype [31]. (a, b) Screen captures of the gateway dashboard during a bench run: personnel cards with no finger on the PPG sensors, side panels, and the sensor cards of node A01 with their trends. (c, d) The unchanged dashboard served by the interface simulator with synthetic data: (c) latched alarms and the situation assessment after a simulated impact, with the heart rate marked SIMULATED; (d) a node whose link is lost keeps its last data under a no-link notice. Readings are uncalibrated; the cause phrases in the assessment are interface wording, not verified causes (see Known issues, Section 3).</w:t>
      </w:r>
    </w:p>
    <w:p>
      <w:pPr>
        <w:spacing w:before="0" w:after="120" w:line="240" w:lineRule="auto"/>
      </w:pPr>
      <w:r>
        <w:rPr>
          <w:rFonts w:ascii="Arial" w:hAnsi="Arial" w:cs="Arial"/>
          <w:b w:val="0"/>
          <w:i/>
          <w:sz w:val="22"/>
        </w:rPr>
        <w:t>Known issues.</w:t>
      </w:r>
      <w:r>
        <w:rPr>
          <w:rFonts w:ascii="Arial" w:hAnsi="Arial" w:cs="Arial"/>
          <w:b w:val="0"/>
          <w:i w:val="0"/>
          <w:sz w:val="22"/>
        </w:rPr>
        <w:t xml:space="preserve"> The firmware tests document two behaviours that are reported rather than silently changed: when all slots of the RAM buffer hold urgent records, an incoming telemetry record evicts the oldest urgent record (Fig. S4), and a cumulative acknowledgement releases all sequences at or below its watermark, including unsent ones, so it must be issued only after durable commit and gap accounting. The dashboard of the bench prototype derives cause phrases from fixed thresholds (for example, “Likely a hit or an explosion nearby”, Fig. 6c); these are interface wording, not verified causes, whereas Incident Lab accepts a strike attribution only from an authoritative external source class (Section 2.1).</w:t>
      </w:r>
    </w:p>
    <w:p>
      <w:pPr>
        <w:spacing w:before="0" w:after="120" w:line="240" w:lineRule="auto"/>
      </w:pPr>
      <w:r>
        <w:rPr>
          <w:rFonts w:ascii="Arial" w:hAnsi="Arial" w:cs="Arial"/>
          <w:b w:val="0"/>
          <w:i/>
          <w:sz w:val="22"/>
        </w:rPr>
        <w:t>Limitations.</w:t>
      </w:r>
      <w:r>
        <w:rPr>
          <w:rFonts w:ascii="Arial" w:hAnsi="Arial" w:cs="Arial"/>
          <w:b w:val="0"/>
          <w:i w:val="0"/>
          <w:sz w:val="22"/>
        </w:rPr>
        <w:t xml:space="preserve"> (i) </w:t>
      </w:r>
      <w:r>
        <w:rPr>
          <w:rFonts w:ascii="Arial" w:hAnsi="Arial" w:cs="Arial"/>
          <w:b w:val="0"/>
          <w:i/>
          <w:sz w:val="22"/>
        </w:rPr>
        <w:t>Data and validation.</w:t>
      </w:r>
      <w:r>
        <w:rPr>
          <w:rFonts w:ascii="Arial" w:hAnsi="Arial" w:cs="Arial"/>
          <w:b w:val="0"/>
          <w:i w:val="0"/>
          <w:sz w:val="22"/>
        </w:rPr>
        <w:t xml:space="preserve"> All quantitative results are obtained on synthetic or transcribed inputs that contain no records of real incidents, sites or persons. The bench sensors were uncalibrated; no trial at an operating facility, no study with coordinators or rescue teams and no comparison of the heart-rate estimate with a reference device have been performed, so detection accuracy, false-alarm rates and the benefit for response decisions are not established. (ii) </w:t>
      </w:r>
      <w:r>
        <w:rPr>
          <w:rFonts w:ascii="Arial" w:hAnsi="Arial" w:cs="Arial"/>
          <w:b w:val="0"/>
          <w:i/>
          <w:sz w:val="22"/>
        </w:rPr>
        <w:t>Timeliness.</w:t>
      </w:r>
      <w:r>
        <w:rPr>
          <w:rFonts w:ascii="Arial" w:hAnsi="Arial" w:cs="Arial"/>
          <w:b w:val="0"/>
          <w:i w:val="0"/>
          <w:sz w:val="22"/>
        </w:rPr>
        <w:t xml:space="preserve"> “Rapid” refers to software processing time; end-to-end latency depends on whether radio links, gateways and power supply survive the strike, and evidence that does not arrive is reported as missing or unknown, never inferred. (iii) </w:t>
      </w:r>
      <w:r>
        <w:rPr>
          <w:rFonts w:ascii="Arial" w:hAnsi="Arial" w:cs="Arial"/>
          <w:b w:val="0"/>
          <w:i/>
          <w:sz w:val="22"/>
        </w:rPr>
        <w:t>Sensing.</w:t>
      </w:r>
      <w:r>
        <w:rPr>
          <w:rFonts w:ascii="Arial" w:hAnsi="Arial" w:cs="Arial"/>
          <w:b w:val="0"/>
          <w:i w:val="0"/>
          <w:sz w:val="22"/>
        </w:rPr>
        <w:t xml:space="preserve"> Stationary nodes observe only their own zones; the motion sensor needs line of sight, so people under debris may not be detected, and physiological readings exist only for personnel wearing a working device. (iv) </w:t>
      </w:r>
      <w:r>
        <w:rPr>
          <w:rFonts w:ascii="Arial" w:hAnsi="Arial" w:cs="Arial"/>
          <w:b w:val="0"/>
          <w:i/>
          <w:sz w:val="22"/>
        </w:rPr>
        <w:t>Decision support.</w:t>
      </w:r>
      <w:r>
        <w:rPr>
          <w:rFonts w:ascii="Arial" w:hAnsi="Arial" w:cs="Arial"/>
          <w:b w:val="0"/>
          <w:i w:val="0"/>
          <w:sz w:val="22"/>
        </w:rPr>
        <w:t xml:space="preserve"> Rules and thresholds are illustrative and must be set by the facility operator; allocations are optimal only with respect to the declared weights, capacities and mandatory services. All outputs are proposals for human approval: in the taxonomy of levels of automation [32] the module stops at suggesting actions. The software is not a medical device and has not been assessed against medical-device regulation, which depends on intended use [33]. (v) </w:t>
      </w:r>
      <w:r>
        <w:rPr>
          <w:rFonts w:ascii="Arial" w:hAnsi="Arial" w:cs="Arial"/>
          <w:b w:val="0"/>
          <w:i/>
          <w:sz w:val="22"/>
        </w:rPr>
        <w:t>Security.</w:t>
      </w:r>
      <w:r>
        <w:rPr>
          <w:rFonts w:ascii="Arial" w:hAnsi="Arial" w:cs="Arial"/>
          <w:b w:val="0"/>
          <w:i w:val="0"/>
          <w:sz w:val="22"/>
        </w:rPr>
        <w:t xml:space="preserve"> The CRC provides no authentication; the ESP-NOW packets of the prototype are neither encrypted nor authenticated, and its access-point password is fixed in the source. The approval role is a declared value, not an authenticated identity, and the unkeyed hash chain cannot prove that a log was not rewritten as a whole. Deployment in operational-technology environments would require integrity and availability controls [34] that this software does not provide. (vi) </w:t>
      </w:r>
      <w:r>
        <w:rPr>
          <w:rFonts w:ascii="Arial" w:hAnsi="Arial" w:cs="Arial"/>
          <w:b w:val="0"/>
          <w:i/>
          <w:sz w:val="22"/>
        </w:rPr>
        <w:t>Scale and environment.</w:t>
      </w:r>
      <w:r>
        <w:rPr>
          <w:rFonts w:ascii="Arial" w:hAnsi="Arial" w:cs="Arial"/>
          <w:b w:val="0"/>
          <w:i w:val="0"/>
          <w:sz w:val="22"/>
        </w:rPr>
        <w:t xml:space="preserve"> Performance was measured on one 2-vCPU virtual machine with up to 200,000 records, the current-state query scans all stored records, and the fixed-node firmware source is not included in the prototype archive.</w:t>
      </w:r>
    </w:p>
    <w:p>
      <w:pPr>
        <w:pStyle w:val="Rubrik1"/>
        <w:keepNext/>
        <w:numPr>
          <w:ilvl w:val="0"/>
          <w:numId w:val="1"/>
        </w:numPr>
        <w:spacing w:before="240" w:after="120" w:line="240" w:lineRule="auto"/>
        <w:ind w:left="432" w:hanging="432"/>
        <w:rPr>
          <w:rFonts w:ascii="Arial" w:hAnsi="Arial" w:cs="Arial"/>
          <w:b/>
          <w:sz w:val="22"/>
        </w:rPr>
      </w:pPr>
      <w:r>
        <w:rPr>
          <w:rFonts w:ascii="Arial" w:hAnsi="Arial" w:cs="Arial"/>
          <w:b/>
          <w:i w:val="0"/>
          <w:sz w:val="22"/>
        </w:rPr>
        <w:t>Impact</w:t>
      </w:r>
    </w:p>
    <w:p>
      <w:pPr>
        <w:spacing w:before="0" w:after="120" w:line="240" w:lineRule="auto"/>
      </w:pPr>
      <w:r>
        <w:rPr>
          <w:rFonts w:ascii="Arial" w:hAnsi="Arial" w:cs="Arial"/>
          <w:b w:val="0"/>
          <w:i w:val="0"/>
          <w:sz w:val="22"/>
        </w:rPr>
        <w:t>The software lets a researcher hold an incident constant while changing the rule that interprets it. For operators of critical infrastructure this means that the rules by which strike consequences will be assessed, and rescue and recovery logistics planned, can be prepared and tested before an attack, and that coordinators can be trained on replayed strike scenarios. Typical uses are comparing aggregation or detection rules under identical gaps and delays (Section 3); testing how rules cope with incomplete data; replaying incidents in a controlled time order; studying how capacity, permissions and mandatory services restrict admissible decisions; and teaching stream-data quality in the laboratory.</w:t>
      </w:r>
    </w:p>
    <w:p>
      <w:pPr>
        <w:spacing w:before="0" w:after="120" w:line="240" w:lineRule="auto"/>
      </w:pPr>
      <w:r>
        <w:rPr>
          <w:rFonts w:ascii="Arial" w:hAnsi="Arial" w:cs="Arial"/>
          <w:b w:val="0"/>
          <w:i w:val="0"/>
          <w:sz w:val="22"/>
        </w:rPr>
        <w:t xml:space="preserve">Adaptation changes parameters and data files, not algorithms (Fig. 4d; Fig. S5). Declaring water support mandatory in the service list makes </w:t>
      </w:r>
      <w:r>
        <w:rPr>
          <w:rFonts w:ascii="Arial" w:hAnsi="Arial" w:cs="Arial"/>
          <w:b w:val="0"/>
          <w:i/>
          <w:sz w:val="22"/>
        </w:rPr>
        <w:t>B</w:t>
      </w:r>
      <w:r>
        <w:rPr>
          <w:rFonts w:ascii="Arial" w:hAnsi="Arial" w:cs="Arial"/>
          <w:b w:val="0"/>
          <w:i w:val="0"/>
          <w:sz w:val="22"/>
        </w:rPr>
        <w:t xml:space="preserve"> = 3–5 infeasible (default </w:t>
      </w:r>
      <w:r>
        <w:rPr>
          <w:rFonts w:ascii="Arial" w:hAnsi="Arial" w:cs="Arial"/>
          <w:b w:val="0"/>
          <w:i/>
          <w:sz w:val="22"/>
        </w:rPr>
        <w:t>Q</w:t>
      </w:r>
      <w:r>
        <w:rPr>
          <w:rFonts w:ascii="Arial" w:hAnsi="Arial" w:cs="Arial"/>
          <w:b w:val="0"/>
          <w:i w:val="0"/>
          <w:sz w:val="22"/>
        </w:rPr>
        <w:t xml:space="preserve"> = 68.75%) and leaves </w:t>
      </w:r>
      <w:r>
        <w:rPr>
          <w:rFonts w:ascii="Arial" w:hAnsi="Arial" w:cs="Arial"/>
          <w:b w:val="0"/>
          <w:i/>
          <w:sz w:val="22"/>
        </w:rPr>
        <w:t>Q</w:t>
      </w:r>
      <w:r>
        <w:rPr>
          <w:rFonts w:ascii="Arial" w:hAnsi="Arial" w:cs="Arial"/>
          <w:b w:val="0"/>
          <w:i w:val="0"/>
          <w:sz w:val="22"/>
        </w:rPr>
        <w:t xml:space="preserve"> unchanged for </w:t>
      </w:r>
      <w:r>
        <w:rPr>
          <w:rFonts w:ascii="Arial" w:hAnsi="Arial" w:cs="Arial"/>
          <w:b w:val="0"/>
          <w:i/>
          <w:sz w:val="22"/>
        </w:rPr>
        <w:t>B</w:t>
      </w:r>
      <w:r>
        <w:rPr>
          <w:rFonts w:ascii="Arial" w:hAnsi="Arial" w:cs="Arial"/>
          <w:b w:val="0"/>
          <w:i w:val="0"/>
          <w:sz w:val="22"/>
        </w:rPr>
        <w:t xml:space="preserve"> ≥ 6. Lengthening the freshness horizon changes which devices remain current during a synthetic 10-min gateway outage (minutes 8–18): at minute 9, 7, 8 and 12 of the 12 devices are current for horizons of 20, 60 and 120 s, and after reconnection at minute 19, 10 devices are current for all three. A new scenario is a dataset directory in the documented format, and a new rule can be added beside physio_current_state and compared on the same streams. The bench-prototype archive [31] links the event types of the synthetic scenarios to the firmware that produced them; other groups can rebuild the bench setup, or adapt and test the dashboard with the simulator before connecting hardware.</w:t>
      </w:r>
    </w:p>
    <w:p>
      <w:pPr>
        <w:spacing w:before="0" w:after="120" w:line="240" w:lineRule="auto"/>
      </w:pPr>
      <w:r>
        <w:rPr>
          <w:rFonts w:ascii="Arial" w:hAnsi="Arial" w:cs="Arial"/>
          <w:b w:val="0"/>
          <w:i w:val="0"/>
          <w:sz w:val="22"/>
        </w:rPr>
        <w:t>Deterministic replay, embedded inputs, checksums and stored reference values support the reproducibility expected of research software [35–37]. The next step is a comparative evaluation on independently acquired data with qualified clocks and retained primary logs. No use by other institutions, user numbers or economic effects are claimed.</w:t>
      </w:r>
    </w:p>
    <w:p>
      <w:pPr>
        <w:pStyle w:val="Rubrik1"/>
        <w:keepNext/>
        <w:numPr>
          <w:ilvl w:val="0"/>
          <w:numId w:val="1"/>
        </w:numPr>
        <w:spacing w:before="240" w:after="120" w:line="240" w:lineRule="auto"/>
        <w:ind w:left="432" w:hanging="432"/>
        <w:rPr>
          <w:rFonts w:ascii="Arial" w:hAnsi="Arial" w:cs="Arial"/>
          <w:b/>
          <w:sz w:val="22"/>
        </w:rPr>
      </w:pPr>
      <w:r>
        <w:rPr>
          <w:rFonts w:ascii="Arial" w:hAnsi="Arial" w:cs="Arial"/>
          <w:b/>
          <w:i w:val="0"/>
          <w:sz w:val="22"/>
        </w:rPr>
        <w:t>Conclusions</w:t>
      </w:r>
    </w:p>
    <w:p>
      <w:pPr>
        <w:spacing w:before="0" w:after="120" w:line="240" w:lineRule="auto"/>
      </w:pPr>
      <w:r>
        <w:rPr>
          <w:rFonts w:ascii="Arial" w:hAnsi="Arial" w:cs="Arial"/>
          <w:b w:val="0"/>
          <w:i w:val="0"/>
          <w:sz w:val="22"/>
        </w:rPr>
        <w:t>UMSF Incident Lab supports the rapid assessment of the consequences of a missile strike on a critical infrastructure facility and the planning of the response logistics: rescue of personnel, allocation of scarce resources to essential services and the order of recovery work. It provides an open, reproducible way to replay multisensor incident streams in which every observation carries an explicit evidence state, so that missing, delayed or conflicting data are not mistaken for an all-clear, and decisions are restricted by coverage, freshness, authorization and mandatory-service constraints. Its linked decision-support module turns the assessed state into rescue-task assignments, service allocations and repair schedules in less than a second of processing time, always as proposals for a human coordinator. The scenarios follow real missile strikes on Ukrainian critical infrastructure in 2026, while all inputs remain synthetic. Version 1.2.0 offers re-executable behaviour that others can rerun, modify and extend [15–17,31]; validation in an operating facility is the next step.</w:t>
      </w:r>
    </w:p>
    <w:p>
      <w:pPr>
        <w:keepNext/>
        <w:spacing w:before="240" w:after="80" w:line="240" w:lineRule="auto"/>
      </w:pPr>
      <w:r>
        <w:rPr>
          <w:rFonts w:ascii="Arial" w:hAnsi="Arial" w:cs="Arial"/>
          <w:b/>
          <w:i w:val="0"/>
          <w:sz w:val="22"/>
        </w:rPr>
        <w:t>CRediT authorship contribution statement</w:t>
      </w:r>
    </w:p>
    <w:p>
      <w:pPr>
        <w:spacing w:before="0" w:after="120" w:line="240" w:lineRule="auto"/>
      </w:pPr>
      <w:r>
        <w:rPr>
          <w:rFonts w:ascii="Arial" w:hAnsi="Arial" w:cs="Arial"/>
          <w:b/>
          <w:i w:val="0"/>
          <w:sz w:val="22"/>
        </w:rPr>
        <w:t>Saltanat Adilzhanova:</w:t>
      </w:r>
      <w:r>
        <w:rPr>
          <w:rFonts w:ascii="Arial" w:hAnsi="Arial" w:cs="Arial"/>
          <w:b w:val="0"/>
          <w:i w:val="0"/>
          <w:sz w:val="22"/>
        </w:rPr>
        <w:t xml:space="preserve"> Conceptualization, Methodology, Software, Writing – original draft. </w:t>
      </w:r>
      <w:r>
        <w:rPr>
          <w:rFonts w:ascii="Arial" w:hAnsi="Arial" w:cs="Arial"/>
          <w:b/>
          <w:i w:val="0"/>
          <w:sz w:val="22"/>
        </w:rPr>
        <w:t>Olga Torstensson:</w:t>
      </w:r>
      <w:r>
        <w:rPr>
          <w:rFonts w:ascii="Arial" w:hAnsi="Arial" w:cs="Arial"/>
          <w:b w:val="0"/>
          <w:i w:val="0"/>
          <w:sz w:val="22"/>
        </w:rPr>
        <w:t xml:space="preserve"> Supervision, Validation, Writing – review &amp; editing. </w:t>
      </w:r>
      <w:r>
        <w:rPr>
          <w:rFonts w:ascii="Arial" w:hAnsi="Arial" w:cs="Arial"/>
          <w:b/>
          <w:i w:val="0"/>
          <w:sz w:val="22"/>
        </w:rPr>
        <w:t>Dmytro Prokopovych-Tkachenko:</w:t>
      </w:r>
      <w:r>
        <w:rPr>
          <w:rFonts w:ascii="Arial" w:hAnsi="Arial" w:cs="Arial"/>
          <w:b w:val="0"/>
          <w:i w:val="0"/>
          <w:sz w:val="22"/>
        </w:rPr>
        <w:t xml:space="preserve"> Methodology, Investigation, Resources, Project administration, Writing – review &amp; editing. </w:t>
      </w:r>
      <w:r>
        <w:rPr>
          <w:rFonts w:ascii="Arial" w:hAnsi="Arial" w:cs="Arial"/>
          <w:b/>
          <w:i w:val="0"/>
          <w:sz w:val="22"/>
        </w:rPr>
        <w:t>Mariia Tykhonenko:</w:t>
      </w:r>
      <w:r>
        <w:rPr>
          <w:rFonts w:ascii="Arial" w:hAnsi="Arial" w:cs="Arial"/>
          <w:b w:val="0"/>
          <w:i w:val="0"/>
          <w:sz w:val="22"/>
        </w:rPr>
        <w:t xml:space="preserve"> Investigation, Data curation, Visualization. </w:t>
      </w:r>
      <w:r>
        <w:rPr>
          <w:rFonts w:ascii="Arial" w:hAnsi="Arial" w:cs="Arial"/>
          <w:b/>
          <w:i w:val="0"/>
          <w:sz w:val="22"/>
        </w:rPr>
        <w:t>Gulzhanat Beketova:</w:t>
      </w:r>
      <w:r>
        <w:rPr>
          <w:rFonts w:ascii="Arial" w:hAnsi="Arial" w:cs="Arial"/>
          <w:b w:val="0"/>
          <w:i w:val="0"/>
          <w:sz w:val="22"/>
        </w:rPr>
        <w:t xml:space="preserve"> Formal analysis, Writing – review &amp; editing. </w:t>
      </w:r>
      <w:r>
        <w:rPr>
          <w:rFonts w:ascii="Arial" w:hAnsi="Arial" w:cs="Arial"/>
          <w:b/>
          <w:i w:val="0"/>
          <w:sz w:val="22"/>
        </w:rPr>
        <w:t>Madina Sydybayeva:</w:t>
      </w:r>
      <w:r>
        <w:rPr>
          <w:rFonts w:ascii="Arial" w:hAnsi="Arial" w:cs="Arial"/>
          <w:b w:val="0"/>
          <w:i w:val="0"/>
          <w:sz w:val="22"/>
        </w:rPr>
        <w:t xml:space="preserve"> Formal analysis, Writing – review &amp; editing.</w:t>
      </w:r>
    </w:p>
    <w:p>
      <w:pPr>
        <w:keepNext/>
        <w:spacing w:before="240" w:after="80" w:line="240" w:lineRule="auto"/>
      </w:pPr>
      <w:r>
        <w:rPr>
          <w:rFonts w:ascii="Arial" w:hAnsi="Arial" w:cs="Arial"/>
          <w:b/>
          <w:i w:val="0"/>
          <w:sz w:val="22"/>
        </w:rPr>
        <w:t>Declaration of competing interest</w:t>
      </w:r>
    </w:p>
    <w:p>
      <w:pPr>
        <w:spacing w:before="0" w:after="120" w:line="240" w:lineRule="auto"/>
      </w:pPr>
      <w:r>
        <w:rPr>
          <w:rFonts w:ascii="Arial" w:hAnsi="Arial" w:cs="Arial"/>
          <w:b w:val="0"/>
          <w:i w:val="0"/>
          <w:sz w:val="22"/>
        </w:rPr>
        <w:t>The authors declare that they have no known competing financial interests or personal relationships that could have appeared to influence the work reported in this paper.</w:t>
      </w:r>
    </w:p>
    <w:p>
      <w:pPr>
        <w:keepNext/>
        <w:spacing w:before="240" w:after="80" w:line="240" w:lineRule="auto"/>
      </w:pPr>
      <w:r>
        <w:rPr>
          <w:rFonts w:ascii="Arial" w:hAnsi="Arial" w:cs="Arial"/>
          <w:b/>
          <w:i w:val="0"/>
          <w:sz w:val="22"/>
        </w:rPr>
        <w:t>Data availability</w:t>
      </w:r>
    </w:p>
    <w:p>
      <w:pPr>
        <w:spacing w:before="0" w:after="120" w:line="240" w:lineRule="auto"/>
      </w:pPr>
      <w:r>
        <w:rPr>
          <w:rFonts w:ascii="Arial" w:hAnsi="Arial" w:cs="Arial"/>
          <w:b w:val="0"/>
          <w:i w:val="0"/>
          <w:sz w:val="22"/>
        </w:rPr>
        <w:t>The software, synthetic inputs, executed notebooks and validation reports are archived on Zenodo: UMSF Incident Lab v1.2.0 [15], https://doi.org/10.5281/zenodo.23380282; UMSF Incident AI Agent Lab v1.2.0 [16], https://doi.org/10.5281/zenodo.23380523; and UMSF Firmware Lab v1.2.0 [17], https://doi.org/10.5281/zenodo.23380409. All releases are distributed under the MIT license. The firmware and local monitoring interface of the bench prototype, with an interface simulator that uses synthetic data, are archived as UMSF Bench Prototype v1.0.0 [31], https://doi.org/10.5281/zenodo.23542153 (MIT license). Video recordings of the bench-prototype experiment are available from the corresponding author on request.</w:t>
      </w:r>
    </w:p>
    <w:p>
      <w:pPr>
        <w:keepNext/>
        <w:spacing w:before="240" w:after="80" w:line="240" w:lineRule="auto"/>
      </w:pPr>
      <w:r>
        <w:rPr>
          <w:rFonts w:ascii="Arial" w:hAnsi="Arial" w:cs="Arial"/>
          <w:b/>
          <w:i w:val="0"/>
          <w:sz w:val="22"/>
        </w:rPr>
        <w:t>Declaration of generative AI and AI-assisted technologies in the writing process</w:t>
      </w:r>
    </w:p>
    <w:p>
      <w:pPr>
        <w:spacing w:before="0" w:after="120" w:line="240" w:lineRule="auto"/>
      </w:pPr>
      <w:r>
        <w:rPr>
          <w:rFonts w:ascii="Arial" w:hAnsi="Arial" w:cs="Arial"/>
          <w:b w:val="0"/>
          <w:i w:val="0"/>
          <w:sz w:val="22"/>
        </w:rPr>
        <w:t>An AI assistant (Claude, Anthropic) was used for language editing, restructuring of the manuscript, drafting and checking of analysis and figure scripts, and re-execution checks. All figures are rendered by plotting scripts from the release data and the values reported in the text; no image was created or altered by a generative image model. Fig. 6 consists of screen captures of the prototype interface and its simulator, cropped but not otherwise altered. It was not used to generate experimental data or measurements. The authors reviewed and edited all content and take full responsibility for it.</w:t>
      </w:r>
    </w:p>
    <w:p>
      <w:pPr>
        <w:keepNext/>
        <w:spacing w:before="240" w:after="80" w:line="240" w:lineRule="auto"/>
      </w:pPr>
      <w:r>
        <w:rPr>
          <w:rFonts w:ascii="Arial" w:hAnsi="Arial" w:cs="Arial"/>
          <w:b/>
          <w:i w:val="0"/>
          <w:sz w:val="22"/>
        </w:rPr>
        <w:t>Figure provenance</w:t>
      </w:r>
    </w:p>
    <w:p>
      <w:pPr>
        <w:spacing w:before="0" w:after="120" w:line="240" w:lineRule="auto"/>
      </w:pPr>
      <w:r>
        <w:rPr>
          <w:rFonts w:ascii="Arial" w:hAnsi="Arial" w:cs="Arial"/>
          <w:b w:val="0"/>
          <w:i w:val="0"/>
          <w:sz w:val="22"/>
        </w:rPr>
        <w:t>Figs. 1–3 were drawn for this paper. Fig. 4a is redrawn from release figure 19 of UMSF Incident Lab [15]; Figs. 4b and 4c are redrawn from the replay data behind release figures 11 and 23 of UMSF Incident AI Agent Lab [16]; Fig. 4d was recomputed by exhaustive enumeration of the constructed example of Section 3. Fig. 5a summarizes the re-execution results and Figs. 5b–d the benchmark of Section 3, all obtained with the unchanged v1.2.0 code. Figs. 6a and 6b are screen captures of the gateway dashboard during a bench run (uncalibrated readings); Figs. 6c and 6d are screen captures of the unchanged dashboard served by the interface simulator of [31] with synthetic data. The panels were cropped but not otherwise altered. The provenance of Figs. S1–S9 is given in the Supplementary material.</w:t>
      </w:r>
    </w:p>
    <w:p>
      <w:pPr>
        <w:keepNext/>
        <w:spacing w:before="240" w:after="80" w:line="240" w:lineRule="auto"/>
      </w:pPr>
      <w:r>
        <w:rPr>
          <w:rFonts w:ascii="Arial" w:hAnsi="Arial" w:cs="Arial"/>
          <w:b/>
          <w:i w:val="0"/>
          <w:sz w:val="22"/>
        </w:rPr>
        <w:t>Acknowledgements</w:t>
      </w:r>
    </w:p>
    <w:p>
      <w:pPr>
        <w:spacing w:before="0" w:after="120" w:line="240" w:lineRule="auto"/>
      </w:pPr>
      <w:r>
        <w:rPr>
          <w:rFonts w:ascii="Arial" w:hAnsi="Arial" w:cs="Arial"/>
          <w:b w:val="0"/>
          <w:i w:val="0"/>
          <w:sz w:val="22"/>
        </w:rPr>
        <w:t>The authors thank Halmstad University for supporting the payment of the article processing charge, and the University of Customs and Finance, Dnipro, Ukraine, for providing the laboratory in which the bench-prototype experiment was carried out. This research did not receive any specific grant from funding agencies in the public, commercial, or not-for-profit sectors.</w:t>
      </w:r>
    </w:p>
    <w:p>
      <w:pPr>
        <w:keepNext/>
        <w:spacing w:before="240" w:after="80" w:line="240" w:lineRule="auto"/>
      </w:pPr>
      <w:r>
        <w:rPr>
          <w:rFonts w:ascii="Arial" w:hAnsi="Arial" w:cs="Arial"/>
          <w:b/>
          <w:i w:val="0"/>
          <w:sz w:val="22"/>
        </w:rPr>
        <w:t>Appendix A. Supplementary data</w:t>
      </w:r>
    </w:p>
    <w:p>
      <w:pPr>
        <w:spacing w:before="0" w:after="120" w:line="240" w:lineRule="auto"/>
      </w:pPr>
      <w:r>
        <w:rPr>
          <w:rFonts w:ascii="Arial" w:hAnsi="Arial" w:cs="Arial"/>
          <w:b w:val="0"/>
          <w:i w:val="0"/>
          <w:sz w:val="22"/>
        </w:rPr>
        <w:t>Supplementary material related to this article (Section S1 on the bench prototype and Figs. S1–S9) is provided as a separate file; Figs. S8 and S9 are available at https://github.com/omega2417/bnt/blob/claude/amazing-mayer-2fbcqe/papers/UMSF_Incident_Lab_Supplementary_Figs_S8-S9.docx. The source code of the bench prototype is archived separately [31].</w:t>
      </w:r>
    </w:p>
    <w:p>
      <w:pPr>
        <w:pStyle w:val="Rubrik1"/>
        <w:keepNext/>
        <w:spacing w:before="300" w:after="120" w:line="240" w:lineRule="auto"/>
        <w:rPr>
          <w:rFonts w:ascii="Arial" w:hAnsi="Arial" w:cs="Arial"/>
          <w:b/>
          <w:sz w:val="22"/>
        </w:rPr>
      </w:pPr>
      <w:r>
        <w:rPr>
          <w:rFonts w:ascii="Arial" w:hAnsi="Arial" w:cs="Arial"/>
          <w:b/>
          <w:i w:val="0"/>
          <w:sz w:val="22"/>
        </w:rPr>
        <w:t>References</w:t>
      </w:r>
    </w:p>
    <w:p>
      <w:pPr>
        <w:tabs>
          <w:tab w:pos="504" w:val="left"/>
        </w:tabs>
        <w:spacing w:before="0" w:after="80" w:line="240" w:lineRule="auto"/>
        <w:ind w:left="504" w:hanging="504"/>
      </w:pPr>
      <w:r>
        <w:rPr>
          <w:rFonts w:ascii="Arial" w:hAnsi="Arial" w:cs="Arial"/>
          <w:b w:val="0"/>
          <w:i w:val="0"/>
          <w:sz w:val="20"/>
        </w:rPr>
        <w:t>[1]</w:t>
        <w:tab/>
        <w:t>Federal Emergency Management Agency, National Incident Management System, 3rd ed., FEMA, Washington, DC, October 2017, https://training.fema.gov/EMIWeb/IS/IS700b/Handouts/National_Incident_Management%20System_Third%20Edition_October_2017.pdf. Accessed 21 October 2026.</w:t>
      </w:r>
    </w:p>
    <w:p>
      <w:pPr>
        <w:tabs>
          <w:tab w:pos="504" w:val="left"/>
        </w:tabs>
        <w:spacing w:before="0" w:after="80" w:line="240" w:lineRule="auto"/>
        <w:ind w:left="504" w:hanging="504"/>
      </w:pPr>
      <w:r>
        <w:rPr>
          <w:rFonts w:ascii="Arial" w:hAnsi="Arial" w:cs="Arial"/>
          <w:b w:val="0"/>
          <w:i w:val="0"/>
          <w:sz w:val="20"/>
        </w:rPr>
        <w:t>[2]</w:t>
        <w:tab/>
        <w:t>International Search and Rescue Advisory Group (INSARAG), INSARAG Guidelines, 2020 edition, https://insarag.org/methodology/insarag-guidelines/. Accessed 21 October 2026.</w:t>
      </w:r>
    </w:p>
    <w:p>
      <w:pPr>
        <w:tabs>
          <w:tab w:pos="504" w:val="left"/>
        </w:tabs>
        <w:spacing w:before="0" w:after="80" w:line="240" w:lineRule="auto"/>
        <w:ind w:left="504" w:hanging="504"/>
      </w:pPr>
      <w:r>
        <w:rPr>
          <w:rFonts w:ascii="Arial" w:hAnsi="Arial" w:cs="Arial"/>
          <w:b w:val="0"/>
          <w:i w:val="0"/>
          <w:sz w:val="20"/>
        </w:rPr>
        <w:t>[3]</w:t>
        <w:tab/>
        <w:t>World Bank, Government of Ukraine, European Commission and United Nations, Updated Ukraine Recovery and Reconstruction Needs Assessment Released, 23 February 2026. https://www.worldbank.org/en/news/press-release/2026/02/23/updated-ukraine-recovery-and-reconstruction-needs-assessment-released. Accessed 14 October 2026.</w:t>
      </w:r>
    </w:p>
    <w:p>
      <w:pPr>
        <w:tabs>
          <w:tab w:pos="504" w:val="left"/>
        </w:tabs>
        <w:spacing w:before="0" w:after="80" w:line="240" w:lineRule="auto"/>
        <w:ind w:left="504" w:hanging="504"/>
      </w:pPr>
      <w:r>
        <w:rPr>
          <w:rFonts w:ascii="Arial" w:hAnsi="Arial" w:cs="Arial"/>
          <w:b w:val="0"/>
          <w:i w:val="0"/>
          <w:sz w:val="20"/>
        </w:rPr>
        <w:t>[4]</w:t>
        <w:tab/>
        <w:t>International Energy Agency, Ukraine’s Energy Security and the Coming Winter, IEA, Paris, 2024. https://www.iea.org/reports/ukraines-energy-security-and-the-coming-winter. Accessed 14 October 2026.</w:t>
      </w:r>
    </w:p>
    <w:p>
      <w:pPr>
        <w:tabs>
          <w:tab w:pos="504" w:val="left"/>
        </w:tabs>
        <w:spacing w:before="0" w:after="80" w:line="240" w:lineRule="auto"/>
        <w:ind w:left="504" w:hanging="504"/>
      </w:pPr>
      <w:r>
        <w:rPr>
          <w:rFonts w:ascii="Arial" w:hAnsi="Arial" w:cs="Arial"/>
          <w:b w:val="0"/>
          <w:i w:val="0"/>
          <w:sz w:val="20"/>
        </w:rPr>
        <w:t>[5]</w:t>
        <w:tab/>
        <w:t>R.J.A. Little, D.B. Rubin, Statistical Analysis with Missing Data, 3rd ed., Wiley, Hoboken, NJ, 2019, https://doi.org/10.1002/9781119482260.</w:t>
      </w:r>
    </w:p>
    <w:p>
      <w:pPr>
        <w:tabs>
          <w:tab w:pos="504" w:val="left"/>
        </w:tabs>
        <w:spacing w:before="0" w:after="80" w:line="240" w:lineRule="auto"/>
        <w:ind w:left="504" w:hanging="504"/>
      </w:pPr>
      <w:r>
        <w:rPr>
          <w:rFonts w:ascii="Arial" w:hAnsi="Arial" w:cs="Arial"/>
          <w:b w:val="0"/>
          <w:i w:val="0"/>
          <w:sz w:val="20"/>
        </w:rPr>
        <w:t>[6]</w:t>
        <w:tab/>
        <w:t>R.Y. Wang, D.M. Strong, Beyond accuracy: what data quality means to data consumers, J. Manag. Inf. Syst. 12 (4) (1996) 5–33, https://doi.org/10.1080/07421222.1996.11518099.</w:t>
      </w:r>
    </w:p>
    <w:p>
      <w:pPr>
        <w:tabs>
          <w:tab w:pos="504" w:val="left"/>
        </w:tabs>
        <w:spacing w:before="0" w:after="80" w:line="240" w:lineRule="auto"/>
        <w:ind w:left="504" w:hanging="504"/>
      </w:pPr>
      <w:r>
        <w:rPr>
          <w:rFonts w:ascii="Arial" w:hAnsi="Arial" w:cs="Arial"/>
          <w:b w:val="0"/>
          <w:i w:val="0"/>
          <w:sz w:val="20"/>
        </w:rPr>
        <w:t>[7]</w:t>
        <w:tab/>
        <w:t>B. Bent, B.A. Goldstein, W.A. Kibbe, J.P. Dunn, Investigating sources of inaccuracy in wearable optical heart rate sensors, npj Digital Medicine 3 (2020) 18, https://doi.org/10.1038/s41746-020-0226-6.</w:t>
      </w:r>
    </w:p>
    <w:p>
      <w:pPr>
        <w:tabs>
          <w:tab w:pos="504" w:val="left"/>
        </w:tabs>
        <w:spacing w:before="0" w:after="80" w:line="240" w:lineRule="auto"/>
        <w:ind w:left="504" w:hanging="504"/>
      </w:pPr>
      <w:r>
        <w:rPr>
          <w:rFonts w:ascii="Arial" w:hAnsi="Arial" w:cs="Arial"/>
          <w:b w:val="0"/>
          <w:i w:val="0"/>
          <w:sz w:val="20"/>
        </w:rPr>
        <w:t>[8]</w:t>
        <w:tab/>
        <w:t>W.E. Walker, P. Harremoës, J. Rotmans, J.P. van der Sluijs, M.B.A. van Asselt, P. Janssen, M.P. Krayer von Krauss, Defining uncertainty: a conceptual basis for uncertainty management in model-based decision support, Integr. Assess. 4 (1) (2003) 5–17, https://doi.org/10.1076/iaij.4.1.5.16466.</w:t>
      </w:r>
    </w:p>
    <w:p>
      <w:pPr>
        <w:tabs>
          <w:tab w:pos="504" w:val="left"/>
        </w:tabs>
        <w:spacing w:before="0" w:after="80" w:line="240" w:lineRule="auto"/>
        <w:ind w:left="504" w:hanging="504"/>
      </w:pPr>
      <w:r>
        <w:rPr>
          <w:rFonts w:ascii="Arial" w:hAnsi="Arial" w:cs="Arial"/>
          <w:b w:val="0"/>
          <w:i w:val="0"/>
          <w:sz w:val="20"/>
        </w:rPr>
        <w:t>[9]</w:t>
        <w:tab/>
        <w:t>Equivital, Black Ghost, Official product documentation, https://equivital.com/products/black-ghost. Accessed 10 September 2026.</w:t>
      </w:r>
    </w:p>
    <w:p>
      <w:pPr>
        <w:tabs>
          <w:tab w:pos="504" w:val="left"/>
        </w:tabs>
        <w:spacing w:before="0" w:after="80" w:line="240" w:lineRule="auto"/>
        <w:ind w:left="504" w:hanging="504"/>
      </w:pPr>
      <w:r>
        <w:rPr>
          <w:rFonts w:ascii="Arial" w:hAnsi="Arial" w:cs="Arial"/>
          <w:b w:val="0"/>
          <w:i w:val="0"/>
          <w:sz w:val="20"/>
        </w:rPr>
        <w:t>[10]</w:t>
        <w:tab/>
        <w:t>SlateSafety, BAND V2 Connected Safety Wearable Armband, Official product documentation, https://slatesafety.com/products/band-v2/. Accessed 10 September 2026.</w:t>
      </w:r>
    </w:p>
    <w:p>
      <w:pPr>
        <w:tabs>
          <w:tab w:pos="504" w:val="left"/>
        </w:tabs>
        <w:spacing w:before="0" w:after="80" w:line="240" w:lineRule="auto"/>
        <w:ind w:left="504" w:hanging="504"/>
      </w:pPr>
      <w:r>
        <w:rPr>
          <w:rFonts w:ascii="Arial" w:hAnsi="Arial" w:cs="Arial"/>
          <w:b w:val="0"/>
          <w:i w:val="0"/>
          <w:sz w:val="20"/>
        </w:rPr>
        <w:t>[11]</w:t>
        <w:tab/>
        <w:t>U.S. Food and Drug Administration, K242737: Empatica Health Monitoring Platform; EmbracePlus; Empatica Care; Care Portal, 510(k) premarket notification, decision date 6 June 2025, https://www.accessdata.fda.gov/cdrh_docs/pdf24/K242737.pdf. Accessed 21 October 2026.</w:t>
      </w:r>
    </w:p>
    <w:p>
      <w:pPr>
        <w:tabs>
          <w:tab w:pos="504" w:val="left"/>
        </w:tabs>
        <w:spacing w:before="0" w:after="80" w:line="240" w:lineRule="auto"/>
        <w:ind w:left="504" w:hanging="504"/>
      </w:pPr>
      <w:r>
        <w:rPr>
          <w:rFonts w:ascii="Arial" w:hAnsi="Arial" w:cs="Arial"/>
          <w:b w:val="0"/>
          <w:i w:val="0"/>
          <w:sz w:val="20"/>
        </w:rPr>
        <w:t>[12]</w:t>
        <w:tab/>
        <w:t>Apache Software Foundation, Apache Flink documentation: Timely stream processing, https://ci.apache.org/projects/flink/flink-docs-master/docs/concepts/time/. Accessed 21 October 2026.</w:t>
      </w:r>
    </w:p>
    <w:p>
      <w:pPr>
        <w:tabs>
          <w:tab w:pos="504" w:val="left"/>
        </w:tabs>
        <w:spacing w:before="0" w:after="80" w:line="240" w:lineRule="auto"/>
        <w:ind w:left="504" w:hanging="504"/>
      </w:pPr>
      <w:r>
        <w:rPr>
          <w:rFonts w:ascii="Arial" w:hAnsi="Arial" w:cs="Arial"/>
          <w:b w:val="0"/>
          <w:i w:val="0"/>
          <w:sz w:val="20"/>
        </w:rPr>
        <w:t>[13]</w:t>
        <w:tab/>
        <w:t>T. Akidau, R. Bradshaw, C. Chambers, S. Chernyak, R.J. Fernández-Moctezuma, R. Lax, S. McVeety, D. Mills, F. Perry, E. Schmidt, S. Whittle, The Dataflow Model: a practical approach to balancing correctness, latency, and cost in massive-scale, unbounded, out-of-order data processing, Proc. VLDB Endow. 8 (12) (2015) 1792–1803, https://doi.org/10.14778/2824032.2824076.</w:t>
      </w:r>
    </w:p>
    <w:p>
      <w:pPr>
        <w:tabs>
          <w:tab w:pos="504" w:val="left"/>
        </w:tabs>
        <w:spacing w:before="0" w:after="80" w:line="240" w:lineRule="auto"/>
        <w:ind w:left="504" w:hanging="504"/>
      </w:pPr>
      <w:r>
        <w:rPr>
          <w:rFonts w:ascii="Arial" w:hAnsi="Arial" w:cs="Arial"/>
          <w:b w:val="0"/>
          <w:i w:val="0"/>
          <w:sz w:val="20"/>
        </w:rPr>
        <w:t>[14]</w:t>
        <w:tab/>
        <w:t>M.R. Endsley, Toward a theory of situation awareness in dynamic systems, Hum. Factors 37 (1) (1995) 32–64, https://doi.org/10.1518/001872095779049543.</w:t>
      </w:r>
    </w:p>
    <w:p>
      <w:pPr>
        <w:tabs>
          <w:tab w:pos="504" w:val="left"/>
        </w:tabs>
        <w:spacing w:before="0" w:after="80" w:line="240" w:lineRule="auto"/>
        <w:ind w:left="504" w:hanging="504"/>
      </w:pPr>
      <w:r>
        <w:rPr>
          <w:rFonts w:ascii="Arial" w:hAnsi="Arial" w:cs="Arial"/>
          <w:b w:val="0"/>
          <w:i w:val="0"/>
          <w:sz w:val="20"/>
        </w:rPr>
        <w:t>[15]</w:t>
        <w:tab/>
        <w:t>O. Torstensson, D. Prokopovych-Tkachenko, S. Adilzhanova, M. Tykhonenko, G. Beketova, M. Sydybayeva, UMSF Incident Lab: A Self-Contained Reproducible Notebook for Evidence-Aware Multisensor Monitoring in Critical Infrastructure Incident Support, version 1.2.0 [Software], Zenodo, 2026, https://doi.org/10.5281/zenodo.23380282.</w:t>
      </w:r>
    </w:p>
    <w:p>
      <w:pPr>
        <w:tabs>
          <w:tab w:pos="504" w:val="left"/>
        </w:tabs>
        <w:spacing w:before="0" w:after="80" w:line="240" w:lineRule="auto"/>
        <w:ind w:left="504" w:hanging="504"/>
      </w:pPr>
      <w:r>
        <w:rPr>
          <w:rFonts w:ascii="Arial" w:hAnsi="Arial" w:cs="Arial"/>
          <w:b w:val="0"/>
          <w:i w:val="0"/>
          <w:sz w:val="20"/>
        </w:rPr>
        <w:t>[16]</w:t>
        <w:tab/>
        <w:t>O. Torstensson, D. Prokopovych-Tkachenko, S. Adilzhanova, M. Tykhonenko, G. Beketova, M. Sydybayeva, UMSF Incident AI Agent Lab: A Self-Contained Reproducible Notebook for Evidence-Aware Decision Support in Critical Infrastructure Incidents, version 1.2.0 [Software], Zenodo, 2026, https://doi.org/10.5281/zenodo.23380523.</w:t>
      </w:r>
    </w:p>
    <w:p>
      <w:pPr>
        <w:tabs>
          <w:tab w:pos="504" w:val="left"/>
        </w:tabs>
        <w:spacing w:before="0" w:after="80" w:line="240" w:lineRule="auto"/>
        <w:ind w:left="504" w:hanging="504"/>
      </w:pPr>
      <w:r>
        <w:rPr>
          <w:rFonts w:ascii="Arial" w:hAnsi="Arial" w:cs="Arial"/>
          <w:b w:val="0"/>
          <w:i w:val="0"/>
          <w:sz w:val="20"/>
        </w:rPr>
        <w:t>[17]</w:t>
        <w:tab/>
        <w:t>O. Torstensson, D. Prokopovych-Tkachenko, S. Adilzhanova, M. Tykhonenko, G. Beketova, M. Sydybayeva, UMSF Firmware Lab: A Self-Contained Reproducible Notebook for Native Verification of ESP32/BLE Multisensor Monitoring Firmware, version 1.2.0 [Software], Zenodo, 2026, https://doi.org/10.5281/zenodo.23380409.</w:t>
      </w:r>
    </w:p>
    <w:p>
      <w:pPr>
        <w:tabs>
          <w:tab w:pos="504" w:val="left"/>
        </w:tabs>
        <w:spacing w:before="0" w:after="80" w:line="240" w:lineRule="auto"/>
        <w:ind w:left="504" w:hanging="504"/>
      </w:pPr>
      <w:r>
        <w:rPr>
          <w:rFonts w:ascii="Arial" w:hAnsi="Arial" w:cs="Arial"/>
          <w:b w:val="0"/>
          <w:i w:val="0"/>
          <w:sz w:val="20"/>
        </w:rPr>
        <w:t>[18]</w:t>
        <w:tab/>
        <w:t>UMSF project team, Laboratory implementation and synthetic validation (Study A), unpublished technical report, University of Customs and Finance, Dnipro, 2026.</w:t>
      </w:r>
    </w:p>
    <w:p>
      <w:pPr>
        <w:tabs>
          <w:tab w:pos="504" w:val="left"/>
        </w:tabs>
        <w:spacing w:before="0" w:after="80" w:line="240" w:lineRule="auto"/>
        <w:ind w:left="504" w:hanging="504"/>
      </w:pPr>
      <w:r>
        <w:rPr>
          <w:rFonts w:ascii="Arial" w:hAnsi="Arial" w:cs="Arial"/>
          <w:b w:val="0"/>
          <w:i w:val="0"/>
          <w:sz w:val="20"/>
        </w:rPr>
        <w:t>[19]</w:t>
        <w:tab/>
        <w:t>UMSF project team, UMSF Physio offline collector, version 0.1.0 (Study B), unpublished software and technical report, University of Customs and Finance, Dnipro, 2026.</w:t>
      </w:r>
    </w:p>
    <w:p>
      <w:pPr>
        <w:tabs>
          <w:tab w:pos="504" w:val="left"/>
        </w:tabs>
        <w:spacing w:before="0" w:after="80" w:line="240" w:lineRule="auto"/>
        <w:ind w:left="504" w:hanging="504"/>
      </w:pPr>
      <w:r>
        <w:rPr>
          <w:rFonts w:ascii="Arial" w:hAnsi="Arial" w:cs="Arial"/>
          <w:b w:val="0"/>
          <w:i w:val="0"/>
          <w:sz w:val="20"/>
        </w:rPr>
        <w:t>[20]</w:t>
        <w:tab/>
        <w:t>P. Koopman, T. Chakravarty, Cyclic redundancy code (CRC) polynomial selection for embedded networks, in: Proc. Int. Conf. on Dependable Systems and Networks (DSN 2004), IEEE, 2004, pp. 145–154, https://doi.org/10.1109/DSN.2004.1311885.</w:t>
      </w:r>
    </w:p>
    <w:p>
      <w:pPr>
        <w:tabs>
          <w:tab w:pos="504" w:val="left"/>
        </w:tabs>
        <w:spacing w:before="0" w:after="80" w:line="240" w:lineRule="auto"/>
        <w:ind w:left="504" w:hanging="504"/>
      </w:pPr>
      <w:r>
        <w:rPr>
          <w:rFonts w:ascii="Arial" w:hAnsi="Arial" w:cs="Arial"/>
          <w:b w:val="0"/>
          <w:i w:val="0"/>
          <w:sz w:val="20"/>
        </w:rPr>
        <w:t>[21]</w:t>
        <w:tab/>
        <w:t>T. Bray (Ed.), The JavaScript Object Notation (JSON) Data Interchange Format, RFC 8259, Internet Engineering Task Force, December 2017, https://doi.org/10.17487/RFC8259.</w:t>
      </w:r>
    </w:p>
    <w:p>
      <w:pPr>
        <w:tabs>
          <w:tab w:pos="504" w:val="left"/>
        </w:tabs>
        <w:spacing w:before="0" w:after="80" w:line="240" w:lineRule="auto"/>
        <w:ind w:left="504" w:hanging="504"/>
      </w:pPr>
      <w:r>
        <w:rPr>
          <w:rFonts w:ascii="Arial" w:hAnsi="Arial" w:cs="Arial"/>
          <w:b w:val="0"/>
          <w:i w:val="0"/>
          <w:sz w:val="20"/>
        </w:rPr>
        <w:t>[22]</w:t>
        <w:tab/>
        <w:t>L. Moreau, P. Missier (Eds.), PROV-DM: The PROV Data Model, W3C Recommendation, 30 April 2013, https://www.w3.org/TR/2013/REC-prov-dm-20130430/. Accessed 21 October 2026.</w:t>
      </w:r>
    </w:p>
    <w:p>
      <w:pPr>
        <w:tabs>
          <w:tab w:pos="504" w:val="left"/>
        </w:tabs>
        <w:spacing w:before="0" w:after="80" w:line="240" w:lineRule="auto"/>
        <w:ind w:left="504" w:hanging="504"/>
      </w:pPr>
      <w:r>
        <w:rPr>
          <w:rFonts w:ascii="Arial" w:hAnsi="Arial" w:cs="Arial"/>
          <w:b w:val="0"/>
          <w:i w:val="0"/>
          <w:sz w:val="20"/>
        </w:rPr>
        <w:t>[23]</w:t>
        <w:tab/>
        <w:t>SQLite, Write-Ahead Logging, Official documentation, https://www.sqlite.org/wal.html. Accessed 10 September 2026.</w:t>
      </w:r>
    </w:p>
    <w:p>
      <w:pPr>
        <w:tabs>
          <w:tab w:pos="504" w:val="left"/>
        </w:tabs>
        <w:spacing w:before="0" w:after="80" w:line="240" w:lineRule="auto"/>
        <w:ind w:left="504" w:hanging="504"/>
      </w:pPr>
      <w:r>
        <w:rPr>
          <w:rFonts w:ascii="Arial" w:hAnsi="Arial" w:cs="Arial"/>
          <w:b w:val="0"/>
          <w:i w:val="0"/>
          <w:sz w:val="20"/>
        </w:rPr>
        <w:t>[24]</w:t>
        <w:tab/>
        <w:t>OASIS, MQTT Version 5.0, OASIS Standard, 2019, https://docs.oasis-open.org/mqtt/mqtt/v5.0/mqtt-v5.0.html. Accessed 21 October 2026.</w:t>
      </w:r>
    </w:p>
    <w:p>
      <w:pPr>
        <w:tabs>
          <w:tab w:pos="504" w:val="left"/>
        </w:tabs>
        <w:spacing w:before="0" w:after="80" w:line="240" w:lineRule="auto"/>
        <w:ind w:left="504" w:hanging="504"/>
      </w:pPr>
      <w:r>
        <w:rPr>
          <w:rFonts w:ascii="Arial" w:hAnsi="Arial" w:cs="Arial"/>
          <w:b w:val="0"/>
          <w:i w:val="0"/>
          <w:sz w:val="20"/>
        </w:rPr>
        <w:t>[25]</w:t>
        <w:tab/>
        <w:t>T. Kluyver, B. Ragan-Kelley, F. Pérez, et al., Jupyter Notebooks: a publishing format for reproducible computational workflows, in: F. Loizides, B. Schmidt (Eds.), Positioning and Power in Academic Publishing: Players, Agents and Agendas, IOS Press, 2016, pp. 87–90, https://doi.org/10.3233/978-1-61499-649-1-87.</w:t>
      </w:r>
    </w:p>
    <w:p>
      <w:pPr>
        <w:tabs>
          <w:tab w:pos="504" w:val="left"/>
        </w:tabs>
        <w:spacing w:before="0" w:after="80" w:line="240" w:lineRule="auto"/>
        <w:ind w:left="504" w:hanging="504"/>
      </w:pPr>
      <w:r>
        <w:rPr>
          <w:rFonts w:ascii="Arial" w:hAnsi="Arial" w:cs="Arial"/>
          <w:b w:val="0"/>
          <w:i w:val="0"/>
          <w:sz w:val="20"/>
        </w:rPr>
        <w:t>[26]</w:t>
        <w:tab/>
        <w:t>C. Leys, C. Ley, O. Klein, P. Bernard, L. Licata, Detecting outliers: do not use standard deviation around the mean, use absolute deviation around the median, J. Exp. Soc. Psychol. 49 (4) (2013) 764–766, https://doi.org/10.1016/j.jesp.2013.03.013.</w:t>
      </w:r>
    </w:p>
    <w:p>
      <w:pPr>
        <w:tabs>
          <w:tab w:pos="504" w:val="left"/>
        </w:tabs>
        <w:spacing w:before="0" w:after="80" w:line="240" w:lineRule="auto"/>
        <w:ind w:left="504" w:hanging="504"/>
      </w:pPr>
      <w:r>
        <w:rPr>
          <w:rFonts w:ascii="Arial" w:hAnsi="Arial" w:cs="Arial"/>
          <w:b w:val="0"/>
          <w:i w:val="0"/>
          <w:sz w:val="20"/>
        </w:rPr>
        <w:t>[27]</w:t>
        <w:tab/>
        <w:t>H. Kellerer, U. Pferschy, D. Pisinger, Knapsack Problems, Springer, Berlin, 2004, https://doi.org/10.1007/978-3-540-24777-7.</w:t>
      </w:r>
    </w:p>
    <w:p>
      <w:pPr>
        <w:tabs>
          <w:tab w:pos="504" w:val="left"/>
        </w:tabs>
        <w:spacing w:before="0" w:after="80" w:line="240" w:lineRule="auto"/>
        <w:ind w:left="504" w:hanging="504"/>
      </w:pPr>
      <w:r>
        <w:rPr>
          <w:rFonts w:ascii="Arial" w:hAnsi="Arial" w:cs="Arial"/>
          <w:b w:val="0"/>
          <w:i w:val="0"/>
          <w:sz w:val="20"/>
        </w:rPr>
        <w:t>[28]</w:t>
        <w:tab/>
        <w:t>J.E. Kelley Jr., M.R. Walker, Critical-path planning and scheduling, in: Proceedings of the Eastern Joint Computer Conference, 1959, pp. 160–173, https://doi.org/10.1145/1460299.1460318.</w:t>
      </w:r>
    </w:p>
    <w:p>
      <w:pPr>
        <w:tabs>
          <w:tab w:pos="504" w:val="left"/>
        </w:tabs>
        <w:spacing w:before="0" w:after="80" w:line="240" w:lineRule="auto"/>
        <w:ind w:left="504" w:hanging="504"/>
      </w:pPr>
      <w:r>
        <w:rPr>
          <w:rFonts w:ascii="Arial" w:hAnsi="Arial" w:cs="Arial"/>
          <w:b w:val="0"/>
          <w:i w:val="0"/>
          <w:sz w:val="20"/>
        </w:rPr>
        <w:t>[29]</w:t>
        <w:tab/>
        <w:t>B. Schneier, J. Kelsey, Secure audit logs to support computer forensics, ACM Trans. Inf. Syst. Secur. 2 (2) (1999) 159–176, https://doi.org/10.1145/317087.317089.</w:t>
      </w:r>
    </w:p>
    <w:p>
      <w:pPr>
        <w:tabs>
          <w:tab w:pos="504" w:val="left"/>
        </w:tabs>
        <w:spacing w:before="0" w:after="80" w:line="240" w:lineRule="auto"/>
        <w:ind w:left="504" w:hanging="504"/>
      </w:pPr>
      <w:r>
        <w:rPr>
          <w:rFonts w:ascii="Arial" w:hAnsi="Arial" w:cs="Arial"/>
          <w:b w:val="0"/>
          <w:i w:val="0"/>
          <w:sz w:val="20"/>
        </w:rPr>
        <w:t>[30]</w:t>
        <w:tab/>
        <w:t>National Institute of Standards and Technology, Secure Hash Standard (SHS), FIPS PUB 180-4, NIST, Gaithersburg, MD, 2015, https://doi.org/10.6028/NIST.FIPS.180-4.</w:t>
      </w:r>
    </w:p>
    <w:p>
      <w:pPr>
        <w:tabs>
          <w:tab w:pos="504" w:val="left"/>
        </w:tabs>
        <w:spacing w:before="0" w:after="80" w:line="240" w:lineRule="auto"/>
        <w:ind w:left="504" w:hanging="504"/>
      </w:pPr>
      <w:r>
        <w:rPr>
          <w:rFonts w:ascii="Arial" w:hAnsi="Arial" w:cs="Arial"/>
          <w:b w:val="0"/>
          <w:i w:val="0"/>
          <w:sz w:val="20"/>
        </w:rPr>
        <w:t>[31]</w:t>
        <w:tab/>
        <w:t>O. Torstensson, D. Prokopovych-Tkachenko, S. Adilzhanova, M. Tykhonenko, G. Beketova, M. Sydybayeva, UMSF Bench Prototype: ESP32 sensor firmware and local monitoring interface, version 1.0.0 [Software], Zenodo, 2026, https://doi.org/10.5281/zenodo.23542153.</w:t>
      </w:r>
    </w:p>
    <w:p>
      <w:pPr>
        <w:tabs>
          <w:tab w:pos="504" w:val="left"/>
        </w:tabs>
        <w:spacing w:before="0" w:after="80" w:line="240" w:lineRule="auto"/>
        <w:ind w:left="504" w:hanging="504"/>
      </w:pPr>
      <w:r>
        <w:rPr>
          <w:rFonts w:ascii="Arial" w:hAnsi="Arial" w:cs="Arial"/>
          <w:b w:val="0"/>
          <w:i w:val="0"/>
          <w:sz w:val="20"/>
        </w:rPr>
        <w:t>[32]</w:t>
        <w:tab/>
        <w:t>R. Parasuraman, T.B. Sheridan, C.D. Wickens, A model for types and levels of human interaction with automation, IEEE Trans. Syst. Man Cybern. A 30 (3) (2000) 286–297, https://doi.org/10.1109/3468.844354.</w:t>
      </w:r>
    </w:p>
    <w:p>
      <w:pPr>
        <w:tabs>
          <w:tab w:pos="504" w:val="left"/>
        </w:tabs>
        <w:spacing w:before="0" w:after="80" w:line="240" w:lineRule="auto"/>
        <w:ind w:left="504" w:hanging="504"/>
      </w:pPr>
      <w:r>
        <w:rPr>
          <w:rFonts w:ascii="Arial" w:hAnsi="Arial" w:cs="Arial"/>
          <w:b w:val="0"/>
          <w:i w:val="0"/>
          <w:sz w:val="20"/>
        </w:rPr>
        <w:t>[33]</w:t>
        <w:tab/>
        <w:t>U.S. Food and Drug Administration, Clinical Decision Support Software: Guidance for Industry and Food and Drug Administration Staff, 28 September 2022 (Federal Register notice 2022-20993), https://www.govinfo.gov/content/pkg/FR-2022-09-28/pdf/2022-20993.pdf. Accessed 21 October 2026.</w:t>
      </w:r>
    </w:p>
    <w:p>
      <w:pPr>
        <w:tabs>
          <w:tab w:pos="504" w:val="left"/>
        </w:tabs>
        <w:spacing w:before="0" w:after="80" w:line="240" w:lineRule="auto"/>
        <w:ind w:left="504" w:hanging="504"/>
      </w:pPr>
      <w:r>
        <w:rPr>
          <w:rFonts w:ascii="Arial" w:hAnsi="Arial" w:cs="Arial"/>
          <w:b w:val="0"/>
          <w:i w:val="0"/>
          <w:sz w:val="20"/>
        </w:rPr>
        <w:t>[34]</w:t>
        <w:tab/>
        <w:t>K. Stouffer, M. Pease, C. Tang, T. Zimmerman, V. Pillitteri, S. Lightman, A. Hahn, S. Saravia, A. Sherule, M. Thompson, Guide to Operational Technology (OT) Security, NIST Special Publication 800-82, Revision 3, NIST, Gaithersburg, MD, 2023, https://doi.org/10.6028/NIST.SP.800-82r3.</w:t>
      </w:r>
    </w:p>
    <w:p>
      <w:pPr>
        <w:tabs>
          <w:tab w:pos="504" w:val="left"/>
        </w:tabs>
        <w:spacing w:before="0" w:after="80" w:line="240" w:lineRule="auto"/>
        <w:ind w:left="504" w:hanging="504"/>
      </w:pPr>
      <w:r>
        <w:rPr>
          <w:rFonts w:ascii="Arial" w:hAnsi="Arial" w:cs="Arial"/>
          <w:b w:val="0"/>
          <w:i w:val="0"/>
          <w:sz w:val="20"/>
        </w:rPr>
        <w:t>[35]</w:t>
        <w:tab/>
        <w:t>M.D. Wilkinson, M. Dumontier, I.J. Aalbersberg, et al., The FAIR Guiding Principles for scientific data management and stewardship, Scientific Data 3 (2016) 160018, https://doi.org/10.1038/sdata.2016.18.</w:t>
      </w:r>
    </w:p>
    <w:p>
      <w:pPr>
        <w:tabs>
          <w:tab w:pos="504" w:val="left"/>
        </w:tabs>
        <w:spacing w:before="0" w:after="80" w:line="240" w:lineRule="auto"/>
        <w:ind w:left="504" w:hanging="504"/>
      </w:pPr>
      <w:r>
        <w:rPr>
          <w:rFonts w:ascii="Arial" w:hAnsi="Arial" w:cs="Arial"/>
          <w:b w:val="0"/>
          <w:i w:val="0"/>
          <w:sz w:val="20"/>
        </w:rPr>
        <w:t>[36]</w:t>
        <w:tab/>
        <w:t>M. Barker, N.P. Chue Hong, D.S. Katz, et al., Introducing the FAIR Principles for research software, Scientific Data 9 (2022) 622, https://doi.org/10.1038/s41597-022-01710-x.</w:t>
      </w:r>
    </w:p>
    <w:p>
      <w:pPr>
        <w:tabs>
          <w:tab w:pos="504" w:val="left"/>
        </w:tabs>
        <w:spacing w:before="0" w:after="80" w:line="240" w:lineRule="auto"/>
        <w:ind w:left="504" w:hanging="504"/>
      </w:pPr>
      <w:r>
        <w:rPr>
          <w:rFonts w:ascii="Arial" w:hAnsi="Arial" w:cs="Arial"/>
          <w:b w:val="0"/>
          <w:i w:val="0"/>
          <w:sz w:val="20"/>
        </w:rPr>
        <w:t>[37]</w:t>
        <w:tab/>
        <w:t>G.K. Sandve, A. Nekrutenko, J. Taylor, E. Hovig, Ten simple rules for reproducible computational research, PLoS Comput. Biol. 9 (10) (2013) e1003285, https://doi.org/10.1371/journal.pcbi.1003285.</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4FA6CE" w14:textId="77777777" w:rsidR="00CF244F" w:rsidRDefault="00CF244F" w:rsidP="00AB5093">
      <w:pPr>
        <w:spacing w:after="0" w:line="240" w:lineRule="auto"/>
      </w:pPr>
      <w:r>
        <w:separator/>
      </w:r>
    </w:p>
  </w:endnote>
  <w:endnote w:type="continuationSeparator" w:id="0">
    <w:p w14:paraId="73B4BDE7" w14:textId="77777777" w:rsidR="00CF244F" w:rsidRDefault="00CF244F"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7A956B" w14:textId="77777777" w:rsidR="00FE615A" w:rsidRDefault="00FE615A">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Sidfot"/>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B3208" w14:textId="77777777" w:rsidR="00FE615A" w:rsidRDefault="00FE615A">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E4566D" w14:textId="77777777" w:rsidR="00CF244F" w:rsidRDefault="00CF244F" w:rsidP="00AB5093">
      <w:pPr>
        <w:spacing w:after="0" w:line="240" w:lineRule="auto"/>
      </w:pPr>
      <w:r>
        <w:separator/>
      </w:r>
    </w:p>
  </w:footnote>
  <w:footnote w:type="continuationSeparator" w:id="0">
    <w:p w14:paraId="417AC145" w14:textId="77777777" w:rsidR="00CF244F" w:rsidRDefault="00CF244F"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16B311" w14:textId="77777777" w:rsidR="00FE615A" w:rsidRDefault="00FE615A">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76E17" w14:textId="77777777" w:rsidR="00FE615A" w:rsidRDefault="00FE615A">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8BE21E" w14:textId="77777777" w:rsidR="00FE615A" w:rsidRDefault="00FE615A">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E5E1F"/>
    <w:rsid w:val="00BF11B2"/>
    <w:rsid w:val="00C11150"/>
    <w:rsid w:val="00C14245"/>
    <w:rsid w:val="00C315E9"/>
    <w:rsid w:val="00C35B86"/>
    <w:rsid w:val="00C41F60"/>
    <w:rsid w:val="00C74DC6"/>
    <w:rsid w:val="00CC784D"/>
    <w:rsid w:val="00CE059D"/>
    <w:rsid w:val="00CE19F0"/>
    <w:rsid w:val="00CE3620"/>
    <w:rsid w:val="00CF244F"/>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Rubrik1">
    <w:name w:val="heading 1"/>
    <w:basedOn w:val="Normal"/>
    <w:next w:val="Normal"/>
    <w:link w:val="Rubrik1Char"/>
    <w:pPr>
      <w:keepNext/>
      <w:keepLines/>
      <w:spacing w:before="480" w:after="0"/>
      <w:outlineLvl w:val="0"/>
    </w:pPr>
    <w:rPr>
      <w:rFonts w:ascii="Cambria" w:eastAsia="Cambria" w:hAnsi="Cambria" w:cs="Cambria"/>
      <w:b/>
      <w:sz w:val="28"/>
    </w:rPr>
  </w:style>
  <w:style w:type="paragraph" w:styleId="Rubrik2">
    <w:name w:val="heading 2"/>
    <w:basedOn w:val="Normal"/>
    <w:next w:val="Normal"/>
    <w:pPr>
      <w:keepNext/>
      <w:keepLines/>
      <w:spacing w:before="200" w:after="0"/>
      <w:outlineLvl w:val="1"/>
    </w:pPr>
    <w:rPr>
      <w:rFonts w:ascii="Cambria" w:eastAsia="Cambria" w:hAnsi="Cambria" w:cs="Cambria"/>
      <w:b/>
      <w:sz w:val="26"/>
    </w:rPr>
  </w:style>
  <w:style w:type="paragraph" w:styleId="Rubrik3">
    <w:name w:val="heading 3"/>
    <w:basedOn w:val="Normal"/>
    <w:next w:val="Normal"/>
    <w:pPr>
      <w:keepNext/>
      <w:keepLines/>
      <w:spacing w:before="200" w:after="0" w:line="271" w:lineRule="auto"/>
      <w:outlineLvl w:val="2"/>
    </w:pPr>
    <w:rPr>
      <w:rFonts w:ascii="Cambria" w:eastAsia="Cambria" w:hAnsi="Cambria" w:cs="Cambria"/>
      <w:b/>
    </w:rPr>
  </w:style>
  <w:style w:type="paragraph" w:styleId="Rubrik4">
    <w:name w:val="heading 4"/>
    <w:basedOn w:val="Normal"/>
    <w:next w:val="Normal"/>
    <w:pPr>
      <w:keepNext/>
      <w:keepLines/>
      <w:spacing w:before="200" w:after="0"/>
      <w:outlineLvl w:val="3"/>
    </w:pPr>
    <w:rPr>
      <w:rFonts w:ascii="Cambria" w:eastAsia="Cambria" w:hAnsi="Cambria" w:cs="Cambria"/>
      <w:b/>
      <w:i/>
    </w:rPr>
  </w:style>
  <w:style w:type="paragraph" w:styleId="Rubrik5">
    <w:name w:val="heading 5"/>
    <w:basedOn w:val="Normal"/>
    <w:next w:val="Normal"/>
    <w:pPr>
      <w:keepNext/>
      <w:keepLines/>
      <w:spacing w:before="200" w:after="0"/>
      <w:outlineLvl w:val="4"/>
    </w:pPr>
    <w:rPr>
      <w:rFonts w:ascii="Cambria" w:eastAsia="Cambria" w:hAnsi="Cambria" w:cs="Cambria"/>
      <w:b/>
    </w:rPr>
  </w:style>
  <w:style w:type="paragraph" w:styleId="Rubrik6">
    <w:name w:val="heading 6"/>
    <w:basedOn w:val="Normal"/>
    <w:next w:val="Normal"/>
    <w:pPr>
      <w:keepNext/>
      <w:keepLines/>
      <w:spacing w:after="0" w:line="271" w:lineRule="auto"/>
      <w:outlineLvl w:val="5"/>
    </w:pPr>
    <w:rPr>
      <w:rFonts w:ascii="Cambria" w:eastAsia="Cambria" w:hAnsi="Cambria" w:cs="Cambria"/>
      <w:b/>
      <w:i/>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pPr>
      <w:keepNext/>
      <w:keepLines/>
      <w:spacing w:line="240" w:lineRule="auto"/>
    </w:pPr>
    <w:rPr>
      <w:rFonts w:ascii="Cambria" w:eastAsia="Cambria" w:hAnsi="Cambria" w:cs="Cambria"/>
      <w:sz w:val="52"/>
    </w:rPr>
  </w:style>
  <w:style w:type="paragraph" w:styleId="Underrubrik">
    <w:name w:val="Subtitle"/>
    <w:basedOn w:val="Normal"/>
    <w:next w:val="Normal"/>
    <w:pPr>
      <w:keepNext/>
      <w:keepLines/>
      <w:spacing w:after="600"/>
    </w:pPr>
    <w:rPr>
      <w:rFonts w:ascii="Cambria" w:eastAsia="Cambria" w:hAnsi="Cambria" w:cs="Cambria"/>
      <w:i/>
      <w:color w:val="666666"/>
      <w:sz w:val="24"/>
    </w:rPr>
  </w:style>
  <w:style w:type="table" w:customStyle="1" w:styleId="a">
    <w:basedOn w:val="Normaltabell"/>
    <w:pPr>
      <w:spacing w:after="0" w:line="240" w:lineRule="auto"/>
    </w:pPr>
    <w:tblPr>
      <w:tblStyleRowBandSize w:val="1"/>
      <w:tblStyleColBandSize w:val="1"/>
      <w:tblCellMar>
        <w:left w:w="115" w:type="dxa"/>
        <w:right w:w="115" w:type="dxa"/>
      </w:tblCellMar>
    </w:tblPr>
  </w:style>
  <w:style w:type="table" w:customStyle="1" w:styleId="a0">
    <w:basedOn w:val="Normaltabell"/>
    <w:pPr>
      <w:spacing w:after="0" w:line="240" w:lineRule="auto"/>
    </w:pPr>
    <w:tblPr>
      <w:tblStyleRowBandSize w:val="1"/>
      <w:tblStyleColBandSize w:val="1"/>
      <w:tblCellMar>
        <w:left w:w="115" w:type="dxa"/>
        <w:right w:w="115" w:type="dxa"/>
      </w:tblCellMar>
    </w:tblPr>
  </w:style>
  <w:style w:type="character" w:styleId="Radnummer">
    <w:name w:val="line number"/>
    <w:basedOn w:val="Standardstycketeckensnitt"/>
    <w:uiPriority w:val="99"/>
    <w:semiHidden/>
    <w:unhideWhenUsed/>
    <w:rsid w:val="00AB5093"/>
  </w:style>
  <w:style w:type="paragraph" w:styleId="Sidhuvud">
    <w:name w:val="header"/>
    <w:basedOn w:val="Normal"/>
    <w:link w:val="SidhuvudChar"/>
    <w:uiPriority w:val="99"/>
    <w:unhideWhenUsed/>
    <w:rsid w:val="00AB5093"/>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AB5093"/>
  </w:style>
  <w:style w:type="paragraph" w:styleId="Sidfot">
    <w:name w:val="footer"/>
    <w:basedOn w:val="Normal"/>
    <w:link w:val="SidfotChar"/>
    <w:uiPriority w:val="99"/>
    <w:unhideWhenUsed/>
    <w:rsid w:val="00AB5093"/>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AB5093"/>
  </w:style>
  <w:style w:type="paragraph" w:styleId="Liststycke">
    <w:name w:val="List Paragraph"/>
    <w:basedOn w:val="Normal"/>
    <w:uiPriority w:val="34"/>
    <w:qFormat/>
    <w:rsid w:val="00DE2B25"/>
    <w:pPr>
      <w:ind w:left="720"/>
      <w:contextualSpacing/>
    </w:pPr>
  </w:style>
  <w:style w:type="character" w:styleId="Hyperlnk">
    <w:name w:val="Hyperlink"/>
    <w:basedOn w:val="Standardstycketeckensnitt"/>
    <w:uiPriority w:val="99"/>
    <w:unhideWhenUsed/>
    <w:rsid w:val="00E71895"/>
    <w:rPr>
      <w:color w:val="0000FF" w:themeColor="hyperlink"/>
      <w:u w:val="single"/>
    </w:rPr>
  </w:style>
  <w:style w:type="character" w:styleId="Olstomnmnande">
    <w:name w:val="Unresolved Mention"/>
    <w:basedOn w:val="Standardstycketeckensnitt"/>
    <w:uiPriority w:val="99"/>
    <w:semiHidden/>
    <w:unhideWhenUsed/>
    <w:rsid w:val="00E71895"/>
    <w:rPr>
      <w:color w:val="808080"/>
      <w:shd w:val="clear" w:color="auto" w:fill="E6E6E6"/>
    </w:rPr>
  </w:style>
  <w:style w:type="character" w:styleId="Kommentarsreferens">
    <w:name w:val="annotation reference"/>
    <w:basedOn w:val="Standardstycketeckensnitt"/>
    <w:uiPriority w:val="99"/>
    <w:semiHidden/>
    <w:unhideWhenUsed/>
    <w:rsid w:val="00D45277"/>
    <w:rPr>
      <w:sz w:val="16"/>
      <w:szCs w:val="16"/>
    </w:rPr>
  </w:style>
  <w:style w:type="paragraph" w:styleId="Kommentarer">
    <w:name w:val="annotation text"/>
    <w:basedOn w:val="Normal"/>
    <w:link w:val="KommentarerChar"/>
    <w:uiPriority w:val="99"/>
    <w:unhideWhenUsed/>
    <w:rsid w:val="00D45277"/>
    <w:pPr>
      <w:spacing w:line="240" w:lineRule="auto"/>
    </w:pPr>
    <w:rPr>
      <w:sz w:val="20"/>
    </w:rPr>
  </w:style>
  <w:style w:type="character" w:customStyle="1" w:styleId="KommentarerChar">
    <w:name w:val="Kommentarer Char"/>
    <w:basedOn w:val="Standardstycketeckensnitt"/>
    <w:link w:val="Kommentarer"/>
    <w:uiPriority w:val="99"/>
    <w:rsid w:val="00D45277"/>
    <w:rPr>
      <w:sz w:val="20"/>
    </w:rPr>
  </w:style>
  <w:style w:type="paragraph" w:styleId="Kommentarsmne">
    <w:name w:val="annotation subject"/>
    <w:basedOn w:val="Kommentarer"/>
    <w:next w:val="Kommentarer"/>
    <w:link w:val="KommentarsmneChar"/>
    <w:uiPriority w:val="99"/>
    <w:semiHidden/>
    <w:unhideWhenUsed/>
    <w:rsid w:val="00D45277"/>
    <w:rPr>
      <w:b/>
      <w:bCs/>
    </w:rPr>
  </w:style>
  <w:style w:type="character" w:customStyle="1" w:styleId="KommentarsmneChar">
    <w:name w:val="Kommentarsämne Char"/>
    <w:basedOn w:val="KommentarerChar"/>
    <w:link w:val="Kommentarsmne"/>
    <w:uiPriority w:val="99"/>
    <w:semiHidden/>
    <w:rsid w:val="00D45277"/>
    <w:rPr>
      <w:b/>
      <w:bCs/>
      <w:sz w:val="20"/>
    </w:rPr>
  </w:style>
  <w:style w:type="character" w:customStyle="1" w:styleId="Hyperlink1">
    <w:name w:val="Hyperlink.1"/>
    <w:basedOn w:val="Standardstycketeckensnit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ark">
    <w:name w:val="Strong"/>
    <w:basedOn w:val="Standardstycketeckensnit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ngtext">
    <w:name w:val="Balloon Text"/>
    <w:basedOn w:val="Normal"/>
    <w:link w:val="BallongtextChar"/>
    <w:uiPriority w:val="99"/>
    <w:semiHidden/>
    <w:unhideWhenUsed/>
    <w:rsid w:val="008F38E0"/>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8F38E0"/>
    <w:rPr>
      <w:rFonts w:ascii="Segoe UI" w:hAnsi="Segoe UI" w:cs="Segoe UI"/>
      <w:sz w:val="18"/>
      <w:szCs w:val="18"/>
    </w:rPr>
  </w:style>
  <w:style w:type="character" w:styleId="AnvndHyperlnk">
    <w:name w:val="FollowedHyperlink"/>
    <w:basedOn w:val="Standardstycketeckensnitt"/>
    <w:uiPriority w:val="99"/>
    <w:semiHidden/>
    <w:unhideWhenUsed/>
    <w:rsid w:val="00151B5A"/>
    <w:rPr>
      <w:color w:val="800080" w:themeColor="followedHyperlink"/>
      <w:u w:val="single"/>
    </w:rPr>
  </w:style>
  <w:style w:type="character" w:customStyle="1" w:styleId="Rubrik1Char">
    <w:name w:val="Rubrik 1 Char"/>
    <w:basedOn w:val="Standardstycketeckensnitt"/>
    <w:link w:val="Rubrik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2.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1278</Words>
  <Characters>6778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UMSF Incident Lab: Evidence-aware assessment of missile-strike consequences at critical infrastructure facilities</dc:title>
  <dc:creator>S. Adilzhanova, O. Torstensson, D. Prokopovych-Tkachenko, M. Tykhonenko, G. Beketova, M. Sydybayeva</dc:creator>
  <cp:lastModifiedBy/>
  <cp:revision>2</cp:revision>
  <dcterms:created xsi:type="dcterms:W3CDTF">2026-10-18T12:04:00Z</dcterms:created>
  <dcterms:modified xsi:type="dcterms:W3CDTF">2026-10-18T12:04:00Z</dcterms:modified>
  <dc:subject>SoftwareX original software publication</dc:subject>
  <cp:keywords>Critical infrastructure; Missile-strike consequence assessment; Rescue and recovery logistics; Multisensor stream replay; Decision support; Reproducible research software</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