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Highlights</w:t>
      </w:r>
    </w:p>
    <w:p>
      <w:pPr>
        <w:spacing w:after="200"/>
      </w:pPr>
      <w:r>
        <w:rPr>
          <w:i/>
          <w:iCs/>
        </w:rPr>
        <w:t xml:space="preserve">Cognitive optimisation of AI-supported SME decisions through risk-based allocation of managerial attention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Human oversight of AI is modelled as rationing a scarce managerial attention budget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One added review can lower stream performance by degrading other reviews' quality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 authority is set by uncertainty, stakes, reversibility and reviewer availability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Against seven rules on 129,878 real transactions, RBAA cut control costs by 48.7%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Gains require calibrated probabilities; mandatory-review floors have a clear price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2026-10-29T07:54:14.239Z</dcterms:created>
  <dcterms:modified xsi:type="dcterms:W3CDTF">2026-10-29T07:54:14.244Z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