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 w:val="0"/>
          <w:i/>
          <w:color w:val="52514E"/>
          <w:sz w:val="18"/>
        </w:rPr>
        <w:t>Звіт про експеримент у форматі рукопису Elsevier · Applied Energy (підготовчий матеріал до ревізії)</w:t>
      </w:r>
    </w:p>
    <w:p>
      <w:pPr>
        <w:spacing w:after="120"/>
        <w:jc w:val="both"/>
      </w:pPr>
      <w:r>
        <w:rPr>
          <w:b/>
          <w:i w:val="0"/>
          <w:sz w:val="30"/>
        </w:rPr>
        <w:t>Програмно-апаратна валідація цифрового двійника живлення вузла зв’язку: віртуальний стенд з емуляцією реальних елементів, протоколи вимірювань і порівняння політик керування</w:t>
      </w:r>
    </w:p>
    <w:p>
      <w:pPr>
        <w:jc w:val="both"/>
      </w:pPr>
      <w:r>
        <w:rPr>
          <w:b w:val="0"/>
          <w:i/>
          <w:sz w:val="19"/>
        </w:rPr>
        <w:t>[Автори та афіліації — заповнити відповідно до рукопису; звіт підготовлено за протоколом «Програмно-апаратний експеримент для цифрового двійника живлення вузла зв’язку», версія 1.0]</w:t>
      </w:r>
    </w:p>
    <w:p>
      <w:pPr>
        <w:jc w:val="both"/>
      </w:pPr>
      <w:r>
        <w:rPr>
          <w:b w:val="0"/>
          <w:i w:val="0"/>
          <w:color w:val="52514E"/>
          <w:sz w:val="18"/>
        </w:rPr>
        <w:t>Дата формування: 29 вересня 2026 р. · Пакет результатів: results/ (manifest.json, checksums.sha256)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3F0"/>
          </w:tcPr>
          <w:p>
            <w:r/>
            <w:r>
              <w:rPr>
                <w:b/>
                <w:i w:val="0"/>
                <w:sz w:val="19"/>
              </w:rPr>
              <w:t>КЛАСИФІКАЦІЯ ДОКАЗОВОЇ БАЗИ.</w:t>
            </w:r>
            <w:r>
              <w:rPr>
                <w:b w:val="0"/>
                <w:i w:val="0"/>
                <w:sz w:val="19"/>
              </w:rPr>
              <w:t xml:space="preserve"> Програмне моделювання (SIL) з емуляцією апаратної частини: віртуальний стенд, у якому фізичний об’єкт (батарея LiFePO₄ 12,8 В/40 А·год, DC-шина, гілки навантаження), вимірювальні канали (INA226/INA228 + шунти FL-2), транспорт MQTT і контролер ESP32 відтворено моделями з характеристиками реальних елементів. </w:t>
            </w:r>
            <w:r>
              <w:rPr>
                <w:b/>
                <w:i w:val="0"/>
                <w:sz w:val="19"/>
              </w:rPr>
              <w:t>Фізичні вимірювання не виконувалися.</w:t>
            </w:r>
            <w:r>
              <w:rPr>
                <w:b w:val="0"/>
                <w:i w:val="0"/>
                <w:sz w:val="19"/>
              </w:rPr>
              <w:t xml:space="preserve"> Результати не слід називати HIL/CHIL- або польовим експериментом. Вони підтверджують готовність програмного комплексу, коректність протоколів вимірювань і очікувані значення метрик для майбутнього фізичного запуску.</w:t>
            </w:r>
          </w:p>
        </w:tc>
      </w:tr>
    </w:tbl>
    <w:p>
      <w:pPr>
        <w:spacing w:after="40"/>
      </w:pPr>
    </w:p>
    <w:p>
      <w:pPr>
        <w:pStyle w:val="Heading1"/>
      </w:pPr>
      <w:r>
        <w:t>Основні положення (Highlights)</w:t>
      </w:r>
    </w:p>
    <w:p>
      <w:pPr>
        <w:pStyle w:val="ListBullet"/>
        <w:jc w:val="both"/>
      </w:pPr>
      <w:r>
        <w:rPr>
          <w:b w:val="0"/>
          <w:i w:val="0"/>
        </w:rPr>
        <w:t>Цифровий двійник, віртуальний стенд і протоколи реалізовано як відтворюваний Python-проєкт `dtpower` (51 запусків, 14 приймальних тестів).</w:t>
      </w:r>
    </w:p>
    <w:p>
      <w:pPr>
        <w:pStyle w:val="ListBullet"/>
        <w:jc w:val="both"/>
      </w:pPr>
      <w:r>
        <w:rPr>
          <w:b w:val="0"/>
          <w:i w:val="0"/>
        </w:rPr>
        <w:t>Похибка SOC двійника відносно незалежного REF-каналу: MAE ≤ 2,20 в.п., енергії ≤ 0,18 %.</w:t>
      </w:r>
    </w:p>
    <w:p>
      <w:pPr>
        <w:pStyle w:val="ListBullet"/>
        <w:jc w:val="both"/>
      </w:pPr>
      <w:r>
        <w:rPr>
          <w:b w:val="0"/>
          <w:i w:val="0"/>
        </w:rPr>
        <w:t>Ланцюг «рішення → ACK → фізичний ефект»: RTT p95 = 43 мс; ефект підтверджено для кожної прийнятої команди.</w:t>
      </w:r>
    </w:p>
    <w:p>
      <w:pPr>
        <w:pStyle w:val="ListBullet"/>
        <w:jc w:val="both"/>
      </w:pPr>
      <w:r>
        <w:rPr>
          <w:b w:val="0"/>
          <w:i w:val="0"/>
        </w:rPr>
        <w:t>Порогове керування C1 подовжило роботу до межі SOC_ref = 0,20 з 3,60 год до ≥ 6 год (цензуровано); прогнозне правило C2 не дало переваги в часі, але знизило корисне освітлення.</w:t>
      </w:r>
    </w:p>
    <w:p>
      <w:pPr>
        <w:pStyle w:val="ListBullet"/>
        <w:jc w:val="both"/>
      </w:pPr>
      <w:r>
        <w:rPr>
          <w:b w:val="0"/>
          <w:i w:val="0"/>
        </w:rPr>
        <w:t>Опубліковані MinSOC 0,219/0,247 не відтворюються однозначно: результат чутливий до неописаних у рукописі порядку днів і трактування ККД.</w:t>
      </w:r>
    </w:p>
    <w:p>
      <w:pPr>
        <w:pStyle w:val="Heading1"/>
      </w:pPr>
      <w:r>
        <w:t>Анотація</w:t>
      </w:r>
    </w:p>
    <w:p>
      <w:pPr>
        <w:jc w:val="both"/>
      </w:pPr>
      <w:r>
        <w:rPr>
          <w:b w:val="0"/>
          <w:i w:val="0"/>
        </w:rPr>
        <w:t>Для перевірки цифрового двійника живлення телекомунікаційного вузла (PV–LiFePO₄–DC-шина) проведено контрольований експеримент на віртуальному стенді, що відтворює реальну комплектацію класу 12 В: ESP32-S3, вимірювачі INA226 (M0–M5) та незалежний INA228 (REF) на шунтах FL-2, програмоване джерело RD6018 як PV-еквівалент, DC/DC Mean Well DDR-60G-12, релейну допоміжну гілку та мережеву пробу вузла. Роботу розділено на програмну частину (Python-проєкт dtpower та прошивка edge_guard для ESP-IDF) і апаратну частину (специфікація реальних елементів, схема вимірювальних точок і протоколи вимірювань, сформовані з паспортних характеристик). Виконано сценарії E00–E11 протоколу: калібрування, сталий режим, ступінчасті збурення навантаження і генерації, зникнення джерела, керований дефіцит із парним порівнянням політик C0/C1/C2 (10 блоків), втрату зв’язку, некоректні датчики, відновлення, логіку захистів і 14-добовий сценарій S1–S3. Двійник відстежував SOC із MAE 0,29–2,20 в.п. відносно незалежного REF; усі 111 прийнятих команд мали підтверджений фізичний ефект, медіана «рішення → фронт струму» становила 200 мс. У досліді E05 політика C1 подовжила час до робочої межі на 2,40 год (95% BCa ДІ 2,37–2,43; Holm p = 0,0039) ціною 28,9 Вт·год освітлення. Прогнозне правило C2 з причинним persistence-прогнозом не змінило первинний показник (обидві політики цензуровані на 6 год), але доставило на 32,9 Вт·год менше освітлення, ніж C1, тоді як оракульна межа C_oracle показує, що ідеальний прогноз зберіг би освітлення рівня C1 за вищого резерву. Отже, отримані дані підтримують працездатність контуру «стан → рішення → команда → фізичний ефект» і показують, що якість прогнозу генерації є вузьким місцем прогнозного керування. Вони не є фізичною валідацією і не доводять переваги прогнозного керування.</w:t>
      </w:r>
    </w:p>
    <w:p>
      <w:pPr>
        <w:jc w:val="both"/>
      </w:pPr>
      <w:r>
        <w:rPr>
          <w:b/>
          <w:i w:val="0"/>
          <w:sz w:val="19"/>
        </w:rPr>
        <w:t>Ключові слова:</w:t>
      </w:r>
      <w:r>
        <w:rPr>
          <w:b w:val="0"/>
          <w:i w:val="0"/>
          <w:sz w:val="19"/>
        </w:rPr>
        <w:t xml:space="preserve"> цифровий двійник; hardware-in-the-loop; LiFePO₄; телекомунікаційний вузол; оцінювання SOC; керування навантаженням; протокол вимірювань; відтворюваність</w:t>
      </w:r>
    </w:p>
    <w:p>
      <w:pPr>
        <w:pStyle w:val="Heading1"/>
      </w:pPr>
      <w:r>
        <w:t>1. Вступ</w:t>
      </w:r>
    </w:p>
    <w:p>
      <w:pPr>
        <w:jc w:val="both"/>
      </w:pPr>
      <w:r>
        <w:rPr>
          <w:b w:val="0"/>
          <w:i w:val="0"/>
        </w:rPr>
        <w:t>Рукопис про цифровий двійник живлення вузла зв’язку [1] обґрунтовує розміри PV–LiFePO₄-системи годинним моделюванням SOC і пропонує ML-розширення для прогнозування та керування. Рецензування вимагає експериментального підтвердження зв’язку двійника з реальним обладнанням. Протокол HIL-експерименту [2] формулює чотири гіпотези: H1 — модель відтворює енергобаланс; H2 — двійник залишається актуальним при збуреннях; H3 — рішення двійника змінює фізичний стан; H4 — прогнозне керування покращує наперед визначений показник стійкості.</w:t>
      </w:r>
    </w:p>
    <w:p>
      <w:pPr>
        <w:jc w:val="both"/>
      </w:pPr>
      <w:r>
        <w:rPr>
          <w:b w:val="0"/>
          <w:i w:val="0"/>
        </w:rPr>
        <w:t xml:space="preserve">Цей звіт виконує протокол у два шари. </w:t>
      </w:r>
      <w:r>
        <w:rPr>
          <w:b/>
          <w:i w:val="0"/>
        </w:rPr>
        <w:t>Програмна частина</w:t>
      </w:r>
      <w:r>
        <w:rPr>
          <w:b w:val="0"/>
          <w:i w:val="0"/>
        </w:rPr>
        <w:t xml:space="preserve"> — завершений програмний проєкт (двійник, EMS, транспорт, реєстратор, аналіз, прошивка контролера), придатний до підключення реальних приладів без зміни логіки. </w:t>
      </w:r>
      <w:r>
        <w:rPr>
          <w:b/>
          <w:i w:val="0"/>
        </w:rPr>
        <w:t>Апаратна частина</w:t>
      </w:r>
      <w:r>
        <w:rPr>
          <w:b w:val="0"/>
          <w:i w:val="0"/>
        </w:rPr>
        <w:t xml:space="preserve"> — стенд, описаний на реальних елементах. Його характеристики (діапазони, LSB, похибки, номінали шунтів і запобіжників) використано для двох цілей: (i) для формування протоколів вимірювань і допусків та (ii) для параметризації емуляції, на якій проведено всю кампанію. Такий «віртуальний стенд» дає змогу відпрацювати протоколи, приймальні перевірки й аналітику до витрачання ресурсу батареї, але не замінює фізичного досліду [2, розд. 1.3].</w:t>
      </w:r>
    </w:p>
    <w:p>
      <w:pPr>
        <w:pStyle w:val="Heading1"/>
      </w:pPr>
      <w:r>
        <w:t>2. Матеріали та методи</w:t>
      </w:r>
    </w:p>
    <w:p>
      <w:pPr>
        <w:pStyle w:val="Heading2"/>
      </w:pPr>
      <w:r>
        <w:t>2.1. Розподіл на програмну та апаратну частини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9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9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i w:val="0"/>
          <w:sz w:val="18"/>
        </w:rPr>
        <w:t>Рис. 1.</w:t>
      </w:r>
      <w:r>
        <w:rPr>
          <w:b w:val="0"/>
          <w:i w:val="0"/>
          <w:sz w:val="18"/>
        </w:rPr>
        <w:t xml:space="preserve"> Архітектура експерименту. Ліворуч — апаратна частина на реальних елементах (у кампанії емульована з паспортними характеристиками): джерело G1, батарея з BMS, DC-шина, критична та допоміжна гілки з вимірювальними точками M0–M5, незалежний канал REF і контролер ESP32-S3. Праворуч — програмна частина dtpower на ПК. Сценарний модуль не передає майбутнього профілю EMS.</w:t>
      </w:r>
    </w:p>
    <w:p>
      <w:pPr>
        <w:spacing w:after="40"/>
        <w:jc w:val="left"/>
      </w:pPr>
      <w:r>
        <w:rPr>
          <w:b/>
          <w:i w:val="0"/>
          <w:sz w:val="19"/>
        </w:rPr>
        <w:t>Таблиця 1.</w:t>
      </w:r>
      <w:r>
        <w:rPr>
          <w:b w:val="0"/>
          <w:i w:val="0"/>
          <w:sz w:val="19"/>
        </w:rPr>
        <w:t xml:space="preserve"> Розподіл робіт між частинами експерименту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E8E7E3"/>
          </w:tcPr>
          <w:p>
            <w:r/>
            <w:r>
              <w:rPr>
                <w:b/>
                <w:sz w:val="17"/>
              </w:rPr>
              <w:t>Частина</w:t>
            </w:r>
          </w:p>
        </w:tc>
        <w:tc>
          <w:tcPr>
            <w:tcW w:type="dxa" w:w="5102"/>
            <w:shd w:val="clear" w:color="auto" w:fill="E8E7E3"/>
          </w:tcPr>
          <w:p>
            <w:r/>
            <w:r>
              <w:rPr>
                <w:b/>
                <w:sz w:val="17"/>
              </w:rPr>
              <w:t>Склад</w:t>
            </w:r>
          </w:p>
        </w:tc>
        <w:tc>
          <w:tcPr>
            <w:tcW w:type="dxa" w:w="2268"/>
            <w:shd w:val="clear" w:color="auto" w:fill="E8E7E3"/>
          </w:tcPr>
          <w:p>
            <w:r/>
            <w:r>
              <w:rPr>
                <w:b/>
                <w:sz w:val="17"/>
              </w:rPr>
              <w:t>Артефакти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Програмна (виконано й перевірено)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dtpower: profiles, sizing, energy_sim, battery (ECM-об’єкт), sensors, calibration, capacity, transport, edge_guard, twin, forecast, ems, bench, scenarios, replay, stats; тести; скрипти кампанії, рисунків, протоколів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dtpower/, tests/, scripts/, configs/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Прошивка контролера (написано, не компілювалось)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ESP-IDF edge_guard.c: 10 Гц INA226, агрегування 1 Гц, автомат станів, контракт команд, watchdog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firmware/esp32_edge_guard/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Апаратна (специфіковано на реальних елементах)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BOM з 24 позицій, функціональна схема, перевірка вибору вимірювачів, правила монтажу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hardware/BOM_and_wiring.md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Протоколи вимірювань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П-1 паспорт каналів, П-2 калібрування E00, П-3 бюджет невизначеності, П-4 ємність E09, П-5 попередній контроль, П-6 протоколи запусків, П-7 картка відхилення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hardware/measurement_protocols.md, results/protocols/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Веб-подання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Інтерактивна панель результатів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web/index.html</w:t>
            </w:r>
          </w:p>
        </w:tc>
      </w:tr>
    </w:tbl>
    <w:p>
      <w:pPr>
        <w:spacing w:after="40"/>
      </w:pPr>
    </w:p>
    <w:p>
      <w:pPr>
        <w:pStyle w:val="Heading2"/>
      </w:pPr>
      <w:r>
        <w:t>2.2. Апаратна частина: реальні елементи і характеристики</w:t>
      </w:r>
    </w:p>
    <w:p>
      <w:pPr>
        <w:jc w:val="both"/>
      </w:pPr>
      <w:r>
        <w:rPr>
          <w:b w:val="0"/>
          <w:i w:val="0"/>
        </w:rPr>
        <w:t>Стенд відповідає обов’язковій програмі протоколу [2, розд. 1.2] для класу 12 В (табл. 3). Батарея 12,8 В/40 А·год має номінальну енергію ≈ 512 Вт·год і не є фізичним відтворенням S1 (12 В/200 А·год). Тому стендові висновки стосуються реалізації контуру і точності моделі цього стенда, а не масштабу S1–S3 [2, розд. 14.4]. Генерацію подано способом G1: програмоване джерело RIDEN RD6018 задає доступну потужність на шині (CV 14,2 В, CC = P_avail/U щосекунди) через ідеальний діод LTC4359. Висновки G1 стосуються енергобалансу, а не якості MPPT.</w:t>
      </w:r>
    </w:p>
    <w:p>
      <w:pPr>
        <w:spacing w:after="40"/>
        <w:jc w:val="left"/>
      </w:pPr>
      <w:r>
        <w:rPr>
          <w:b/>
          <w:i w:val="0"/>
          <w:sz w:val="19"/>
        </w:rPr>
        <w:t>Таблиця 2.</w:t>
      </w:r>
      <w:r>
        <w:rPr>
          <w:b w:val="0"/>
          <w:i w:val="0"/>
          <w:sz w:val="19"/>
        </w:rPr>
        <w:t xml:space="preserve"> Основні елементи стенда і характеристики, використані в розрахунках (паспортні значення; перед фізичним запуском звірити з даташитом)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71"/>
            <w:shd w:val="clear" w:color="auto" w:fill="E8E7E3"/>
          </w:tcPr>
          <w:p>
            <w:r/>
            <w:r>
              <w:rPr>
                <w:b/>
                <w:sz w:val="17"/>
              </w:rPr>
              <w:t>Функція</w:t>
            </w:r>
          </w:p>
        </w:tc>
        <w:tc>
          <w:tcPr>
            <w:tcW w:type="dxa" w:w="3515"/>
            <w:shd w:val="clear" w:color="auto" w:fill="E8E7E3"/>
          </w:tcPr>
          <w:p>
            <w:r/>
            <w:r>
              <w:rPr>
                <w:b/>
                <w:sz w:val="17"/>
              </w:rPr>
              <w:t>Елемент</w:t>
            </w:r>
          </w:p>
        </w:tc>
        <w:tc>
          <w:tcPr>
            <w:tcW w:type="dxa" w:w="4252"/>
            <w:shd w:val="clear" w:color="auto" w:fill="E8E7E3"/>
          </w:tcPr>
          <w:p>
            <w:r/>
            <w:r>
              <w:rPr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Контролер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ESP32-S3-DevKitC-1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2×240 МГц; esp_timer 1 мкс; ESP-MQTT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Батарея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LiFePO₄ 4S 12,8 В/40 А·год + BMS DALY 4S 40 А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CV 14,2 В; OVP 14,6 В; UVP 10,0 В; Iзар ≤ 20 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Генерація G1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RIDEN RD6018 + Mean Well RSP-750-48 + LTC4359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0–60 В, 0–18 А; крок 0,01 В/0,01 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DC/DC гілок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Mean Well DDR-60G-12 ×2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вх. 9–36 В, вих. 12 В/5 А; η ≈ 0,90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Критичне навантаження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MikroTik hAP ac² + Korad KEL103 (CP)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сумарно 18 Вт на клемах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Допоміжне навантаження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LED 12 В/30 Вт; реле Bosch 0 332 019 150 (NO) + PC817 + ULN2003A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спрацювання ≈ 10 мс, плавний пуск LED ≈ 150 мс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M0–M5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TI INA226 + шунти FL-2 (30/50/10 А, 75 мВ)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LSB 2,5 мкВ і 1,25 мВ; offset ≤ ±10 мкВ; похибка підсилення ≤ 0,1 %; 36 В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REF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TI INA228 + FL-2 50 А/75 мВ, реєстратор RPi 4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LSB 312,5 нВ; offset ≤ ±1 мкВ; похибка підсилення ≤ 0,05 %; 85 В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Температура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DS18B20 ×2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±0,5 °C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Захист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MIDI 40 А; ATO 25/5/7,5 А; Blue Sea 6006; ADuM1250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DC-рейтинг; розв’язка I²C</w:t>
            </w:r>
          </w:p>
        </w:tc>
      </w:tr>
    </w:tbl>
    <w:p>
      <w:pPr>
        <w:spacing w:after="40"/>
      </w:pPr>
    </w:p>
    <w:p>
      <w:pPr>
        <w:spacing w:after="40"/>
        <w:jc w:val="left"/>
      </w:pPr>
      <w:r>
        <w:rPr>
          <w:b/>
          <w:i w:val="0"/>
          <w:sz w:val="19"/>
        </w:rPr>
        <w:t>Таблиця 3.</w:t>
      </w:r>
      <w:r>
        <w:rPr>
          <w:b w:val="0"/>
          <w:i w:val="0"/>
          <w:sz w:val="19"/>
        </w:rPr>
        <w:t xml:space="preserve"> Перевірка вибору вимірювальних каналів за характеристиками (з П-1)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E8E7E3"/>
          </w:tcPr>
          <w:p>
            <w:r/>
            <w:r>
              <w:rPr>
                <w:b/>
                <w:sz w:val="17"/>
              </w:rPr>
              <w:t>Канал</w:t>
            </w:r>
          </w:p>
        </w:tc>
        <w:tc>
          <w:tcPr>
            <w:tcW w:type="dxa" w:w="1377"/>
            <w:shd w:val="clear" w:color="auto" w:fill="E8E7E3"/>
          </w:tcPr>
          <w:p>
            <w:r/>
            <w:r>
              <w:rPr>
                <w:b/>
                <w:sz w:val="17"/>
              </w:rPr>
              <w:t>Шунт, мОм</w:t>
            </w:r>
          </w:p>
        </w:tc>
        <w:tc>
          <w:tcPr>
            <w:tcW w:type="dxa" w:w="1377"/>
            <w:shd w:val="clear" w:color="auto" w:fill="E8E7E3"/>
          </w:tcPr>
          <w:p>
            <w:r/>
            <w:r>
              <w:rPr>
                <w:b/>
                <w:sz w:val="17"/>
              </w:rPr>
              <w:t>Шкала, А</w:t>
            </w:r>
          </w:p>
        </w:tc>
        <w:tc>
          <w:tcPr>
            <w:tcW w:type="dxa" w:w="1377"/>
            <w:shd w:val="clear" w:color="auto" w:fill="E8E7E3"/>
          </w:tcPr>
          <w:p>
            <w:r/>
            <w:r>
              <w:rPr>
                <w:b/>
                <w:sz w:val="17"/>
              </w:rPr>
              <w:t>LSB I, мА</w:t>
            </w:r>
          </w:p>
        </w:tc>
        <w:tc>
          <w:tcPr>
            <w:tcW w:type="dxa" w:w="1377"/>
            <w:shd w:val="clear" w:color="auto" w:fill="E8E7E3"/>
          </w:tcPr>
          <w:p>
            <w:r/>
            <w:r>
              <w:rPr>
                <w:b/>
                <w:sz w:val="17"/>
              </w:rPr>
              <w:t>Зміщення max, мА</w:t>
            </w:r>
          </w:p>
        </w:tc>
        <w:tc>
          <w:tcPr>
            <w:tcW w:type="dxa" w:w="1377"/>
            <w:shd w:val="clear" w:color="auto" w:fill="E8E7E3"/>
          </w:tcPr>
          <w:p>
            <w:r/>
            <w:r>
              <w:rPr>
                <w:b/>
                <w:sz w:val="17"/>
              </w:rPr>
              <w:t>Некалібр. похибка, %</w:t>
            </w:r>
          </w:p>
        </w:tc>
        <w:tc>
          <w:tcPr>
            <w:tcW w:type="dxa" w:w="1377"/>
            <w:shd w:val="clear" w:color="auto" w:fill="E8E7E3"/>
          </w:tcPr>
          <w:p>
            <w:r/>
            <w:r>
              <w:rPr>
                <w:b/>
                <w:sz w:val="17"/>
              </w:rPr>
              <w:t>P шунта max, Вт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M0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2,5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32,8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1,000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±4,00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±0,60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0,81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M1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1,5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54,6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1,667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±6,67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±0,60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0,60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M2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7,5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10,9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0,333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±1,33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±0,60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0,07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M3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7,5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10,9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0,333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±1,33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±0,60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0,03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M4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7,5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10,9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0,333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±1,33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±0,60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0,12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M5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7,5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10,9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0,333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±1,33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±0,60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0,07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REF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1,5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109,2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0,208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±0,67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±0,55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0,60</w:t>
            </w:r>
          </w:p>
        </w:tc>
      </w:tr>
    </w:tbl>
    <w:p>
      <w:pPr>
        <w:spacing w:before="40"/>
        <w:jc w:val="both"/>
      </w:pPr>
      <w:r>
        <w:rPr>
          <w:b w:val="0"/>
          <w:i/>
          <w:sz w:val="17"/>
        </w:rPr>
        <w:t>Некалібрована похибка = похибка підсилення ІС + клас шунта (0,5 %). Вона перевищує ціль 1 % лише в сумі зі зміщенням біля нуля, тому калібрування E00 обов’язкове. INA226 непридатний для шини 48/51,2 В (common-mode ≤ 36 В); для S3 потрібен INA228 або інший тракт.</w:t>
      </w:r>
    </w:p>
    <w:p>
      <w:pPr>
        <w:pStyle w:val="Heading2"/>
      </w:pPr>
      <w:r>
        <w:t>2.3. Програмна частина: проєкт dtpower</w:t>
      </w:r>
    </w:p>
    <w:p>
      <w:pPr>
        <w:jc w:val="both"/>
      </w:pPr>
      <w:r>
        <w:rPr>
          <w:b w:val="0"/>
          <w:i w:val="0"/>
        </w:rPr>
        <w:t>Програмний проєкт реалізує мінімальну структуру протоколу [2, розд. 6.1]. Емульований об’єкт — еквівалентна схема LiFePO₄ (OCV(z) з плато 3,28–3,33 В/комірку, R0, R1C1, кулонівський ККД) з прихованими параметрами екземпляра: ємністю, R0 і зсувом OCV, які двійнику невідомі [2, розд. 3.3]. Кожен вимірювальний канал = шунт (допуск класу, ТКО) + ІС (зміщення, похибка підсилення, шум, квантування LSB, насичення шкали); похибки екземпляра розігруються рівномірно в межах паспортних максимумів. Транспорт MQTT має логнормальну затримку (медіана 12 мс), втрати 0,1 %, повторну доставку QoS-1 0,2 % і тестові «блекаути». Модель edge_guard реалізує автомат станів INIT/READY/RUNNING/DEGRADED/STOPPED і контракт команди (schema, mode, source, run_id, boot_id, білий список дій, консервативна перевірка терміну дії з урахуванням похибки годинника ±15 мс, ідемпотентність за command_id). Та сама таблиця рішень закладена в прошивку edge_guard.c.</w:t>
      </w:r>
    </w:p>
    <w:p>
      <w:pPr>
        <w:jc w:val="both"/>
      </w:pPr>
      <w:r>
        <w:rPr>
          <w:b w:val="0"/>
          <w:i w:val="0"/>
        </w:rPr>
        <w:t>Двійник оцінює SOC тільки за каналом M1: prior — прогноз до отримання нової телеметрії (утримання останнього струму); posterior — кулонівський підрахунок із виміряним струмом та EKF-корекцією за напругою (на плато LiFePO₄ корекція слабка). Ємність двійника Q_M1 визначено в E09 за M1. Еталонний SOC_ref обчислюється окремим реєстратором за REF з Q_ref і η_Q з E09 [2, розд. 8.3]. Валідатор телеметрії відхиляє пропущені поля, неможливі значення, «зависання» (≥ 8 однакових відліків) і порушення балансу шини |r_P| &gt; 3 Вт протягом ≥ 5 с (рівн. 9.2).</w:t>
      </w:r>
    </w:p>
    <w:p>
      <w:pPr>
        <w:pStyle w:val="Heading2"/>
      </w:pPr>
      <w:r>
        <w:t>2.4. Калібрування і незалежний reference (E00, E09)</w:t>
      </w:r>
    </w:p>
    <w:p>
      <w:pPr>
        <w:jc w:val="both"/>
      </w:pPr>
      <w:r>
        <w:rPr>
          <w:b w:val="0"/>
          <w:i w:val="0"/>
        </w:rPr>
        <w:t>E00 емулює процедуру розд. 8.1: нуль 60 с, п’ять рівнів струму (для батарейних каналів — заряд і розряд), оцінка a, b за рівнями 1, 3, 5 і верифікація за рівнями 2, 4 відносно еталона з розширеною невизначеністю 0,05 % (заповнювач до отримання сертифіката). E09 визначив ємність робочого інтервалу (CC-CV 20 А/14,2 В, хвіст 2 А; розряд 10 А до 11,2 В): Q_ref = 38,438 А·год, Q_M1 = 38,431 А·год, E_ref = 494,3 Вт·год, η_Q = 0,9953. Прихована істинна ємність екземпляра становила 39,17 А·год; робочий інтервал охопив 98,1 % її.</w:t>
      </w:r>
    </w:p>
    <w:p>
      <w:pPr>
        <w:pStyle w:val="Heading2"/>
      </w:pPr>
      <w:r>
        <w:t>2.5. Сценарії і політики керування</w:t>
      </w:r>
    </w:p>
    <w:p>
      <w:pPr>
        <w:spacing w:after="40"/>
        <w:jc w:val="left"/>
      </w:pPr>
      <w:r>
        <w:rPr>
          <w:b/>
          <w:i w:val="0"/>
          <w:sz w:val="19"/>
        </w:rPr>
        <w:t>Таблиця 4.</w:t>
      </w:r>
      <w:r>
        <w:rPr>
          <w:b w:val="0"/>
          <w:i w:val="0"/>
          <w:sz w:val="19"/>
        </w:rPr>
        <w:t xml:space="preserve"> Виконана матриця сценаріїв (усі — режим sil_hw_emulated)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color="auto" w:fill="E8E7E3"/>
          </w:tcPr>
          <w:p>
            <w:r/>
            <w:r>
              <w:rPr>
                <w:b/>
                <w:sz w:val="17"/>
              </w:rPr>
              <w:t>Код</w:t>
            </w:r>
          </w:p>
        </w:tc>
        <w:tc>
          <w:tcPr>
            <w:tcW w:type="dxa" w:w="5443"/>
            <w:shd w:val="clear" w:color="auto" w:fill="E8E7E3"/>
          </w:tcPr>
          <w:p>
            <w:r/>
            <w:r>
              <w:rPr>
                <w:b/>
                <w:sz w:val="17"/>
              </w:rPr>
              <w:t>Сценарій і параметри</w:t>
            </w:r>
          </w:p>
        </w:tc>
        <w:tc>
          <w:tcPr>
            <w:tcW w:type="dxa" w:w="1247"/>
            <w:shd w:val="clear" w:color="auto" w:fill="E8E7E3"/>
          </w:tcPr>
          <w:p>
            <w:r/>
            <w:r>
              <w:rPr>
                <w:b/>
                <w:sz w:val="17"/>
              </w:rPr>
              <w:t>Тривалість</w:t>
            </w:r>
          </w:p>
        </w:tc>
        <w:tc>
          <w:tcPr>
            <w:tcW w:type="dxa" w:w="2154"/>
            <w:shd w:val="clear" w:color="auto" w:fill="E8E7E3"/>
          </w:tcPr>
          <w:p>
            <w:r/>
            <w:r>
              <w:rPr>
                <w:b/>
                <w:sz w:val="17"/>
              </w:rPr>
              <w:t>Політики / повтори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E00/E09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Калібрування 7 каналів; ємність робочого інтервалу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≈ 8 год моделі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E01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Стабілізація 25 Вт, генерація &lt; попиту (10 Вт), &gt; попиту (60 Вт); LED вимкнено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60 хв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C0 ×1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E02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18 Вт + 30 Вт LED: увімк. 15 хв, вимк. 30 хв, увімк. 45 хв; генерація 25 Вт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60 хв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C0 ×1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E03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Генерація 60 → 10 → 60 Вт (30/60/30 хв); LED за розкладом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120 хв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C0, C1, C2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E04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Зникнення джерела 55 Вт на 60 хв; щосекундна HTTP-проба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90 хв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C0 ×1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E05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Дефіцит: SOC₀ = 0,45; 40 Вт 1,5 год / 5 Вт 3 год / 60 Вт 1,5 год; 18 + 30 Вт; зупинка SOC_ref = 0,20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до 6 год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C0, C1, C2, C_oracle × 10 парних блоків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E06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Втрата телеметрії 30 с (uplink), двобічна 30 с; застаріла команда і команда з чужим run_id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30 хв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C1 ×1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E07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Ін’єкція в копію телеметрії: зміщення 0,39 А, зависання, пропущене поле, U = 99 В, зміна знака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30 хв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C1 ×1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E08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SOC₀ = 0,33; дефіцит 20 хв; відновлення 120 Вт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60 хв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C0, C1, C2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E10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12 векторів логіки захистів/контракту (ін’єкція сигналів)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E11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14 діб S1–S3 (SIL, 1 год і 1 хв); контролерне відтворення lockstep на S1 з 12,8 В/100 А·год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336 год моделі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C0, C1, C2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C0 — освітлення за розкладом; C1 — вимкнення при SOC ≤ 0,30, повернення при SOC ≥ 0,40, мінімальна витримка 60 с; C2 — прогнозне правило (горизонт 6 год, крок 5 хв): вимкнення, якщо прогнозований мінімум SOC зі світлом &lt; 0,30; повернення при прогнозі ≥ 0,35 і SOC ≥ 0,40. Прогноз генерації C2 — причинне експоненційне згладжування виміряної генерації (холодний старт 0 Вт). Він фізично не має доступу до профілю сценарію. C_oracle використовує справжній майбутній профіль і слугує лише інформаційною межею [2, розд. 11.4]. Пороги зафіксовано у configs/policies.json до кампанії.</w:t>
      </w:r>
    </w:p>
    <w:p>
      <w:pPr>
        <w:pStyle w:val="Heading2"/>
      </w:pPr>
      <w:r>
        <w:t>2.6. Метрики і статистичний аналіз</w:t>
      </w:r>
    </w:p>
    <w:p>
      <w:pPr>
        <w:jc w:val="both"/>
      </w:pPr>
      <w:r>
        <w:rPr>
          <w:b w:val="0"/>
          <w:i w:val="0"/>
        </w:rPr>
        <w:t>Первинний показник E05, визначений наперед [2, розд. 16.7], — час до робочої межі SOC_ref = 0,20 зі збереженням послуги, правосторонньо цензурований на 6 год; обов’язково співзвітуються доставлена енергія освітлення, критична недопоставка, мінімальний SOC_ref і кількість перемикань. Статистична одиниця — парний блок (однаковий екземпляр стенда, стартовий стан і seed шуму для всіх політик блоку). Для парних різниць наведено середнє, 95% BCa-інтервал (10 000 повторних вибірок) і точний двобічний тест зі зміною знака (2¹⁰ перестановок; мінімально досяжне p = 0,002). Holm-корекцію застосовано до двох первинних контрастів (C1−C0, C2−C1). Фрідман — омнібус за трьома політиками. Енергетична недопоставка, LOLH і LPSP_E обчислюються за незалежним від політики бажаним попитом [2, розд. 16.2].</w:t>
      </w:r>
    </w:p>
    <w:p>
      <w:pPr>
        <w:pStyle w:val="Heading2"/>
      </w:pPr>
      <w:r>
        <w:t>2.7. Відтворюваність</w:t>
      </w:r>
    </w:p>
    <w:p>
      <w:pPr>
        <w:jc w:val="both"/>
      </w:pPr>
      <w:r>
        <w:rPr>
          <w:b w:val="0"/>
          <w:i w:val="0"/>
        </w:rPr>
        <w:t>Кампанія запускається однією командою `python scripts/run_campaign.py` (детерміновані seed: стенд 1, база 20260929). Пакет містить manifest.json (версії Python 3.11.15, NumPy 2.4.6), копію конфігурацій (SHA-256 8e3860c064c016fb…), сирі журнали кожного run_id, протоколи запусків у форматі розд. 21.3, метрики, рисунки та checksums.sha256. Час виконання — 78 с на 4 процесах.</w:t>
      </w:r>
    </w:p>
    <w:p>
      <w:pPr>
        <w:pStyle w:val="Heading1"/>
      </w:pPr>
      <w:r>
        <w:t>3. Результати</w:t>
      </w:r>
    </w:p>
    <w:p>
      <w:pPr>
        <w:pStyle w:val="Heading2"/>
      </w:pPr>
      <w:r>
        <w:t>3.1. Метрологія: калібрування і бюджет невизначеності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97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calib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9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i w:val="0"/>
          <w:sz w:val="18"/>
        </w:rPr>
        <w:t>Рис. 2.</w:t>
      </w:r>
      <w:r>
        <w:rPr>
          <w:b w:val="0"/>
          <w:i w:val="0"/>
          <w:sz w:val="18"/>
        </w:rPr>
        <w:t xml:space="preserve"> Залишки каналів M0–M5 і REF після калібрування E00 (EMU): кола — рівні для оцінки коефіцієнтів, ромби — контрольні рівні верифікації. Ціль приймання ±1 % показу лежить далеко за межами масштабу.</w:t>
      </w:r>
    </w:p>
    <w:p>
      <w:pPr>
        <w:spacing w:after="40"/>
        <w:jc w:val="left"/>
      </w:pPr>
      <w:r>
        <w:rPr>
          <w:b/>
          <w:i w:val="0"/>
          <w:sz w:val="19"/>
        </w:rPr>
        <w:t>Таблиця 5.</w:t>
      </w:r>
      <w:r>
        <w:rPr>
          <w:b w:val="0"/>
          <w:i w:val="0"/>
          <w:sz w:val="19"/>
        </w:rPr>
        <w:t xml:space="preserve"> Результати калібрування і розширена невизначеність (k = 2) 1-с значення струму (EMU)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794"/>
            <w:shd w:val="clear" w:color="auto" w:fill="E8E7E3"/>
          </w:tcPr>
          <w:p>
            <w:r/>
            <w:r>
              <w:rPr>
                <w:b/>
                <w:sz w:val="17"/>
              </w:rPr>
              <w:t>Канал</w:t>
            </w:r>
          </w:p>
        </w:tc>
        <w:tc>
          <w:tcPr>
            <w:tcW w:type="dxa" w:w="1474"/>
            <w:shd w:val="clear" w:color="auto" w:fill="E8E7E3"/>
          </w:tcPr>
          <w:p>
            <w:r/>
            <w:r>
              <w:rPr>
                <w:b/>
                <w:sz w:val="17"/>
              </w:rPr>
              <w:t>Нуль до калібр., мА</w:t>
            </w:r>
          </w:p>
        </w:tc>
        <w:tc>
          <w:tcPr>
            <w:tcW w:type="dxa" w:w="1020"/>
            <w:shd w:val="clear" w:color="auto" w:fill="E8E7E3"/>
          </w:tcPr>
          <w:p>
            <w:r/>
            <w:r>
              <w:rPr>
                <w:b/>
                <w:sz w:val="17"/>
              </w:rPr>
              <w:t>a</w:t>
            </w:r>
          </w:p>
        </w:tc>
        <w:tc>
          <w:tcPr>
            <w:tcW w:type="dxa" w:w="907"/>
            <w:shd w:val="clear" w:color="auto" w:fill="E8E7E3"/>
          </w:tcPr>
          <w:p>
            <w:r/>
            <w:r>
              <w:rPr>
                <w:b/>
                <w:sz w:val="17"/>
              </w:rPr>
              <w:t>b, мА</w:t>
            </w:r>
          </w:p>
        </w:tc>
        <w:tc>
          <w:tcPr>
            <w:tcW w:type="dxa" w:w="1814"/>
            <w:shd w:val="clear" w:color="auto" w:fill="E8E7E3"/>
          </w:tcPr>
          <w:p>
            <w:r/>
            <w:r>
              <w:rPr>
                <w:b/>
                <w:sz w:val="17"/>
              </w:rPr>
              <w:t>Макс. залишок верифікації, %</w:t>
            </w:r>
          </w:p>
        </w:tc>
        <w:tc>
          <w:tcPr>
            <w:tcW w:type="dxa" w:w="3628"/>
            <w:shd w:val="clear" w:color="auto" w:fill="E8E7E3"/>
          </w:tcPr>
          <w:p>
            <w:r/>
            <w:r>
              <w:rPr>
                <w:b/>
                <w:sz w:val="17"/>
              </w:rPr>
              <w:t>U_I при I роб. (k=2)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M0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−1,50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0,99597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−0,56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0,010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1 А: 2,0 мА; 4 А: 3,8 мА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M1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−6,29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0,99894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6,29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0,017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−10 А: 8,1 мА; −2 А: 3,0 мА; 2 А: 3,0 мА; 4 А: 4,2 мА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M2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−0,53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0,99708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−0,24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0,098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2 А: 2,5 мА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M3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−0,62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1,00223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0,66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0,014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M4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1,22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0,99480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−1,21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0,036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2 А: 2,6 мА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M5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1,26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1,00334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−1,67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0,036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REF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0,15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0,99675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1,93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0,053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−10 А: 16,9 мА; 2 А: 3,7 мА; 4 А: 7,0 мА</w:t>
            </w:r>
          </w:p>
        </w:tc>
      </w:tr>
    </w:tbl>
    <w:p>
      <w:pPr>
        <w:spacing w:before="40"/>
        <w:jc w:val="both"/>
      </w:pPr>
      <w:r>
        <w:rPr>
          <w:b w:val="0"/>
          <w:i/>
          <w:sz w:val="17"/>
        </w:rPr>
        <w:t>Усі канали пройшли критерій ≤ 1 % з запасом понад порядок. Домінантна складова батарейних каналів — невизначеність еталона. Тобто фактична точність фізичного стенда визначатиметься сертифікатом еталона, а не INA226/INA228.</w:t>
      </w:r>
    </w:p>
    <w:p>
      <w:pPr>
        <w:pStyle w:val="Heading2"/>
      </w:pPr>
      <w:r>
        <w:t>3.2. Точність двійника (H1)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874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twin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87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i w:val="0"/>
          <w:sz w:val="18"/>
        </w:rPr>
        <w:t>Рис. 3.</w:t>
      </w:r>
      <w:r>
        <w:rPr>
          <w:b w:val="0"/>
          <w:i w:val="0"/>
          <w:sz w:val="18"/>
        </w:rPr>
        <w:t xml:space="preserve"> Відстеження SOC двійником (posterior, штрих) відносно незалежного SOC_ref в E03-C2 та E04-C0 (A) і різниця в відсоткових пунктах (B). Затінено смугу ±3 в.п. критерію MAE.</w:t>
      </w:r>
    </w:p>
    <w:p>
      <w:pPr>
        <w:spacing w:after="40"/>
        <w:jc w:val="left"/>
      </w:pPr>
      <w:r>
        <w:rPr>
          <w:b/>
          <w:i w:val="0"/>
          <w:sz w:val="19"/>
        </w:rPr>
        <w:t>Таблиця 6.</w:t>
      </w:r>
      <w:r>
        <w:rPr>
          <w:b w:val="0"/>
          <w:i w:val="0"/>
          <w:sz w:val="19"/>
        </w:rPr>
        <w:t xml:space="preserve"> Точність стану та енергії за сценаріями (EMU; E05 — середнє за 10 блоками)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701"/>
            <w:shd w:val="clear" w:color="auto" w:fill="E8E7E3"/>
          </w:tcPr>
          <w:p>
            <w:r/>
            <w:r>
              <w:rPr>
                <w:b/>
                <w:sz w:val="17"/>
              </w:rPr>
              <w:t>Сценарій / політика</w:t>
            </w:r>
          </w:p>
        </w:tc>
        <w:tc>
          <w:tcPr>
            <w:tcW w:type="dxa" w:w="1020"/>
            <w:shd w:val="clear" w:color="auto" w:fill="E8E7E3"/>
          </w:tcPr>
          <w:p>
            <w:r/>
            <w:r>
              <w:rPr>
                <w:b/>
                <w:sz w:val="17"/>
              </w:rPr>
              <w:t>MAE SOC, в.п.</w:t>
            </w:r>
          </w:p>
        </w:tc>
        <w:tc>
          <w:tcPr>
            <w:tcW w:type="dxa" w:w="907"/>
            <w:shd w:val="clear" w:color="auto" w:fill="E8E7E3"/>
          </w:tcPr>
          <w:p>
            <w:r/>
            <w:r>
              <w:rPr>
                <w:b/>
                <w:sz w:val="17"/>
              </w:rPr>
              <w:t>RMSE, в.п.</w:t>
            </w:r>
          </w:p>
        </w:tc>
        <w:tc>
          <w:tcPr>
            <w:tcW w:type="dxa" w:w="1247"/>
            <w:shd w:val="clear" w:color="auto" w:fill="E8E7E3"/>
          </w:tcPr>
          <w:p>
            <w:r/>
            <w:r>
              <w:rPr>
                <w:b/>
                <w:sz w:val="17"/>
              </w:rPr>
              <w:t>|похибка| max, в.п.</w:t>
            </w:r>
          </w:p>
        </w:tc>
        <w:tc>
          <w:tcPr>
            <w:tcW w:type="dxa" w:w="1587"/>
            <w:shd w:val="clear" w:color="auto" w:fill="E8E7E3"/>
          </w:tcPr>
          <w:p>
            <w:r/>
            <w:r>
              <w:rPr>
                <w:b/>
                <w:sz w:val="17"/>
              </w:rPr>
              <w:t>Похибка енергії розряду, %</w:t>
            </w:r>
          </w:p>
        </w:tc>
        <w:tc>
          <w:tcPr>
            <w:tcW w:type="dxa" w:w="1247"/>
            <w:shd w:val="clear" w:color="auto" w:fill="E8E7E3"/>
          </w:tcPr>
          <w:p>
            <w:r/>
            <w:r>
              <w:rPr>
                <w:b/>
                <w:sz w:val="17"/>
              </w:rPr>
              <w:t>REF − істина, в.п.</w:t>
            </w:r>
          </w:p>
        </w:tc>
        <w:tc>
          <w:tcPr>
            <w:tcW w:type="dxa" w:w="1928"/>
            <w:shd w:val="clear" w:color="auto" w:fill="E8E7E3"/>
          </w:tcPr>
          <w:p>
            <w:r/>
            <w:r>
              <w:rPr>
                <w:b/>
                <w:sz w:val="17"/>
              </w:rPr>
              <w:t>Залишок r_P, Вт (сер. ± СКВ)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E01 C0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1,70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1,72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2,29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0,18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0,35 ± 0,01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E02 C0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2,00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2,01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2,31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0,16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0,82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0,34 ± 0,08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E04 C0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2,07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2,11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2,96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0,14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0,61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0,34 ± 0,01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E03 C0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0,95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1,05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1,60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0,07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0,35 ± 0,03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E03 C1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0,95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1,05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1,60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0,07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0,35 ± 0,03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E03 C2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1,38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1,41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1,87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0,16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0,35 ± 0,05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E08 C0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1,05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1,38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2,55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0,06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0,36 ± 0,04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E08 C1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2,05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2,30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3,23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0,14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0,36 ± 0,05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E08 C2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2,05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2,30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3,23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0,14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0,36 ± 0,05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E05 C0 (n = 10)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0,86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1,84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0,10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E05 C1 (n = 10)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1,12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3,28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0,12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E05 C2 (n = 10)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1,63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2,91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0,18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E05 C_oracle (n = 10)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1,46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2,75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0,10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pacing w:before="40"/>
        <w:jc w:val="both"/>
      </w:pPr>
      <w:r>
        <w:rPr>
          <w:b w:val="0"/>
          <w:i/>
          <w:sz w:val="17"/>
        </w:rPr>
        <w:t>«REF − істина» доступне лише в емуляції; у фізичному досліді прихований стан невідомий. Залишок r_P ≈ 0,35 Вт відповідає неврахованому власному споживанню шини (реле, драйвер, модулі); його треба виміряти окремо на пілоті, а не віднімати як «невідомі втрати».</w:t>
      </w:r>
    </w:p>
    <w:p>
      <w:pPr>
        <w:jc w:val="both"/>
      </w:pPr>
      <w:r>
        <w:rPr>
          <w:b w:val="0"/>
          <w:i w:val="0"/>
        </w:rPr>
        <w:t>Критерій H1 (енергія ≤ 5 %, MAE SOC ≤ 3 в.п., максимум ≤ 5 в.п.) виконано в усіх штатних запусках. Похибка SOC зростає на ділянках тривалого розряду: EKF-корекція на плато LiFePO₄ майже не працює, тому розбіжність Q_M1/Q_ref і початкового стану накопичується. Похибка оцінки SOC_ref відносно прихованої істини (0,1–0,4 в.п.) задає нижню межу доказовості: відмінності SOC між політиками менші за ≈ 0,5 в.п. не інтерпретуються.</w:t>
      </w:r>
    </w:p>
    <w:p>
      <w:pPr>
        <w:pStyle w:val="Heading2"/>
      </w:pPr>
      <w:r>
        <w:t>3.3. Синхронізація і фізичне виконання команд (H2, H3)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25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tim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i w:val="0"/>
          <w:sz w:val="18"/>
        </w:rPr>
        <w:t>Рис. 4.</w:t>
      </w:r>
      <w:r>
        <w:rPr>
          <w:b w:val="0"/>
          <w:i w:val="0"/>
          <w:sz w:val="18"/>
        </w:rPr>
        <w:t xml:space="preserve"> Розподіл RTT «команда → ACK» (A, n = 111) і часу «рішення → фронт струму M4» за 10-Гц локальною фіксацією ESP32 (B, n = 85).</w:t>
      </w:r>
    </w:p>
    <w:p>
      <w:pPr>
        <w:jc w:val="both"/>
      </w:pPr>
      <w:r>
        <w:rPr>
          <w:b w:val="0"/>
          <w:i w:val="0"/>
        </w:rPr>
        <w:t>Медіана RTT становила 27,2 мс, p95 — 43,1 мс, p99 — 67,7 мс, максимум — 75,9 мс (критерій p95 ≤ 2 с). Для всіх 85 команд, що змінювали стан реле, фронт струму M4 зафіксовано за медіанний час 200 мс і максимум 300 мс. Цей час складається з RTT, спрацювання реле (10 мс), плавного пуску LED (150 мс) і дискретизації 10 Гц. Ще 26 прийнятих команд не змінювали стан (наприклад, OFF при вже вимкненому реле) і були підтверджені збігом виміряного стану. Покриття валідною телеметрією у штатних запусках — не менше 99,84 %; втрачені пакети не замінювалися нулем. Ці часи отримано з емульованої мережі й не характеризують реальний Wi-Fi стенда: їх треба виміряти в П-5 перед основною серією.</w:t>
      </w:r>
    </w:p>
    <w:p>
      <w:pPr>
        <w:pStyle w:val="Heading2"/>
      </w:pPr>
      <w:r>
        <w:t>3.4. Відмови зв’язку, датчиків і логіка захистів (E06, E07, E10)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45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e06_link_l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i w:val="0"/>
          <w:sz w:val="18"/>
        </w:rPr>
        <w:t>Рис. 5.</w:t>
      </w:r>
      <w:r>
        <w:rPr>
          <w:b w:val="0"/>
          <w:i w:val="0"/>
          <w:sz w:val="18"/>
        </w:rPr>
        <w:t xml:space="preserve"> E06: стан виходу ESP32 і фактичний стан реле під час втрати телеметрії (600–630 с) і двобічної втрати зв’язку (900–930 с). О 1200 с застаріла команда ON і команда з чужим run_id відхилені контролером.</w:t>
      </w:r>
    </w:p>
    <w:p>
      <w:pPr>
        <w:jc w:val="both"/>
      </w:pPr>
      <w:r>
        <w:rPr>
          <w:b w:val="0"/>
          <w:i w:val="0"/>
        </w:rPr>
        <w:t>При втраті uplink двійник позначив телеметрію простроченою через 5 с і надіслав резервну команду OFF, яку було виконано. При двобічній втраті команда OFF не могла бути доставлена, проте контролер самостійно перейшов у DEGRADED за watchdog heartbeat (&gt; 5 с) і вимкнув допоміжну гілку. Критичний споживач працював безперервно. Після відновлення контролер повернувся в RUNNING лише після heartbeat із ознакою звірки стану, а освітлення увімкнулося новою командою EMS на наступному 60-с циклі. Обидві тестові команди відхилено з причинами «expired» і «run_id».</w:t>
      </w:r>
    </w:p>
    <w:p>
      <w:pPr>
        <w:spacing w:after="40"/>
        <w:jc w:val="left"/>
      </w:pPr>
      <w:r>
        <w:rPr>
          <w:b/>
          <w:i w:val="0"/>
          <w:sz w:val="19"/>
        </w:rPr>
        <w:t>Таблиця 7.</w:t>
      </w:r>
      <w:r>
        <w:rPr>
          <w:b w:val="0"/>
          <w:i w:val="0"/>
          <w:sz w:val="19"/>
        </w:rPr>
        <w:t xml:space="preserve"> E07: виявлення некоректних даних у копії телеметрії двійника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shd w:val="clear" w:color="auto" w:fill="E8E7E3"/>
          </w:tcPr>
          <w:p>
            <w:r/>
            <w:r>
              <w:rPr>
                <w:b/>
                <w:sz w:val="17"/>
              </w:rPr>
              <w:t>Збій</w:t>
            </w:r>
          </w:p>
        </w:tc>
        <w:tc>
          <w:tcPr>
            <w:tcW w:type="dxa" w:w="1361"/>
            <w:shd w:val="clear" w:color="auto" w:fill="E8E7E3"/>
          </w:tcPr>
          <w:p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1134"/>
            <w:shd w:val="clear" w:color="auto" w:fill="E8E7E3"/>
          </w:tcPr>
          <w:p>
            <w:r/>
            <w:r>
              <w:rPr>
                <w:b/>
                <w:sz w:val="17"/>
              </w:rPr>
              <w:t>Тривалість, с</w:t>
            </w:r>
          </w:p>
        </w:tc>
        <w:tc>
          <w:tcPr>
            <w:tcW w:type="dxa" w:w="907"/>
            <w:shd w:val="clear" w:color="auto" w:fill="E8E7E3"/>
          </w:tcPr>
          <w:p>
            <w:r/>
            <w:r>
              <w:rPr>
                <w:b/>
                <w:sz w:val="17"/>
              </w:rPr>
              <w:t>Виявлено</w:t>
            </w:r>
          </w:p>
        </w:tc>
        <w:tc>
          <w:tcPr>
            <w:tcW w:type="dxa" w:w="1020"/>
            <w:shd w:val="clear" w:color="auto" w:fill="E8E7E3"/>
          </w:tcPr>
          <w:p>
            <w:r/>
            <w:r>
              <w:rPr>
                <w:b/>
                <w:sz w:val="17"/>
              </w:rPr>
              <w:t>Затримка, с</w:t>
            </w:r>
          </w:p>
        </w:tc>
        <w:tc>
          <w:tcPr>
            <w:tcW w:type="dxa" w:w="2041"/>
            <w:shd w:val="clear" w:color="auto" w:fill="E8E7E3"/>
          </w:tcPr>
          <w:p>
            <w:r/>
            <w:r>
              <w:rPr>
                <w:b/>
                <w:sz w:val="17"/>
              </w:rPr>
              <w:t>Ознака</w:t>
            </w:r>
          </w:p>
        </w:tc>
        <w:tc>
          <w:tcPr>
            <w:tcW w:type="dxa" w:w="1701"/>
            <w:shd w:val="clear" w:color="auto" w:fill="E8E7E3"/>
          </w:tcPr>
          <w:p>
            <w:r/>
            <w:r>
              <w:rPr>
                <w:b/>
                <w:sz w:val="17"/>
              </w:rPr>
              <w:t>Частка позначених відліків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offset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0.39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180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4,01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balance_residual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98 %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stuck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180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8,01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stuck_value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96 %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missing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p_gen_bus_w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0,00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missing:p_gen_bus_w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100 %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impossible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99.0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0,02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impossible_voltage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100 %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sign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180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4,00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balance_residual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98 %</w:t>
            </w:r>
          </w:p>
        </w:tc>
      </w:tr>
    </w:tbl>
    <w:p>
      <w:pPr>
        <w:spacing w:before="40"/>
        <w:jc w:val="both"/>
      </w:pPr>
      <w:r>
        <w:rPr>
          <w:b w:val="0"/>
          <w:i/>
          <w:sz w:val="17"/>
        </w:rPr>
        <w:t>Хибних позначок поза інтервалами збоїв: 0. Зміщення 10 % робочого струму і зміна знака виявляються лише через баланс шини, тому затримка ≈ 4 с визначена правилом «≥ 5 послідовних відліків». Менше зміщення (&lt; 3 Вт у балансі) цим механізмом не виявляється.</w:t>
      </w:r>
    </w:p>
    <w:p>
      <w:pPr>
        <w:spacing w:after="40"/>
        <w:jc w:val="left"/>
      </w:pPr>
      <w:r>
        <w:rPr>
          <w:b/>
          <w:i w:val="0"/>
          <w:sz w:val="19"/>
        </w:rPr>
        <w:t>Таблиця 8.</w:t>
      </w:r>
      <w:r>
        <w:rPr>
          <w:b w:val="0"/>
          <w:i w:val="0"/>
          <w:sz w:val="19"/>
        </w:rPr>
        <w:t xml:space="preserve"> E10: вектори логіки захистів і контракту команд (модель edge_guard)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35"/>
            <w:shd w:val="clear" w:color="auto" w:fill="E8E7E3"/>
          </w:tcPr>
          <w:p>
            <w:r/>
            <w:r>
              <w:rPr>
                <w:b/>
                <w:sz w:val="17"/>
              </w:rPr>
              <w:t>Вектор</w:t>
            </w:r>
          </w:p>
        </w:tc>
        <w:tc>
          <w:tcPr>
            <w:tcW w:type="dxa" w:w="1134"/>
            <w:shd w:val="clear" w:color="auto" w:fill="E8E7E3"/>
          </w:tcPr>
          <w:p>
            <w:r/>
            <w:r>
              <w:rPr>
                <w:b/>
                <w:sz w:val="17"/>
              </w:rPr>
              <w:t>Очікувано</w:t>
            </w:r>
          </w:p>
        </w:tc>
        <w:tc>
          <w:tcPr>
            <w:tcW w:type="dxa" w:w="1247"/>
            <w:shd w:val="clear" w:color="auto" w:fill="E8E7E3"/>
          </w:tcPr>
          <w:p>
            <w:r/>
            <w:r>
              <w:rPr>
                <w:b/>
                <w:sz w:val="17"/>
              </w:rPr>
              <w:t>Спостережено</w:t>
            </w:r>
          </w:p>
        </w:tc>
        <w:tc>
          <w:tcPr>
            <w:tcW w:type="dxa" w:w="1474"/>
            <w:shd w:val="clear" w:color="auto" w:fill="E8E7E3"/>
          </w:tcPr>
          <w:p>
            <w:r/>
            <w:r>
              <w:rPr>
                <w:b/>
                <w:sz w:val="17"/>
              </w:rPr>
              <w:t>Стан після</w:t>
            </w:r>
          </w:p>
        </w:tc>
        <w:tc>
          <w:tcPr>
            <w:tcW w:type="dxa" w:w="1134"/>
            <w:shd w:val="clear" w:color="auto" w:fill="E8E7E3"/>
          </w:tcPr>
          <w:p>
            <w:r/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ON accepted in RUNNING with permissions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RUNNING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Low pack voltage (12.2 V &lt; 12.4 V) forces OFF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RUNNING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ON rejected while local protection active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RUNNING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BMS open forces OFF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RUNNING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Expired command rejected (TTL, clock bound)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RUNNING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Wrong run_id rejected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RUNNING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Wrong boot_id rejected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RUNNING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TOGGLE not accepted (non-idempotent)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RUNNING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Duplicate QoS-1 delivery does not re-switch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RUNNING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Heartbeat loss &gt; 5 s -&gt; DEGRADED, aux OFF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так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DEGRADED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ON rejected in DEGRADED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DEGRADED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Synthetic-mode command rejected in physical mode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ні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RUNNING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PASS</w:t>
            </w:r>
          </w:p>
        </w:tc>
      </w:tr>
    </w:tbl>
    <w:p>
      <w:pPr>
        <w:spacing w:before="40"/>
        <w:jc w:val="both"/>
      </w:pPr>
      <w:r>
        <w:rPr>
          <w:b w:val="0"/>
          <w:i/>
          <w:sz w:val="17"/>
        </w:rPr>
        <w:t>«Так/ні» — прийняття команди або виконання умови. Ті самі вектори слід повторити на прошивці ESP32 до фізичного запуску.</w:t>
      </w:r>
    </w:p>
    <w:p>
      <w:pPr>
        <w:pStyle w:val="Heading2"/>
      </w:pPr>
      <w:r>
        <w:t>3.5. Порівняння політик у досліді з дефіцитом (E05, H4)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12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e05_timese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12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i w:val="0"/>
          <w:sz w:val="18"/>
        </w:rPr>
        <w:t>Рис. 6.</w:t>
      </w:r>
      <w:r>
        <w:rPr>
          <w:b w:val="0"/>
          <w:i w:val="0"/>
          <w:sz w:val="18"/>
        </w:rPr>
        <w:t xml:space="preserve"> E05, блок R00: SOC_ref для чотирьох політик (A) і доступна генерація зі станом освітлення (B). C0 досягає межі 0,20 через 3,6 год; C1 вимикає світло при 0,30; C2 з холодним стартом прогнозу вимикає світло одразу й тримає високий резерв.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031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e05_pair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3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i w:val="0"/>
          <w:sz w:val="18"/>
        </w:rPr>
        <w:t>Рис. 7.</w:t>
      </w:r>
      <w:r>
        <w:rPr>
          <w:b w:val="0"/>
          <w:i w:val="0"/>
          <w:sz w:val="18"/>
        </w:rPr>
        <w:t xml:space="preserve"> E05, парні результати 10 блоків: час до межі (A), доставлене освітлення (B), мінімальний SOC_ref (C). Сірі лінії з’єднують політики одного блоку; горизонтальні риски — середні.</w:t>
      </w:r>
    </w:p>
    <w:p>
      <w:pPr>
        <w:spacing w:after="40"/>
        <w:jc w:val="left"/>
      </w:pPr>
      <w:r>
        <w:rPr>
          <w:b/>
          <w:i w:val="0"/>
          <w:sz w:val="19"/>
        </w:rPr>
        <w:t>Таблиця 9.</w:t>
      </w:r>
      <w:r>
        <w:rPr>
          <w:b w:val="0"/>
          <w:i w:val="0"/>
          <w:sz w:val="19"/>
        </w:rPr>
        <w:t xml:space="preserve"> E05: парні контрасти (n = 10 блоків)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969"/>
            <w:shd w:val="clear" w:color="auto" w:fill="E8E7E3"/>
          </w:tcPr>
          <w:p>
            <w:r/>
            <w:r>
              <w:rPr>
                <w:b/>
                <w:sz w:val="17"/>
              </w:rPr>
              <w:t>Контраст</w:t>
            </w:r>
          </w:p>
        </w:tc>
        <w:tc>
          <w:tcPr>
            <w:tcW w:type="dxa" w:w="1361"/>
            <w:shd w:val="clear" w:color="auto" w:fill="E8E7E3"/>
          </w:tcPr>
          <w:p>
            <w:r/>
            <w:r>
              <w:rPr>
                <w:b/>
                <w:sz w:val="17"/>
              </w:rPr>
              <w:t>Середня різниця</w:t>
            </w:r>
          </w:p>
        </w:tc>
        <w:tc>
          <w:tcPr>
            <w:tcW w:type="dxa" w:w="1928"/>
            <w:shd w:val="clear" w:color="auto" w:fill="E8E7E3"/>
          </w:tcPr>
          <w:p>
            <w:r/>
            <w:r>
              <w:rPr>
                <w:b/>
                <w:sz w:val="17"/>
              </w:rPr>
              <w:t>95% BCa ДІ</w:t>
            </w:r>
          </w:p>
        </w:tc>
        <w:tc>
          <w:tcPr>
            <w:tcW w:type="dxa" w:w="1247"/>
            <w:shd w:val="clear" w:color="auto" w:fill="E8E7E3"/>
          </w:tcPr>
          <w:p>
            <w:r/>
            <w:r>
              <w:rPr>
                <w:b/>
                <w:sz w:val="17"/>
              </w:rPr>
              <w:t>p (sign-flip)</w:t>
            </w:r>
          </w:p>
        </w:tc>
        <w:tc>
          <w:tcPr>
            <w:tcW w:type="dxa" w:w="1134"/>
            <w:shd w:val="clear" w:color="auto" w:fill="E8E7E3"/>
          </w:tcPr>
          <w:p>
            <w:r/>
            <w:r>
              <w:rPr>
                <w:b/>
                <w:sz w:val="17"/>
              </w:rPr>
              <w:t>p (Holm)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Час до межі, год: C1 − C0 (первинний)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2,402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2,373; 2,426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0,0020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0,0039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Час до межі, год: C2 − C1 (первинний)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0,000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0,000; 0,000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1,0000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1,0000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Освітлення, Вт·год: C1 − C0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−28,948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−29,791; −28,220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0,0020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досл.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Освітлення, Вт·год: C2 − C1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−32,901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−33,152; −32,701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0,0020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досл.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Освітлення, Вт·год: Oracle − C2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33,400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33,200; 33,650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0,0020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досл.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Освітлення до спільного кінця, Вт·год: C2 − C1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−64,338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−64,588; −64,137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0,0020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досл.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Мін. SOC_ref: C1 − C0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0,038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0,035; 0,041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0,0020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досл.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Мін. SOC_ref: C2 − C1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0,144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0,144; 0,145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0,0020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досл.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Перемикання: C2 − C1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1,000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1,000; 1,000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0,0020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досл.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Критична недопоставка, Вт·год: C2 − C1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0,000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0,000; 0,000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1,0000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досл.</w:t>
            </w:r>
          </w:p>
        </w:tc>
      </w:tr>
    </w:tbl>
    <w:p>
      <w:pPr>
        <w:spacing w:before="40"/>
        <w:jc w:val="both"/>
      </w:pPr>
      <w:r>
        <w:rPr>
          <w:b w:val="0"/>
          <w:i/>
          <w:sz w:val="17"/>
        </w:rPr>
        <w:t>Середні за політиками: час до межі C0 = 3,60 год (0/10 цензуровано), C1, C2, C_oracle — 6 год (10/10 цензуровано); освітлення C0 = 107,9, C1 = 79,0, C2 = 46,1, C_oracle = 79,5 Вт·год; критична недопоставка — 0 в усіх запусках. Спільний кінець — найраніше завершення в блоці (≈ 3,6 год, зупинка C0). Фрідман (3 політики): χ² = 20,0, p = 4.5e-05. Вузькі інтервали відображають лише варіабельність шуму вимірювань на одному екземплярі стенда, а не міжекземплярну чи міжсезонну мінливість.</w:t>
      </w:r>
    </w:p>
    <w:p>
      <w:pPr>
        <w:jc w:val="both"/>
      </w:pPr>
      <w:r>
        <w:rPr>
          <w:b w:val="0"/>
          <w:i w:val="0"/>
        </w:rPr>
        <w:t xml:space="preserve">Порогове керування C1 проти C0 дало стійкий ефект у первинному показнику: жоден блок C1 не досяг межі за 6 год. Ціна — 28,9 Вт·год освітлення. Гіпотеза H4 для прогнозного правила C2 </w:t>
      </w:r>
      <w:r>
        <w:rPr>
          <w:b/>
          <w:i w:val="0"/>
        </w:rPr>
        <w:t>не підтверджена</w:t>
      </w:r>
      <w:r>
        <w:rPr>
          <w:b w:val="0"/>
          <w:i w:val="0"/>
        </w:rPr>
        <w:t>. Первинний показник не змінився (обидві політики цензуровані), C2 доставило менше освітлення і тримало непотрібно високий резерв (мін. SOC_ref 0,382 проти 0,238). Це саме той випадок, від якого застерігає протокол [2, розд. 1.1]: вищий SOC досягнуто за рахунок вимкненого освітлення. Причина — прогноз генерації. Під час холодного старту і 3-годинної ділянки 5 Вт persistence-прогноз екстраполює дефіцит на весь 6-годинний горизонт і не передбачає відновлення. C_oracle з тими самими порогами доставив 79,5 Вт·год (як C1) за вищого мінімального резерву (0,337). Отже, цінність інформації становить ≈ 33 Вт·год освітлення, і прогнозне керування має сенс лише з прогнозом генерації, кращим за persistence (ERA5/PVGIS-орієнтований денний профіль, TFT/GRU).</w:t>
      </w:r>
    </w:p>
    <w:p>
      <w:pPr>
        <w:pStyle w:val="Heading2"/>
      </w:pPr>
      <w:r>
        <w:t>3.6. Довгий сценарій: 14 діб S1–S3 і контролерне відтворення (E11)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59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e11_14d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59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i w:val="0"/>
          <w:sz w:val="18"/>
        </w:rPr>
        <w:t>Рис. 8.</w:t>
      </w:r>
      <w:r>
        <w:rPr>
          <w:b w:val="0"/>
          <w:i w:val="0"/>
          <w:sz w:val="18"/>
        </w:rPr>
        <w:t xml:space="preserve"> E11: траєкторії частки енергії z_E для S1 і S3 у SIL за протокольним порядком днів (A) і недопоставка критичного навантаження та освітлення за 336 год для зменшеної конфігурації S1 12,8 В/100 А·год за політик C0–C2 у lockstep-відтворенні з моделлю edge_guard (B).</w:t>
      </w:r>
    </w:p>
    <w:p>
      <w:pPr>
        <w:spacing w:after="40"/>
        <w:jc w:val="left"/>
      </w:pPr>
      <w:r>
        <w:rPr>
          <w:b/>
          <w:i w:val="0"/>
          <w:sz w:val="19"/>
        </w:rPr>
        <w:t>Таблиця 10.</w:t>
      </w:r>
      <w:r>
        <w:rPr>
          <w:b w:val="0"/>
          <w:i w:val="0"/>
          <w:sz w:val="19"/>
        </w:rPr>
        <w:t xml:space="preserve"> E11: відтворення результатів рукопису (SIL, 336 год, порядок днів — протокол 10.2)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020"/>
            <w:shd w:val="clear" w:color="auto" w:fill="E8E7E3"/>
          </w:tcPr>
          <w:p>
            <w:r/>
            <w:r>
              <w:rPr>
                <w:b/>
                <w:sz w:val="17"/>
              </w:rPr>
              <w:t>Сценарій</w:t>
            </w:r>
          </w:p>
        </w:tc>
        <w:tc>
          <w:tcPr>
            <w:tcW w:type="dxa" w:w="1247"/>
            <w:shd w:val="clear" w:color="auto" w:fill="E8E7E3"/>
          </w:tcPr>
          <w:p>
            <w:r/>
            <w:r>
              <w:rPr>
                <w:b/>
                <w:sz w:val="17"/>
              </w:rPr>
              <w:t>MinSOC рукопис</w:t>
            </w:r>
          </w:p>
        </w:tc>
        <w:tc>
          <w:tcPr>
            <w:tcW w:type="dxa" w:w="1587"/>
            <w:shd w:val="clear" w:color="auto" w:fill="E8E7E3"/>
          </w:tcPr>
          <w:p>
            <w:r/>
            <w:r>
              <w:rPr>
                <w:b/>
                <w:sz w:val="17"/>
              </w:rPr>
              <w:t>MinSOC SIL, крок 1 год</w:t>
            </w:r>
          </w:p>
        </w:tc>
        <w:tc>
          <w:tcPr>
            <w:tcW w:type="dxa" w:w="1020"/>
            <w:shd w:val="clear" w:color="auto" w:fill="E8E7E3"/>
          </w:tcPr>
          <w:p>
            <w:r/>
            <w:r>
              <w:rPr>
                <w:b/>
                <w:sz w:val="17"/>
              </w:rPr>
              <w:t>Крок 1 хв</w:t>
            </w:r>
          </w:p>
        </w:tc>
        <w:tc>
          <w:tcPr>
            <w:tcW w:type="dxa" w:w="1928"/>
            <w:shd w:val="clear" w:color="auto" w:fill="E8E7E3"/>
          </w:tcPr>
          <w:p>
            <w:r/>
            <w:r>
              <w:rPr>
                <w:b/>
                <w:sz w:val="17"/>
              </w:rPr>
              <w:t>Номінал 12,8/25,6/51,2 В</w:t>
            </w:r>
          </w:p>
        </w:tc>
        <w:tc>
          <w:tcPr>
            <w:tcW w:type="dxa" w:w="907"/>
            <w:shd w:val="clear" w:color="auto" w:fill="E8E7E3"/>
          </w:tcPr>
          <w:p>
            <w:r/>
            <w:r>
              <w:rPr>
                <w:b/>
                <w:sz w:val="17"/>
              </w:rPr>
              <w:t>LOLH, год</w:t>
            </w:r>
          </w:p>
        </w:tc>
        <w:tc>
          <w:tcPr>
            <w:tcW w:type="dxa" w:w="1928"/>
            <w:shd w:val="clear" w:color="auto" w:fill="E8E7E3"/>
          </w:tcPr>
          <w:p>
            <w:r/>
            <w:r>
              <w:rPr>
                <w:b/>
                <w:sz w:val="17"/>
              </w:rPr>
              <w:t>Обмежена генерація, Вт·год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S1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0,219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0,190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0,190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0,241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1180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S2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0,219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0,190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0,190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0,241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1180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S3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0,247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0,221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0,221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0,270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9083</w:t>
            </w:r>
          </w:p>
        </w:tc>
      </w:tr>
    </w:tbl>
    <w:p>
      <w:pPr>
        <w:spacing w:after="40"/>
      </w:pPr>
    </w:p>
    <w:p>
      <w:pPr>
        <w:spacing w:after="40"/>
        <w:jc w:val="left"/>
      </w:pPr>
      <w:r>
        <w:rPr>
          <w:b/>
          <w:i w:val="0"/>
          <w:sz w:val="19"/>
        </w:rPr>
        <w:t>Таблиця 11.</w:t>
      </w:r>
      <w:r>
        <w:rPr>
          <w:b w:val="0"/>
          <w:i w:val="0"/>
          <w:sz w:val="19"/>
        </w:rPr>
        <w:t xml:space="preserve"> Чутливість MinSOC до неоднозначних параметрів рукопису (S1 / S3)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268"/>
            <w:shd w:val="clear" w:color="auto" w:fill="E8E7E3"/>
          </w:tcPr>
          <w:p>
            <w:r/>
            <w:r>
              <w:rPr>
                <w:b/>
                <w:sz w:val="16"/>
              </w:rPr>
              <w:t>Порядок діб PSH</w:t>
            </w:r>
          </w:p>
        </w:tc>
        <w:tc>
          <w:tcPr>
            <w:tcW w:type="dxa" w:w="3402"/>
            <w:shd w:val="clear" w:color="auto" w:fill="E8E7E3"/>
          </w:tcPr>
          <w:p>
            <w:r/>
            <w:r>
              <w:rPr>
                <w:b/>
                <w:sz w:val="16"/>
              </w:rPr>
              <w:t>ККД батареї</w:t>
            </w:r>
          </w:p>
        </w:tc>
        <w:tc>
          <w:tcPr>
            <w:tcW w:type="dxa" w:w="794"/>
            <w:shd w:val="clear" w:color="auto" w:fill="E8E7E3"/>
          </w:tcPr>
          <w:p>
            <w:r/>
            <w:r>
              <w:rPr>
                <w:b/>
                <w:sz w:val="16"/>
              </w:rPr>
              <w:t>k_T</w:t>
            </w:r>
          </w:p>
        </w:tc>
        <w:tc>
          <w:tcPr>
            <w:tcW w:type="dxa" w:w="1474"/>
            <w:shd w:val="clear" w:color="auto" w:fill="E8E7E3"/>
          </w:tcPr>
          <w:p>
            <w:r/>
            <w:r>
              <w:rPr>
                <w:b/>
                <w:sz w:val="16"/>
              </w:rPr>
              <w:t>MinSOC S1</w:t>
            </w:r>
          </w:p>
        </w:tc>
        <w:tc>
          <w:tcPr>
            <w:tcW w:type="dxa" w:w="1474"/>
            <w:shd w:val="clear" w:color="auto" w:fill="E8E7E3"/>
          </w:tcPr>
          <w:p>
            <w:r/>
            <w:r>
              <w:rPr>
                <w:b/>
                <w:sz w:val="16"/>
              </w:rPr>
              <w:t>MinSOC S3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late (protocol 10.2)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eta_ch=eta_dis=0.95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0,95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0,190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0,221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late (protocol 10.2)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eta_ch=eta_dis=0.95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1,00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0,231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0,260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late (protocol 10.2)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eta_rt only on charge (0.9025,1)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0,95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0,231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0,260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late (protocol 10.2)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eta_rt only on charge (0.9025,1)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1,00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0,269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0,297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late (protocol 10.2)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no battery loss (1,1)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0,95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0,261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0,292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late (protocol 10.2)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no battery loss (1,1)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1,00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0,298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0,327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middle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eta_ch=eta_dis=0.95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0,95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0,150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0,150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middle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eta_ch=eta_dis=0.95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1,00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0,178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0,179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middle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eta_rt only on charge (0.9025,1)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0,95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0,178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0,179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middle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eta_rt only on charge (0.9025,1)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1,00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0,219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middle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no battery loss (1,1)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0,95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0,208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0,211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middle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no battery loss (1,1)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1,00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0,248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early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eta_ch=eta_dis=0.95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0,95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0,267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0,261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early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eta_ch=eta_dis=0.95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1,00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0,304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0,298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early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eta_rt only on charge (0.9025,1)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0,95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0,304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0,298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early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eta_rt only on charge (0.9025,1)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1,00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0,339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0,333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early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no battery loss (1,1)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0,95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0,324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0,320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early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no battery loss (1,1)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1,00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0,358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0,354</w:t>
            </w:r>
          </w:p>
        </w:tc>
      </w:tr>
    </w:tbl>
    <w:p>
      <w:pPr>
        <w:spacing w:before="40"/>
        <w:jc w:val="both"/>
      </w:pPr>
      <w:r>
        <w:rPr>
          <w:b w:val="0"/>
          <w:i/>
          <w:sz w:val="17"/>
        </w:rPr>
        <w:t>Жодна з 18 комбінацій не відтворює одночасно 0,219 (S1) і 0,247 (S3). Розкид MinSOC (0,150–0,358) перевищує різницю між рукописом і SIL, тому точна реплікація потребує авторського масиву PSH, початкового SOC і трактування ККД [2, розд. 2.2]. LOLH = 0 відтворюється для всіх варіантів із ненульовим запасом.</w:t>
      </w:r>
    </w:p>
    <w:p>
      <w:pPr>
        <w:jc w:val="both"/>
      </w:pPr>
      <w:r>
        <w:rPr>
          <w:b w:val="0"/>
          <w:i w:val="0"/>
        </w:rPr>
        <w:t>Для контролерного відтворення взято S1 з батареєю 12,8 В/100 А·год, щоб створити дефіцит. Усі три політики мають однакову сумарну недопоставку на шині (772 Вт·год): енергетичний дефіцит визначає ресурс, а не керування. Політики лише перерозподіляють його між групами навантаження. Критична недопоставка зменшилася з 424 (C0) до 274 (C1) і 154 Вт·год (C2), LOLH — з 26 до 22 год, тоді як недопоставка освітлення зросла з 270 до 540 Вт·год. Тут прогноз C2 (денна persistence попередньої доби) корисний, бо денний цикл генерації повторюваний. Усі 73 команд пройшли контракт edge_guard. Відтворення виконано в lockstep модельного часу: це не доказ виконання в реальному часі [2, розд. 14.3].</w:t>
      </w:r>
    </w:p>
    <w:p>
      <w:pPr>
        <w:pStyle w:val="Heading2"/>
      </w:pPr>
      <w:r>
        <w:t>3.7. Аналітичне розмірювання і чутливість</w:t>
      </w:r>
    </w:p>
    <w:p>
      <w:pPr>
        <w:spacing w:after="40"/>
        <w:jc w:val="left"/>
      </w:pPr>
      <w:r>
        <w:rPr>
          <w:b/>
          <w:i w:val="0"/>
          <w:sz w:val="19"/>
        </w:rPr>
        <w:t>Таблиця 12.</w:t>
      </w:r>
      <w:r>
        <w:rPr>
          <w:b w:val="0"/>
          <w:i w:val="0"/>
          <w:sz w:val="19"/>
        </w:rPr>
        <w:t xml:space="preserve"> Аналітичне розмірювання (рівн. B.4–B.7) — повне збігання з табл. 3 рукопису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020"/>
            <w:shd w:val="clear" w:color="auto" w:fill="E8E7E3"/>
          </w:tcPr>
          <w:p>
            <w:r/>
            <w:r>
              <w:rPr>
                <w:b/>
                <w:sz w:val="17"/>
              </w:rPr>
              <w:t>Сценарій</w:t>
            </w:r>
          </w:p>
        </w:tc>
        <w:tc>
          <w:tcPr>
            <w:tcW w:type="dxa" w:w="1474"/>
            <w:shd w:val="clear" w:color="auto" w:fill="E8E7E3"/>
          </w:tcPr>
          <w:p>
            <w:r/>
            <w:r>
              <w:rPr>
                <w:b/>
                <w:sz w:val="17"/>
              </w:rPr>
              <w:t>E_load, Вт·год/добу</w:t>
            </w:r>
          </w:p>
        </w:tc>
        <w:tc>
          <w:tcPr>
            <w:tcW w:type="dxa" w:w="1474"/>
            <w:shd w:val="clear" w:color="auto" w:fill="E8E7E3"/>
          </w:tcPr>
          <w:p>
            <w:r/>
            <w:r>
              <w:rPr>
                <w:b/>
                <w:sz w:val="17"/>
              </w:rPr>
              <w:t>E_src, Вт·год/добу</w:t>
            </w:r>
          </w:p>
        </w:tc>
        <w:tc>
          <w:tcPr>
            <w:tcW w:type="dxa" w:w="1361"/>
            <w:shd w:val="clear" w:color="auto" w:fill="E8E7E3"/>
          </w:tcPr>
          <w:p>
            <w:r/>
            <w:r>
              <w:rPr>
                <w:b/>
                <w:sz w:val="17"/>
              </w:rPr>
              <w:t>E_batt, Вт·год</w:t>
            </w:r>
          </w:p>
        </w:tc>
        <w:tc>
          <w:tcPr>
            <w:tcW w:type="dxa" w:w="1020"/>
            <w:shd w:val="clear" w:color="auto" w:fill="E8E7E3"/>
          </w:tcPr>
          <w:p>
            <w:r/>
            <w:r>
              <w:rPr>
                <w:b/>
                <w:sz w:val="17"/>
              </w:rPr>
              <w:t>C, А·год</w:t>
            </w:r>
          </w:p>
        </w:tc>
        <w:tc>
          <w:tcPr>
            <w:tcW w:type="dxa" w:w="1134"/>
            <w:shd w:val="clear" w:color="auto" w:fill="E8E7E3"/>
          </w:tcPr>
          <w:p>
            <w:r/>
            <w:r>
              <w:rPr>
                <w:b/>
                <w:sz w:val="17"/>
              </w:rPr>
              <w:t>P_PV, Wp</w:t>
            </w:r>
          </w:p>
        </w:tc>
        <w:tc>
          <w:tcPr>
            <w:tcW w:type="dxa" w:w="1361"/>
            <w:shd w:val="clear" w:color="auto" w:fill="E8E7E3"/>
          </w:tcPr>
          <w:p>
            <w:r/>
            <w:r>
              <w:rPr>
                <w:b/>
                <w:sz w:val="17"/>
              </w:rPr>
              <w:t>I²R відн. 12 В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S1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612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680,0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1772,9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147,7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604,4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1,0000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S2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612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680,0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1772,9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73,9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604,4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0,2500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S3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2820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3065,2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7991,4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166,5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2724,6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0,0625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8239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ensi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23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i w:val="0"/>
          <w:sz w:val="18"/>
        </w:rPr>
        <w:t>Рис. 9.</w:t>
      </w:r>
      <w:r>
        <w:rPr>
          <w:b w:val="0"/>
          <w:i w:val="0"/>
          <w:sz w:val="18"/>
        </w:rPr>
        <w:t xml:space="preserve"> Потрібна PV-потужність (Wp) для S1 залежно від PSH і η_dc (відтворення рис. 10 рукопису). Точка — базовий сценарій.</w:t>
      </w:r>
    </w:p>
    <w:p>
      <w:pPr>
        <w:pStyle w:val="Heading2"/>
      </w:pPr>
      <w:r>
        <w:t>3.8. Зведення критеріїв приймання</w:t>
      </w:r>
    </w:p>
    <w:p>
      <w:pPr>
        <w:spacing w:after="40"/>
        <w:jc w:val="left"/>
      </w:pPr>
      <w:r>
        <w:rPr>
          <w:b/>
          <w:i w:val="0"/>
          <w:sz w:val="19"/>
        </w:rPr>
        <w:t>Таблиця 13.</w:t>
      </w:r>
      <w:r>
        <w:rPr>
          <w:b w:val="0"/>
          <w:i w:val="0"/>
          <w:sz w:val="19"/>
        </w:rPr>
        <w:t xml:space="preserve"> Критерії приймання протоколу [2, розд. 17] на віртуальному стенді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71"/>
            <w:shd w:val="clear" w:color="auto" w:fill="E8E7E3"/>
          </w:tcPr>
          <w:p>
            <w:r/>
            <w:r>
              <w:rPr>
                <w:b/>
                <w:sz w:val="16"/>
              </w:rPr>
              <w:t>Об’єкт</w:t>
            </w:r>
          </w:p>
        </w:tc>
        <w:tc>
          <w:tcPr>
            <w:tcW w:type="dxa" w:w="2494"/>
            <w:shd w:val="clear" w:color="auto" w:fill="E8E7E3"/>
          </w:tcPr>
          <w:p>
            <w:r/>
            <w:r>
              <w:rPr>
                <w:b/>
                <w:sz w:val="16"/>
              </w:rPr>
              <w:t>Критерій</w:t>
            </w:r>
          </w:p>
        </w:tc>
        <w:tc>
          <w:tcPr>
            <w:tcW w:type="dxa" w:w="3969"/>
            <w:shd w:val="clear" w:color="auto" w:fill="E8E7E3"/>
          </w:tcPr>
          <w:p>
            <w:r/>
            <w:r>
              <w:rPr>
                <w:b/>
                <w:sz w:val="16"/>
              </w:rPr>
              <w:t>Спостережено (EMU)</w:t>
            </w:r>
          </w:p>
        </w:tc>
        <w:tc>
          <w:tcPr>
            <w:tcW w:type="dxa" w:w="1304"/>
            <w:shd w:val="clear" w:color="auto" w:fill="E8E7E3"/>
          </w:tcPr>
          <w:p>
            <w:r/>
            <w:r>
              <w:rPr>
                <w:b/>
                <w:sz w:val="16"/>
              </w:rPr>
              <w:t>Висновок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6"/>
              </w:rPr>
              <w:t>Telemetry (normal runs)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&gt;= 99 % valid expected packets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min 99.84 %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виконано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6"/>
              </w:rPr>
              <w:t>Gaps &gt; 5 s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each has an event and a defined control state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E06: 4 stale/restore events; edge log 9 entries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виконано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6"/>
              </w:rPr>
              <w:t>Energy model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&lt;= 5 % on non-zero integral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max 0.18 %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виконано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6"/>
              </w:rPr>
              <w:t>SOC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MAE &lt;= 3 pp, max &lt;= 5 pp vs independent REF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MAE max 2.20 pp; |err| max 3.28 pp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виконано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6"/>
              </w:rPr>
              <w:t>Command transfer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p95 RTT &lt;= 2 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p95 43.1 ms (n=111), max 75.9 ms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виконано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6"/>
              </w:rPr>
              <w:t>Physical execution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every accepted command has a confirmed effect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111/111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виконано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6"/>
              </w:rPr>
              <w:t>E06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stale detected, fallback applied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TELEMETRY_STALE@605s; TELEMETRY_RESTORED@631s; TELEMETRY_STALE@905s; TELEMETRY_RESTORED@931s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виконано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6"/>
              </w:rPr>
              <w:t>E07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each injected fault flagged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5/5 detected, 0 false flags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виконано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6"/>
              </w:rPr>
              <w:t>E10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all protection/contract vectors pass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12/12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виконано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6"/>
              </w:rPr>
              <w:t>Critical service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no detected outage in nominal runs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critical unserved max 0.000 Wh; service failures total 129 of 822539 checks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виконано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6"/>
              </w:rPr>
              <w:t>Forecast advantage (C2 vs C1)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pre-specified effect with uncertainty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see E05 primary/secondary contrasts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не визначено</w:t>
            </w:r>
          </w:p>
        </w:tc>
      </w:tr>
    </w:tbl>
    <w:p>
      <w:pPr>
        <w:spacing w:after="40"/>
      </w:pPr>
    </w:p>
    <w:p>
      <w:pPr>
        <w:pStyle w:val="Heading1"/>
      </w:pPr>
      <w:r>
        <w:t>4. Обговорення</w:t>
      </w:r>
    </w:p>
    <w:p>
      <w:pPr>
        <w:jc w:val="both"/>
      </w:pPr>
      <w:r>
        <w:rPr>
          <w:b/>
          <w:i w:val="0"/>
        </w:rPr>
        <w:t>Що встановлено.</w:t>
      </w:r>
      <w:r>
        <w:rPr>
          <w:b w:val="0"/>
          <w:i w:val="0"/>
        </w:rPr>
        <w:t xml:space="preserve"> Програмна частина працює як замкнений контур: вимірювання зі спотвореннями реальних приладів → валідація → оцінка стану → рішення → ідемпотентна команда з терміном дії → підтверджене зміною струму виконання. Резервна поведінка при відмовах зв’язку і датчиків відповідає специфікації. Метрологічний аналіз показав, що для фізичного стенда вузьким місцем точності буде еталон калібрування і визначення початкового SOC, а не роздільність INA226/INA228. Власне споживання шини ≈ 0,35 Вт треба вимірювати, інакше воно з’являється як систематичний залишок балансу.</w:t>
      </w:r>
    </w:p>
    <w:p>
      <w:pPr>
        <w:jc w:val="both"/>
      </w:pPr>
      <w:r>
        <w:rPr>
          <w:b/>
          <w:i w:val="0"/>
        </w:rPr>
        <w:t>Що не встановлено.</w:t>
      </w:r>
      <w:r>
        <w:rPr>
          <w:b w:val="0"/>
          <w:i w:val="0"/>
        </w:rPr>
        <w:t xml:space="preserve"> Гіпотеза H4 для прогнозного правила не підтверджена. Короткий стендовий дослід із persistence-прогнозом не показав переваги C2 над простим пороговим C1: C2 зберіг більше енергії лише ціною корисного освітлення. Водночас 14-добовий сценарій показує, що з денним прогнозом C2 зменшує критичну недопоставку. Отже, користь прогнозного керування залежить від якості прогнозу і структури дефіциту, і для її доведення потрібні реальні ряди генерації, а не 6-годинний синтетичний профіль. Порівняння з C_oracle кількісно оцінює стелю цієї користі на стенді (≈ 33 Вт·год освітлення за запуск).</w:t>
      </w:r>
    </w:p>
    <w:p>
      <w:pPr>
        <w:jc w:val="both"/>
      </w:pPr>
      <w:r>
        <w:rPr>
          <w:b/>
          <w:i w:val="0"/>
        </w:rPr>
        <w:t>Зв’язок з рукописом.</w:t>
      </w:r>
      <w:r>
        <w:rPr>
          <w:b w:val="0"/>
          <w:i w:val="0"/>
        </w:rPr>
        <w:t xml:space="preserve"> Аналітичне розмірювання S1–S3 відтворено точно. Часова симуляція підтверджує LOLH = 0 для обраних конфігурацій, але MinSOC відрізняється (0,190 проти 0,219 для S1; 0,221 проти 0,247 для S3) і дуже чутливий до неописаних параметрів. У рукописі слід навести повний масив PSH, стартовий SOC і роздільні η_ch/η_dis або подавати MinSOC як діапазон чутливості.</w:t>
      </w:r>
    </w:p>
    <w:p>
      <w:pPr>
        <w:pStyle w:val="Heading1"/>
      </w:pPr>
      <w:r>
        <w:t>5. Обмеження</w:t>
      </w:r>
    </w:p>
    <w:p>
      <w:pPr>
        <w:pStyle w:val="ListBullet"/>
        <w:jc w:val="both"/>
      </w:pPr>
      <w:r>
        <w:rPr>
          <w:b w:val="0"/>
          <w:i w:val="0"/>
        </w:rPr>
        <w:t>Усі дані отримано в емуляції; немає фізичних вимірювань, реальних електромагнітних завад, теплових ефектів, старіння, поведінки реального Wi-Fi і BMS.</w:t>
      </w:r>
    </w:p>
    <w:p>
      <w:pPr>
        <w:pStyle w:val="ListBullet"/>
        <w:jc w:val="both"/>
      </w:pPr>
      <w:r>
        <w:rPr>
          <w:b w:val="0"/>
          <w:i w:val="0"/>
        </w:rPr>
        <w:t>Похибки приладів розіграно в межах паспортних максимумів одного екземпляра (seed 1); міжекземплярна варіабельність не оцінювалась.</w:t>
      </w:r>
    </w:p>
    <w:p>
      <w:pPr>
        <w:pStyle w:val="ListBullet"/>
        <w:jc w:val="both"/>
      </w:pPr>
      <w:r>
        <w:rPr>
          <w:b w:val="0"/>
          <w:i w:val="0"/>
        </w:rPr>
        <w:t>Вузькі довірчі інтервали E05 відображають лише шум вимірювань при ідентичних умовах блоку; для фізичного стенда очікується більший розкид (температура, стартовий стан).</w:t>
      </w:r>
    </w:p>
    <w:p>
      <w:pPr>
        <w:pStyle w:val="ListBullet"/>
        <w:jc w:val="both"/>
      </w:pPr>
      <w:r>
        <w:rPr>
          <w:b w:val="0"/>
          <w:i w:val="0"/>
        </w:rPr>
        <w:t>Двійник і REF отримують стартовий SOC з однієї процедури підготовки; незалежність стосується подальшого інтегрування, а не початкової точки.</w:t>
      </w:r>
    </w:p>
    <w:p>
      <w:pPr>
        <w:pStyle w:val="ListBullet"/>
        <w:jc w:val="both"/>
      </w:pPr>
      <w:r>
        <w:rPr>
          <w:b w:val="0"/>
          <w:i w:val="0"/>
        </w:rPr>
        <w:t>Прошивка edge_guard.c не компілювалась і не запускалась; перевірено лише її Python-дзеркало.</w:t>
      </w:r>
    </w:p>
    <w:p>
      <w:pPr>
        <w:pStyle w:val="ListBullet"/>
        <w:jc w:val="both"/>
      </w:pPr>
      <w:r>
        <w:rPr>
          <w:b w:val="0"/>
          <w:i w:val="0"/>
        </w:rPr>
        <w:t>Модель батареї не описує динаміку силової електроніки швидше за 1 с; провали напруги при комутації потребують осцилографа.</w:t>
      </w:r>
    </w:p>
    <w:p>
      <w:pPr>
        <w:pStyle w:val="ListBullet"/>
        <w:jc w:val="both"/>
      </w:pPr>
      <w:r>
        <w:rPr>
          <w:b w:val="0"/>
          <w:i w:val="0"/>
        </w:rPr>
        <w:t>TFT/LSTM/DEKF/CNN/RL з рукопису не реалізовано й не перевірено; C2 — прозоре прогнозне правило, а не MPC чи RL.</w:t>
      </w:r>
    </w:p>
    <w:p>
      <w:pPr>
        <w:pStyle w:val="Heading1"/>
      </w:pPr>
      <w:r>
        <w:t>6. Висновки (узагальнення)</w:t>
      </w:r>
    </w:p>
    <w:p>
      <w:pPr>
        <w:pStyle w:val="ListBullet"/>
        <w:jc w:val="both"/>
      </w:pPr>
      <w:r>
        <w:rPr>
          <w:b w:val="0"/>
          <w:i w:val="0"/>
        </w:rPr>
        <w:t>Створено й перевірено програмний комплекс цифрового двійника з віртуальним стендом: 51 запусків E01–E08, калібрування E00, ємність E09, логіка захистів E10 і 14-добовий E11 відтворюються однією командою з контрольними сумами.</w:t>
      </w:r>
    </w:p>
    <w:p>
      <w:pPr>
        <w:pStyle w:val="ListBullet"/>
        <w:jc w:val="both"/>
      </w:pPr>
      <w:r>
        <w:rPr>
          <w:b w:val="0"/>
          <w:i w:val="0"/>
        </w:rPr>
        <w:t>Апаратну частину описано на реальних елементах (ESP32-S3, INA226/INA228, FL-2, RD6018, DDR-60G-12, Bosch-реле, DS18B20, Blue Sea 6006). З їхніх характеристик сформовано протоколи вимірювань із допусками, бюджетом невизначеності і бланками для фізичного заповнення.</w:t>
      </w:r>
    </w:p>
    <w:p>
      <w:pPr>
        <w:pStyle w:val="ListBullet"/>
        <w:jc w:val="both"/>
      </w:pPr>
      <w:r>
        <w:rPr>
          <w:b w:val="0"/>
          <w:i w:val="0"/>
        </w:rPr>
        <w:t>На віртуальному стенді виконано всі кількісні критерії приймання: SOC MAE ≤ 2,20 в.п., енергія ≤ 0,18 %, RTT p95 = 43 мс, 100 % підтверджених виконань, виявлення 5/5 збоїв даних.</w:t>
      </w:r>
    </w:p>
    <w:p>
      <w:pPr>
        <w:pStyle w:val="ListBullet"/>
        <w:jc w:val="both"/>
      </w:pPr>
      <w:r>
        <w:rPr>
          <w:b w:val="0"/>
          <w:i w:val="0"/>
        </w:rPr>
        <w:t>Порогове керування подовжує автономну роботу до межі на ≈ 2,4 год на стенді 40 А·год. Прогнозне правило з persistence-прогнозом переваги не дало; для доведення H4 потрібен кращий прогноз генерації і фізична серія.</w:t>
      </w:r>
    </w:p>
    <w:p>
      <w:pPr>
        <w:pStyle w:val="ListBullet"/>
        <w:jc w:val="both"/>
      </w:pPr>
      <w:r>
        <w:rPr>
          <w:b w:val="0"/>
          <w:i w:val="0"/>
        </w:rPr>
        <w:t>Результати рукопису щодо MinSOC слід супроводити повною конфігурацією, бо чутливість до порядку днів і трактування ККД перевищує заявлену точність.</w:t>
      </w:r>
    </w:p>
    <w:p>
      <w:pPr>
        <w:pStyle w:val="ListBullet"/>
        <w:jc w:val="both"/>
      </w:pPr>
      <w:r>
        <w:rPr>
          <w:b w:val="0"/>
          <w:i w:val="0"/>
        </w:rPr>
        <w:t>Наступний крок — фізична серія за hardware/measurement_protocols.md (E00 → E01–E05 пілот → фіксація порогів → основна серія C0/C1/C2 ≥ 3 повтори), з тим самим програмним кодом у режимі physical.</w:t>
      </w:r>
    </w:p>
    <w:p>
      <w:pPr>
        <w:pStyle w:val="Heading1"/>
      </w:pPr>
      <w:r>
        <w:t>Доступність даних і коду</w:t>
      </w:r>
    </w:p>
    <w:p>
      <w:pPr>
        <w:jc w:val="both"/>
      </w:pPr>
      <w:r>
        <w:rPr>
          <w:b w:val="0"/>
          <w:i w:val="0"/>
        </w:rPr>
        <w:t>Код, конфігурації, сирі журнали всіх запусків, протоколи, рисунки й контрольні суми містяться в каталозі dt_power_hil/ репозиторію. Веб-подання результатів — dt_power_hil/web/index.html. Фізичний набір даних не створювався. DOI буде додано після створення незмінного релізу.</w:t>
      </w:r>
    </w:p>
    <w:p>
      <w:pPr>
        <w:pStyle w:val="Heading1"/>
      </w:pPr>
      <w:r>
        <w:t>Внесок авторів (CRediT)</w:t>
      </w:r>
    </w:p>
    <w:p>
      <w:pPr>
        <w:jc w:val="both"/>
      </w:pPr>
      <w:r>
        <w:rPr>
          <w:b w:val="0"/>
          <w:i/>
        </w:rPr>
        <w:t>[Заповнити: концептуалізація, методологія, програмне забезпечення, валідація, формальний аналіз, написання.]</w:t>
      </w:r>
    </w:p>
    <w:p>
      <w:pPr>
        <w:pStyle w:val="Heading1"/>
      </w:pPr>
      <w:r>
        <w:t>Декларація щодо використання генеративного ШІ</w:t>
      </w:r>
    </w:p>
    <w:p>
      <w:pPr>
        <w:jc w:val="both"/>
      </w:pPr>
      <w:r>
        <w:rPr>
          <w:b w:val="0"/>
          <w:i/>
        </w:rPr>
        <w:t>Програмний код, емульовану кампанію і чернетку цього звіту підготовлено за допомогою ШІ-асистента (Claude). Автори мають перевірити та відредагувати зміст і несуть відповідальність за остаточний текст відповідно до політики Elsevier.</w:t>
      </w:r>
    </w:p>
    <w:p>
      <w:pPr>
        <w:pStyle w:val="Heading1"/>
      </w:pPr>
      <w:r>
        <w:t>Література</w:t>
      </w:r>
    </w:p>
    <w:p>
      <w:pPr>
        <w:jc w:val="both"/>
      </w:pPr>
      <w:r>
        <w:rPr>
          <w:b w:val="0"/>
          <w:i w:val="0"/>
          <w:sz w:val="18"/>
        </w:rPr>
        <w:t>[1] Prokopovych-Tkachenko D., Sarychev V., Poplavskyi O., Torstensson O., Pignaton de Freitas E. Digital Twin of Power Supply for a Communication Node During Outages: Generation Forecasting, Load Forecasting, and Battery Diagnostics. Рукопис, подано до Applied Energy, 2026.</w:t>
      </w:r>
    </w:p>
    <w:p>
      <w:pPr>
        <w:jc w:val="both"/>
      </w:pPr>
      <w:r>
        <w:rPr>
          <w:b w:val="0"/>
          <w:i w:val="0"/>
          <w:sz w:val="18"/>
        </w:rPr>
        <w:t>[2] Програмно-апаратний експеримент для цифрового двійника живлення вузла зв’язку: розширений протокол, версія 1.0, 29.09.2026.</w:t>
      </w:r>
    </w:p>
    <w:p>
      <w:pPr>
        <w:jc w:val="both"/>
      </w:pPr>
      <w:r>
        <w:rPr>
          <w:b w:val="0"/>
          <w:i w:val="0"/>
          <w:sz w:val="18"/>
        </w:rPr>
        <w:t>[3] Schuhmacher D., Vo B.-T., Vo B.-N. A consistent metric for performance evaluation of multi-object filters. IEEE Trans. Signal Process. 2008;56:3447–3457 (як зразок парного дизайну в UST-Fuse-описі).</w:t>
      </w:r>
    </w:p>
    <w:p>
      <w:pPr>
        <w:jc w:val="both"/>
      </w:pPr>
      <w:r>
        <w:rPr>
          <w:b w:val="0"/>
          <w:i w:val="0"/>
          <w:sz w:val="18"/>
        </w:rPr>
        <w:t>[4] Efron B., Tibshirani R.J. An Introduction to the Bootstrap. Chapman &amp; Hall/CRC; 1993.</w:t>
      </w:r>
    </w:p>
    <w:p>
      <w:pPr>
        <w:jc w:val="both"/>
      </w:pPr>
      <w:r>
        <w:rPr>
          <w:b w:val="0"/>
          <w:i w:val="0"/>
          <w:sz w:val="18"/>
        </w:rPr>
        <w:t>[5] Holm S. A simple sequentially rejective multiple test procedure. Scand. J. Stat. 1979;6:65–70.</w:t>
      </w:r>
    </w:p>
    <w:p>
      <w:pPr>
        <w:jc w:val="both"/>
      </w:pPr>
      <w:r>
        <w:rPr>
          <w:b w:val="0"/>
          <w:i w:val="0"/>
          <w:sz w:val="18"/>
        </w:rPr>
        <w:t>[6] Wang L., et al. State of charge estimation for LiFePO4 battery via dual extended Kalman filter and charging voltage curve. Electrochim. Acta 2019;296:1009–1017.</w:t>
      </w:r>
    </w:p>
    <w:p>
      <w:pPr>
        <w:jc w:val="both"/>
      </w:pPr>
      <w:r>
        <w:rPr>
          <w:b w:val="0"/>
          <w:i w:val="0"/>
          <w:sz w:val="18"/>
        </w:rPr>
        <w:t>[7] Hu J., et al. A model predictive control strategy of PV-battery microgrid under variable power generations and load conditions. Appl. Energy 2018;221:195–203.</w:t>
      </w:r>
    </w:p>
    <w:p>
      <w:pPr>
        <w:jc w:val="both"/>
      </w:pPr>
      <w:r>
        <w:rPr>
          <w:b w:val="0"/>
          <w:i w:val="0"/>
          <w:sz w:val="18"/>
        </w:rPr>
        <w:t>[8] Texas Instruments. INA226 — 36-V, 16-bit, I²C current/voltage/power monitor. Datasheet.</w:t>
      </w:r>
    </w:p>
    <w:p>
      <w:pPr>
        <w:jc w:val="both"/>
      </w:pPr>
      <w:r>
        <w:rPr>
          <w:b w:val="0"/>
          <w:i w:val="0"/>
          <w:sz w:val="18"/>
        </w:rPr>
        <w:t>[9] Texas Instruments. INA228 — 85-V, 20-bit, I²C power/energy/charge monitor. Datasheet.</w:t>
      </w:r>
    </w:p>
    <w:p>
      <w:pPr>
        <w:jc w:val="both"/>
      </w:pPr>
      <w:r>
        <w:rPr>
          <w:b w:val="0"/>
          <w:i w:val="0"/>
          <w:sz w:val="18"/>
        </w:rPr>
        <w:t>[10] Espressif Systems. ESP-IDF Programming Guide: ESP Timer; ESP-MQTT.</w:t>
      </w:r>
    </w:p>
    <w:p>
      <w:pPr>
        <w:jc w:val="both"/>
      </w:pPr>
      <w:r>
        <w:rPr>
          <w:b w:val="0"/>
          <w:i w:val="0"/>
          <w:sz w:val="18"/>
        </w:rPr>
        <w:t>[11] Hersbach H., et al. The ERA5 global reanalysis. Q. J. R. Meteorol. Soc. 2020;146:1999–2049.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Програмно-апаратна валідація цифрового двійника живлення вузла зв’язку</dc:title>
  <dc:subject>SIL with emulated hardware (virtual testbed); no physical measurements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