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alatino Linotype" w:cs="Palatino Linotype" w:eastAsia="Palatino Linotype" w:hAnsi="Palatino Linotype"/>
          <w:i/>
          <w:iCs/>
          <w:sz w:val="20"/>
          <w:szCs w:val="20"/>
        </w:rPr>
        <w:t xml:space="preserve">Article</w:t>
      </w:r>
    </w:p>
    <w:p>
      <w:pPr>
        <w:spacing w:after="160"/>
      </w:pPr>
      <w:r>
        <w:rPr>
          <w:rFonts w:ascii="Palatino Linotype" w:cs="Palatino Linotype" w:eastAsia="Palatino Linotype" w:hAnsi="Palatino Linotype"/>
          <w:b/>
          <w:bCs/>
          <w:sz w:val="36"/>
          <w:szCs w:val="36"/>
        </w:rPr>
        <w:t xml:space="preserve">GoNext: A Transpilation Architecture for Language Extensions with Go Ecosystem Compatibility</w:t>
      </w:r>
    </w:p>
    <w:p>
      <w:pPr>
        <w:spacing w:after="120"/>
      </w:pPr>
      <w:r>
        <w:rPr>
          <w:rFonts w:ascii="Palatino Linotype" w:cs="Palatino Linotype" w:eastAsia="Palatino Linotype" w:hAnsi="Palatino Linotype"/>
          <w:b/>
          <w:bCs/>
        </w:rPr>
        <w:t xml:space="preserve">Pavlo Forkert</w:t>
      </w:r>
      <w:r>
        <w:rPr>
          <w:rFonts w:ascii="Palatino Linotype" w:cs="Palatino Linotype" w:eastAsia="Palatino Linotype" w:hAnsi="Palatino Linotype"/>
        </w:rPr>
        <w:t xml:space="preserve"> </w:t>
      </w:r>
      <w:r>
        <w:rPr>
          <w:rFonts w:ascii="Palatino Linotype" w:cs="Palatino Linotype" w:eastAsia="Palatino Linotype" w:hAnsi="Palatino Linotype"/>
          <w:vertAlign w:val="superscript"/>
        </w:rPr>
        <w:t xml:space="preserve">1,</w:t>
      </w:r>
      <w:r>
        <w:rPr>
          <w:rFonts w:ascii="Palatino Linotype" w:cs="Palatino Linotype" w:eastAsia="Palatino Linotype" w:hAnsi="Palatino Linotype"/>
        </w:rPr>
        <w:t xml:space="preserve">*^ and </w:t>
      </w:r>
      <w:r>
        <w:rPr>
          <w:rFonts w:ascii="Palatino Linotype" w:cs="Palatino Linotype" w:eastAsia="Palatino Linotype" w:hAnsi="Palatino Linotype"/>
          <w:b/>
          <w:bCs/>
          <w:highlight w:val="yellow"/>
          <w:highlightCs w:val="yellow"/>
        </w:rPr>
        <w:t xml:space="preserve">Co-Author Name</w:t>
      </w:r>
      <w:r>
        <w:rPr>
          <w:rFonts w:ascii="Palatino Linotype" w:cs="Palatino Linotype" w:eastAsia="Palatino Linotype" w:hAnsi="Palatino Linotype"/>
        </w:rPr>
        <w:t xml:space="preserve"> </w:t>
      </w:r>
      <w:r>
        <w:rPr>
          <w:rFonts w:ascii="Palatino Linotype" w:cs="Palatino Linotype" w:eastAsia="Palatino Linotype" w:hAnsi="Palatino Linotype"/>
          <w:vertAlign w:val="superscript"/>
        </w:rPr>
        <w:t xml:space="preserve">1</w:t>
      </w:r>
    </w:p>
    <w:p>
      <w:pPr>
        <w:spacing w:after="0"/>
      </w:pPr>
      <w:r>
        <w:rPr>
          <w:rFonts w:ascii="Palatino Linotype" w:cs="Palatino Linotype" w:eastAsia="Palatino Linotype" w:hAnsi="Palatino Linotype"/>
          <w:sz w:val="16"/>
          <w:szCs w:val="16"/>
          <w:vertAlign w:val="superscript"/>
        </w:rPr>
        <w:t xml:space="preserve">1</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sz w:val="16"/>
          <w:szCs w:val="16"/>
          <w:highlight w:val="yellow"/>
          <w:highlightCs w:val="yellow"/>
        </w:rPr>
        <w:t xml:space="preserve">Department of Cybersecurity and Information Technologies, University of Customs and Finance, 49000 Dnipro, Ukraine; forkert@example.edu</w:t>
      </w:r>
      <w:r>
        <w:rPr>
          <w:rFonts w:ascii="Palatino Linotype" w:cs="Palatino Linotype" w:eastAsia="Palatino Linotype" w:hAnsi="Palatino Linotype"/>
          <w:sz w:val="16"/>
          <w:szCs w:val="16"/>
        </w:rPr>
        <w:t xml:space="preserve"> (P.F.); </w:t>
      </w:r>
      <w:r>
        <w:rPr>
          <w:rFonts w:ascii="Palatino Linotype" w:cs="Palatino Linotype" w:eastAsia="Palatino Linotype" w:hAnsi="Palatino Linotype"/>
          <w:sz w:val="16"/>
          <w:szCs w:val="16"/>
          <w:highlight w:val="yellow"/>
          <w:highlightCs w:val="yellow"/>
        </w:rPr>
        <w:t xml:space="preserve">coauthor@example.edu</w:t>
      </w:r>
      <w:r>
        <w:rPr>
          <w:rFonts w:ascii="Palatino Linotype" w:cs="Palatino Linotype" w:eastAsia="Palatino Linotype" w:hAnsi="Palatino Linotype"/>
          <w:sz w:val="16"/>
          <w:szCs w:val="16"/>
        </w:rPr>
        <w:t xml:space="preserve"> (X.X.)</w:t>
      </w:r>
    </w:p>
    <w:p>
      <w:pPr>
        <w:spacing w:after="160"/>
      </w:pPr>
      <w:r>
        <w:rPr>
          <w:rFonts w:ascii="Palatino Linotype" w:cs="Palatino Linotype" w:eastAsia="Palatino Linotype" w:hAnsi="Palatino Linotype"/>
          <w:sz w:val="16"/>
          <w:szCs w:val="16"/>
        </w:rPr>
        <w:t xml:space="preserve">* Correspondence: </w:t>
      </w:r>
      <w:r>
        <w:rPr>
          <w:rFonts w:ascii="Palatino Linotype" w:cs="Palatino Linotype" w:eastAsia="Palatino Linotype" w:hAnsi="Palatino Linotype"/>
          <w:sz w:val="16"/>
          <w:szCs w:val="16"/>
          <w:highlight w:val="yellow"/>
          <w:highlightCs w:val="yellow"/>
        </w:rPr>
        <w:t xml:space="preserve">forkert@example.edu</w:t>
      </w:r>
      <w:r>
        <w:rPr>
          <w:rFonts w:ascii="Palatino Linotype" w:cs="Palatino Linotype" w:eastAsia="Palatino Linotype" w:hAnsi="Palatino Linotype"/>
          <w:sz w:val="16"/>
          <w:szCs w:val="16"/>
        </w:rPr>
        <w:t xml:space="preserve">; ORCID: </w:t>
      </w:r>
      <w:r>
        <w:rPr>
          <w:rFonts w:ascii="Palatino Linotype" w:cs="Palatino Linotype" w:eastAsia="Palatino Linotype" w:hAnsi="Palatino Linotype"/>
          <w:sz w:val="16"/>
          <w:szCs w:val="16"/>
          <w:highlight w:val="yellow"/>
          <w:highlightCs w:val="yellow"/>
        </w:rPr>
        <w:t xml:space="preserve">0000-0000-0000-0000</w:t>
      </w:r>
    </w:p>
    <w:p>
      <w:pPr>
        <w:spacing w:after="100"/>
        <w:jc w:val="both"/>
      </w:pPr>
      <w:r>
        <w:rPr>
          <w:rFonts w:ascii="Palatino Linotype" w:cs="Palatino Linotype" w:eastAsia="Palatino Linotype" w:hAnsi="Palatino Linotype"/>
          <w:b/>
          <w:bCs/>
          <w:sz w:val="18"/>
          <w:szCs w:val="18"/>
        </w:rPr>
        <w:t xml:space="preserve">Abstract:</w:t>
      </w:r>
      <w:r>
        <w:rPr>
          <w:rFonts w:ascii="Palatino Linotype" w:cs="Palatino Linotype" w:eastAsia="Palatino Linotype" w:hAnsi="Palatino Linotype"/>
          <w:sz w:val="18"/>
          <w:szCs w:val="18"/>
        </w:rPr>
        <w:t xml:space="preserve"> Building a language on a mature host platform avoids implementing a compiler back end, runtime and tooling from scratch, but the suitability of Go as a target of source-to-source translation has not been examined systematically. This article presents GoNext, an experimental dialect of Go, and a transpiler architecture that adds high-level language extensions while keeping full compatibility with the Go compiler, runtime and ecosystem. Host platforms were compared with twenty criteria in five groups, language transformations were classified as syntactic, structural or representational, and eight extensions were lowered to standard Go and measured. Go source code obtained the highest aggregate score among eight platforms (0.950) and ranked first for 98.4% of randomly sampled weightings. Syntactic extensions were eliminated during translation: a call with named and default arguments took 8.7 ns, against 48.5 ns and one heap allocation for the functional-options idiom. Tagged representations of enums with associated data constructed values 3.3–3.7 times faster than an interface encoding and avoided per-value allocations, whereas storing pointer payloads in integer words caused the collector to reclaim all 10,000 referenced objects in every trial. The approach suits Go dialects and server-side domain-specific languages whose semantics agree with Go's models of types, memory and execution. The transpiler and the reproducibility package are openly available (</w:t>
      </w:r>
      <w:hyperlink w:history="1" r:id="rIdamkit5oghdlzov3spag3d">
        <w:r>
          <w:rPr>
            <w:rStyle w:val="Hyperlink"/>
            <w:rFonts w:ascii="Palatino Linotype" w:cs="Palatino Linotype" w:eastAsia="Palatino Linotype" w:hAnsi="Palatino Linotype"/>
            <w:sz w:val="18"/>
            <w:szCs w:val="18"/>
          </w:rPr>
          <w:t xml:space="preserve">https://doi.org/10.5281/zenodo.23490820</w:t>
        </w:r>
      </w:hyperlink>
      <w:r>
        <w:rPr>
          <w:rFonts w:ascii="Palatino Linotype" w:cs="Palatino Linotype" w:eastAsia="Palatino Linotype" w:hAnsi="Palatino Linotype"/>
          <w:sz w:val="18"/>
          <w:szCs w:val="18"/>
        </w:rPr>
        <w:t xml:space="preserve">).</w:t>
      </w:r>
    </w:p>
    <w:p>
      <w:pPr>
        <w:spacing w:after="160"/>
        <w:jc w:val="both"/>
      </w:pPr>
      <w:r>
        <w:rPr>
          <w:rFonts w:ascii="Palatino Linotype" w:cs="Palatino Linotype" w:eastAsia="Palatino Linotype" w:hAnsi="Palatino Linotype"/>
          <w:b/>
          <w:bCs/>
          <w:sz w:val="18"/>
          <w:szCs w:val="18"/>
        </w:rPr>
        <w:t xml:space="preserve">Keywords:</w:t>
      </w:r>
      <w:r>
        <w:rPr>
          <w:rFonts w:ascii="Palatino Linotype" w:cs="Palatino Linotype" w:eastAsia="Palatino Linotype" w:hAnsi="Palatino Linotype"/>
          <w:sz w:val="18"/>
          <w:szCs w:val="18"/>
        </w:rPr>
        <w:t xml:space="preserve"> transpiler; source-to-source compilation; Go programming language; language extensions; algebraic data types; pattern matching; garbage collection; domain-specific languages; compiler architecture</w:t>
      </w:r>
    </w:p>
    <w:p>
      <w:pPr>
        <w:keepNext/>
        <w:spacing w:after="60" w:before="200"/>
      </w:pPr>
      <w:r>
        <w:rPr>
          <w:rFonts w:ascii="Palatino Linotype" w:cs="Palatino Linotype" w:eastAsia="Palatino Linotype" w:hAnsi="Palatino Linotype"/>
          <w:b/>
          <w:bCs/>
          <w:sz w:val="20"/>
          <w:szCs w:val="20"/>
        </w:rPr>
        <w:t xml:space="preserve">1. Introduction</w:t>
      </w:r>
    </w:p>
    <w:p>
      <w:pPr>
        <w:spacing w:after="0" w:line="240"/>
        <w:ind w:firstLine="425"/>
        <w:jc w:val="both"/>
      </w:pPr>
      <w:r>
        <w:rPr>
          <w:rFonts w:ascii="Palatino Linotype" w:cs="Palatino Linotype" w:eastAsia="Palatino Linotype" w:hAnsi="Palatino Linotype"/>
        </w:rPr>
        <w:t xml:space="preserve">A new programming language needs much more than a grammar and a type checker. It needs a code generator, a runtime system, a memory manager, a scheduler for concurrent work, a package manager, debuggers, formatters and editor support, together with a body of libraries that makes it useful from the first day. Building this infrastructure from scratch takes years, which is why most practical languages are implemented on top of an existing platform: a virtual machine such as the Java Virtual Machine (JVM) or the Common Language Runtime, a compiler infrastructure such as LLVM [1], a language-implementation framework such as Truffle and Graal [2], or another high-level language that serves as the target of source-to-source translation [3,4]. The choice of host platform determines what the new language inherits for free and what it must still build itself.</w:t>
      </w:r>
    </w:p>
    <w:p>
      <w:pPr>
        <w:spacing w:after="0" w:line="240"/>
        <w:ind w:firstLine="425"/>
        <w:jc w:val="both"/>
      </w:pPr>
      <w:r>
        <w:rPr>
          <w:rFonts w:ascii="Palatino Linotype" w:cs="Palatino Linotype" w:eastAsia="Palatino Linotype" w:hAnsi="Palatino Linotype"/>
        </w:rPr>
        <w:t xml:space="preserve">Source-to-source translation (transpilation) is the most economical of these strategies when the target is a mature, statically typed language with a stable toolchain. TypeScript, whose type system is erased during translation to JavaScript [5,6], and Scala.js, which compiles Scala to JavaScript while keeping interoperability with existing JavaScript libraries [7], show how far a language can grow without its own runtime. Classic work on extensible languages points in the same direction: library-based syntactic extension [8], languages defined as libraries of a host language [9], language workbenches [10,11] and dedicated program-transformation systems [12–14] all reduce the cost of a language by delegating as much as possible to an existing implementation. Domain-specific languages (DSLs) are the main beneficiaries of this approach [15].</w:t>
      </w:r>
    </w:p>
    <w:p>
      <w:pPr>
        <w:spacing w:after="0" w:line="240"/>
        <w:ind w:firstLine="425"/>
        <w:jc w:val="both"/>
      </w:pPr>
      <w:r>
        <w:rPr>
          <w:rFonts w:ascii="Palatino Linotype" w:cs="Palatino Linotype" w:eastAsia="Palatino Linotype" w:hAnsi="Palatino Linotype"/>
        </w:rPr>
        <w:t xml:space="preserve">Go is an attractive but rarely studied target for such translation. It compiles ahead of time to native code, has a concurrent garbage collector and lightweight goroutines, ships its parser, type checker and code printer as standard library packages, and comes with a formal compatibility promise for the Go 1 language [16,17]. Its user base has grown more than threefold in five years [18], and large parts of today's cloud and infrastructure software are written in Go, from container orchestration [19] to the services that place and coordinate workloads across the cloud–edge continuum, where declarative placement models [20] and layered reference architectures for deployment [21] are increasingly common. At the same time, Go deliberately offers a small set of language features. It has no sum types or pattern matching [22], although pattern matching on structured data has meanwhile been adopted by other mainstream languages such as Python [23]. It also has no named or default arguments, no extension methods and no short syntax for anonymous functions [24]; since Go 1.18 it supports type parameters [25,26], but methods cannot declare their own type parameters [27]. Each of these gaps is the subject of long discussions in the Go community, and each is filled in practice by idioms such as functional options, sealed interfaces or code generators.</w:t>
      </w:r>
    </w:p>
    <w:p>
      <w:pPr>
        <w:spacing w:after="0" w:line="240"/>
        <w:ind w:firstLine="425"/>
        <w:jc w:val="both"/>
      </w:pPr>
      <w:r>
        <w:rPr>
          <w:rFonts w:ascii="Palatino Linotype" w:cs="Palatino Linotype" w:eastAsia="Palatino Linotype" w:hAnsi="Palatino Linotype"/>
        </w:rPr>
        <w:t xml:space="preserve">These two observations suggest a concrete research question: can the missing high-level features be added as a </w:t>
      </w:r>
      <w:r>
        <w:rPr>
          <w:rFonts w:ascii="Palatino Linotype" w:cs="Palatino Linotype" w:eastAsia="Palatino Linotype" w:hAnsi="Palatino Linotype"/>
          <w:i/>
          <w:iCs/>
        </w:rPr>
        <w:t xml:space="preserve">dialect</w:t>
      </w:r>
      <w:r>
        <w:rPr>
          <w:rFonts w:ascii="Palatino Linotype" w:cs="Palatino Linotype" w:eastAsia="Palatino Linotype" w:hAnsi="Palatino Linotype"/>
        </w:rPr>
        <w:t xml:space="preserve"> of Go that is translated into ordinary Go code, so that every program written in the dialect remains compatible with the Go compiler, runtime and ecosystem? The question has two sides that pull in opposite directions. Some extensions are thin syntactic layers that disappear completely during translation; others require changes in how data are represented, and these changes interact with the garbage collector, the type system and the performance model of the host. Languages built on the Go toolchain, such as XGo (formerly Go+) [28] and Borgo, a statically typed language that compiles to Go [29], demonstrate that the approach is feasible, yet their design decisions are documented mostly in source code and issue trackers. To our knowledge, no systematic account exists of which criteria make Go a suitable host, how language transformations should be classified with respect to their cost, and where the limits of the approach lie.</w:t>
      </w:r>
    </w:p>
    <w:p>
      <w:pPr>
        <w:spacing w:after="0" w:line="240"/>
        <w:ind w:firstLine="425"/>
        <w:jc w:val="both"/>
      </w:pPr>
      <w:r>
        <w:rPr>
          <w:rFonts w:ascii="Palatino Linotype" w:cs="Palatino Linotype" w:eastAsia="Palatino Linotype" w:hAnsi="Palatino Linotype"/>
        </w:rPr>
        <w:t xml:space="preserve">Opinions on these limits diverge. One position holds that Go is too restrictive to serve as a compilation target for richer languages: without unions, method-level generics or tail calls, every advanced feature must be emulated, and the emulation erodes performance and readability. The opposite position holds that a high-level target is preferable precisely because it is restrictive: generated code stays readable, debuggable and subject to the host's own tooling, which matters more for adoption than the last percent of performance [3]. Studies of translation between languages add a third consideration: automatic translation is reliable only when the semantic gap between source and target is small and explicitly managed [30–32]. The present work addresses this disagreement with an explicit evaluation framework, a classification of transformations and measurements of the generated code.</w:t>
      </w:r>
    </w:p>
    <w:p>
      <w:pPr>
        <w:spacing w:after="0" w:line="240"/>
        <w:ind w:firstLine="425"/>
        <w:jc w:val="both"/>
      </w:pPr>
      <w:r>
        <w:rPr>
          <w:rFonts w:ascii="Palatino Linotype" w:cs="Palatino Linotype" w:eastAsia="Palatino Linotype" w:hAnsi="Palatino Linotype"/>
        </w:rPr>
        <w:t xml:space="preserve">This article presents GoNext, an experimental dialect of Go and the architecture of its transpiler, developed within the doctoral research of the first author [33]. The aim of the study is to design a transpiler architecture that implements high-level language extensions while keeping full compatibility with the Go ecosystem, and to determine the boundaries within which this approach is applicable. The main contributions are as follows:</w:t>
      </w:r>
    </w:p>
    <w:p>
      <w:pPr>
        <w:pStyle w:val="ListParagraph"/>
        <w:numPr>
          <w:ilvl w:val="0"/>
          <w:numId w:val="2"/>
        </w:numPr>
        <w:spacing w:after="0"/>
        <w:jc w:val="both"/>
      </w:pPr>
      <w:r>
        <w:rPr>
          <w:rFonts w:ascii="Palatino Linotype" w:cs="Palatino Linotype" w:eastAsia="Palatino Linotype" w:hAnsi="Palatino Linotype"/>
        </w:rPr>
        <w:t xml:space="preserve">A system of twenty criteria in five groups (execution properties, expressiveness of the host language, interoperability, tooling and implementation effort) for selecting a host platform for language implementation, applied to eight candidate platforms together with a sensitivity analysis of the resulting ranking.</w:t>
      </w:r>
    </w:p>
    <w:p>
      <w:pPr>
        <w:pStyle w:val="ListParagraph"/>
        <w:numPr>
          <w:ilvl w:val="0"/>
          <w:numId w:val="2"/>
        </w:numPr>
        <w:spacing w:after="0"/>
        <w:jc w:val="both"/>
      </w:pPr>
      <w:r>
        <w:rPr>
          <w:rFonts w:ascii="Palatino Linotype" w:cs="Palatino Linotype" w:eastAsia="Palatino Linotype" w:hAnsi="Palatino Linotype"/>
        </w:rPr>
        <w:t xml:space="preserve">A classification of language transformations into syntactic, structural and representational classes, which relates the way an extension is implemented to its semantic requirements and to its potential run-time overhead.</w:t>
      </w:r>
    </w:p>
    <w:p>
      <w:pPr>
        <w:pStyle w:val="ListParagraph"/>
        <w:numPr>
          <w:ilvl w:val="0"/>
          <w:numId w:val="2"/>
        </w:numPr>
        <w:spacing w:after="0"/>
        <w:jc w:val="both"/>
      </w:pPr>
      <w:r>
        <w:rPr>
          <w:rFonts w:ascii="Palatino Linotype" w:cs="Palatino Linotype" w:eastAsia="Palatino Linotype" w:hAnsi="Palatino Linotype"/>
        </w:rPr>
        <w:t xml:space="preserve">A six-stage transpiler architecture (parsing, internal abstract syntax tree, partial semantic analysis, normalization, lowering to </w:t>
      </w:r>
      <w:r>
        <w:rPr>
          <w:rFonts w:ascii="Courier New" w:cs="Courier New" w:eastAsia="Courier New" w:hAnsi="Courier New"/>
          <w:sz w:val="18"/>
          <w:szCs w:val="18"/>
        </w:rPr>
        <w:t xml:space="preserve">go/ast</w:t>
      </w:r>
      <w:r>
        <w:rPr>
          <w:rFonts w:ascii="Palatino Linotype" w:cs="Palatino Linotype" w:eastAsia="Palatino Linotype" w:hAnsi="Palatino Linotype"/>
        </w:rPr>
        <w:t xml:space="preserve"> nodes and emission) that requires no modification of the Go compiler and keeps diagnostics mapped to the source program.</w:t>
      </w:r>
    </w:p>
    <w:p>
      <w:pPr>
        <w:pStyle w:val="ListParagraph"/>
        <w:numPr>
          <w:ilvl w:val="0"/>
          <w:numId w:val="2"/>
        </w:numPr>
        <w:spacing w:after="0"/>
        <w:jc w:val="both"/>
      </w:pPr>
      <w:r>
        <w:rPr>
          <w:rFonts w:ascii="Palatino Linotype" w:cs="Palatino Linotype" w:eastAsia="Palatino Linotype" w:hAnsi="Palatino Linotype"/>
        </w:rPr>
        <w:t xml:space="preserve">Lowering schemes for eight GoNext extensions, including enum types with associated data and pattern matching, together with measurements of the generated code and an experimental demonstration that variant representations must keep pointers visible to the garbage collector.</w:t>
      </w:r>
    </w:p>
    <w:p>
      <w:pPr>
        <w:pStyle w:val="ListParagraph"/>
        <w:numPr>
          <w:ilvl w:val="0"/>
          <w:numId w:val="2"/>
        </w:numPr>
        <w:spacing w:after="0"/>
        <w:jc w:val="both"/>
      </w:pPr>
      <w:r>
        <w:rPr>
          <w:rFonts w:ascii="Palatino Linotype" w:cs="Palatino Linotype" w:eastAsia="Palatino Linotype" w:hAnsi="Palatino Linotype"/>
        </w:rPr>
        <w:t xml:space="preserve">The GoNext software project (version 1.0.0), covering repository structure, quality gates, release and archiving on Zenodo (</w:t>
      </w:r>
      <w:hyperlink w:history="1" r:id="rIduxlmd3r0neemudpnzt35v">
        <w:r>
          <w:rPr>
            <w:rStyle w:val="Hyperlink"/>
            <w:rFonts w:ascii="Palatino Linotype" w:cs="Palatino Linotype" w:eastAsia="Palatino Linotype" w:hAnsi="Palatino Linotype"/>
          </w:rPr>
          <w:t xml:space="preserve">https://doi.org/10.5281/zenodo.23490820</w:t>
        </w:r>
      </w:hyperlink>
      <w:r>
        <w:rPr>
          <w:rFonts w:ascii="Palatino Linotype" w:cs="Palatino Linotype" w:eastAsia="Palatino Linotype" w:hAnsi="Palatino Linotype"/>
        </w:rPr>
        <w:t xml:space="preserve">), and a development roadmap, together with an openly available reproducibility package.</w:t>
      </w:r>
    </w:p>
    <w:p>
      <w:pPr>
        <w:spacing w:after="0" w:line="240"/>
        <w:ind w:firstLine="425"/>
        <w:jc w:val="both"/>
      </w:pPr>
      <w:r>
        <w:rPr>
          <w:rFonts w:ascii="Palatino Linotype" w:cs="Palatino Linotype" w:eastAsia="Palatino Linotype" w:hAnsi="Palatino Linotype"/>
        </w:rPr>
        <w:t xml:space="preserve">The rest of the article is organized as follows. Section 2 describes the research design, the evaluation criteria, the classification of transformations, the transpiler architecture, the experimental setup and the structure of the software project. Section 3 reports the comparison of host platforms, the classification of GoNext extensions, the lowering schemes and the analysis of the generated code. Section 4 discusses the findings, the domains in which the approach is applicable and the threats to validity. Section 5 concludes the article.</w:t>
      </w:r>
    </w:p>
    <w:p>
      <w:pPr>
        <w:keepNext/>
        <w:spacing w:after="60" w:before="200"/>
      </w:pPr>
      <w:r>
        <w:rPr>
          <w:rFonts w:ascii="Palatino Linotype" w:cs="Palatino Linotype" w:eastAsia="Palatino Linotype" w:hAnsi="Palatino Linotype"/>
          <w:b/>
          <w:bCs/>
          <w:sz w:val="20"/>
          <w:szCs w:val="20"/>
        </w:rPr>
        <w:t xml:space="preserve">2. Materials and Methods</w:t>
      </w:r>
    </w:p>
    <w:p>
      <w:pPr>
        <w:keepNext/>
        <w:spacing w:after="40" w:before="120"/>
      </w:pPr>
      <w:r>
        <w:rPr>
          <w:rFonts w:ascii="Palatino Linotype" w:cs="Palatino Linotype" w:eastAsia="Palatino Linotype" w:hAnsi="Palatino Linotype"/>
          <w:i/>
          <w:iCs/>
          <w:sz w:val="20"/>
          <w:szCs w:val="20"/>
        </w:rPr>
        <w:t xml:space="preserve">2.1. Research Design</w:t>
      </w:r>
    </w:p>
    <w:p>
      <w:pPr>
        <w:spacing w:after="0" w:line="240"/>
        <w:ind w:firstLine="425"/>
        <w:jc w:val="both"/>
      </w:pPr>
      <w:r>
        <w:rPr>
          <w:rFonts w:ascii="Palatino Linotype" w:cs="Palatino Linotype" w:eastAsia="Palatino Linotype" w:hAnsi="Palatino Linotype"/>
        </w:rPr>
        <w:t xml:space="preserve">The study combines four methods, applied in sequence. First, a </w:t>
      </w:r>
      <w:r>
        <w:rPr>
          <w:rFonts w:ascii="Palatino Linotype" w:cs="Palatino Linotype" w:eastAsia="Palatino Linotype" w:hAnsi="Palatino Linotype"/>
          <w:i/>
          <w:iCs/>
        </w:rPr>
        <w:t xml:space="preserve">comparative analysis</w:t>
      </w:r>
      <w:r>
        <w:rPr>
          <w:rFonts w:ascii="Palatino Linotype" w:cs="Palatino Linotype" w:eastAsia="Palatino Linotype" w:hAnsi="Palatino Linotype"/>
        </w:rPr>
        <w:t xml:space="preserve"> of language-implementation platforms was performed with an explicit rubric (Section 2.2). Second, a </w:t>
      </w:r>
      <w:r>
        <w:rPr>
          <w:rFonts w:ascii="Palatino Linotype" w:cs="Palatino Linotype" w:eastAsia="Palatino Linotype" w:hAnsi="Palatino Linotype"/>
          <w:i/>
          <w:iCs/>
        </w:rPr>
        <w:t xml:space="preserve">classification</w:t>
      </w:r>
      <w:r>
        <w:rPr>
          <w:rFonts w:ascii="Palatino Linotype" w:cs="Palatino Linotype" w:eastAsia="Palatino Linotype" w:hAnsi="Palatino Linotype"/>
        </w:rPr>
        <w:t xml:space="preserve"> of language transformations was developed from the analysis of the extensions planned for GoNext and of related extensible-language systems (Section 2.3). Third, the transpiler was </w:t>
      </w:r>
      <w:r>
        <w:rPr>
          <w:rFonts w:ascii="Palatino Linotype" w:cs="Palatino Linotype" w:eastAsia="Palatino Linotype" w:hAnsi="Palatino Linotype"/>
          <w:i/>
          <w:iCs/>
        </w:rPr>
        <w:t xml:space="preserve">designed</w:t>
      </w:r>
      <w:r>
        <w:rPr>
          <w:rFonts w:ascii="Palatino Linotype" w:cs="Palatino Linotype" w:eastAsia="Palatino Linotype" w:hAnsi="Palatino Linotype"/>
        </w:rPr>
        <w:t xml:space="preserve"> as a compiler pipeline whose stages are described in Section 2.4. Fourth, the GoNext dialect served as a </w:t>
      </w:r>
      <w:r>
        <w:rPr>
          <w:rFonts w:ascii="Palatino Linotype" w:cs="Palatino Linotype" w:eastAsia="Palatino Linotype" w:hAnsi="Palatino Linotype"/>
          <w:i/>
          <w:iCs/>
        </w:rPr>
        <w:t xml:space="preserve">feasibility study</w:t>
      </w:r>
      <w:r>
        <w:rPr>
          <w:rFonts w:ascii="Palatino Linotype" w:cs="Palatino Linotype" w:eastAsia="Palatino Linotype" w:hAnsi="Palatino Linotype"/>
        </w:rPr>
        <w:t xml:space="preserve">: for each extension a lowering scheme to standard Go was defined and the generated code was inspected and measured (Sections 2.5 and 2.6). The study is an architectural analysis supported by micro-experiments; it does not claim a full performance evaluation of GoNext on application workloads, which is left for future work (Section 4.3).</w:t>
      </w:r>
    </w:p>
    <w:p>
      <w:pPr>
        <w:keepNext/>
        <w:spacing w:after="40" w:before="120"/>
      </w:pPr>
      <w:r>
        <w:rPr>
          <w:rFonts w:ascii="Palatino Linotype" w:cs="Palatino Linotype" w:eastAsia="Palatino Linotype" w:hAnsi="Palatino Linotype"/>
          <w:i/>
          <w:iCs/>
          <w:sz w:val="20"/>
          <w:szCs w:val="20"/>
        </w:rPr>
        <w:t xml:space="preserve">2.2. Criteria for Selecting a Host Platform</w:t>
      </w:r>
    </w:p>
    <w:p>
      <w:pPr>
        <w:spacing w:after="0" w:line="240"/>
        <w:ind w:firstLine="425"/>
        <w:jc w:val="both"/>
      </w:pPr>
      <w:r>
        <w:rPr>
          <w:rFonts w:ascii="Palatino Linotype" w:cs="Palatino Linotype" w:eastAsia="Palatino Linotype" w:hAnsi="Palatino Linotype"/>
        </w:rPr>
        <w:t xml:space="preserve">A host platform is evaluated for a specific </w:t>
      </w:r>
      <w:r>
        <w:rPr>
          <w:rFonts w:ascii="Palatino Linotype" w:cs="Palatino Linotype" w:eastAsia="Palatino Linotype" w:hAnsi="Palatino Linotype"/>
          <w:i/>
          <w:iCs/>
        </w:rPr>
        <w:t xml:space="preserve">target scenario</w:t>
      </w:r>
      <w:r>
        <w:rPr>
          <w:rFonts w:ascii="Palatino Linotype" w:cs="Palatino Linotype" w:eastAsia="Palatino Linotype" w:hAnsi="Palatino Linotype"/>
        </w:rPr>
        <w:t xml:space="preserve">. In this study the scenario is the implementation of statically typed, imperative language extensions and DSLs for server-side and infrastructure software. The criteria are organized in five groups </w:t>
      </w:r>
      <w:r>
        <w:rPr>
          <w:rFonts w:ascii="Palatino Linotype" w:cs="Palatino Linotype" w:eastAsia="Palatino Linotype" w:hAnsi="Palatino Linotype"/>
          <w:i/>
          <w:iCs/>
        </w:rPr>
        <w:t xml:space="preserve">G</w:t>
      </w:r>
      <w:r>
        <w:rPr>
          <w:rFonts w:ascii="Palatino Linotype" w:cs="Palatino Linotype" w:eastAsia="Palatino Linotype" w:hAnsi="Palatino Linotype"/>
          <w:vertAlign w:val="subscript"/>
        </w:rPr>
        <w:t xml:space="preserve">1</w:t>
      </w:r>
      <w:r>
        <w:rPr>
          <w:rFonts w:ascii="Palatino Linotype" w:cs="Palatino Linotype" w:eastAsia="Palatino Linotype" w:hAnsi="Palatino Linotype"/>
        </w:rPr>
        <w:t xml:space="preserve">, …, </w:t>
      </w:r>
      <w:r>
        <w:rPr>
          <w:rFonts w:ascii="Palatino Linotype" w:cs="Palatino Linotype" w:eastAsia="Palatino Linotype" w:hAnsi="Palatino Linotype"/>
          <w:i/>
          <w:iCs/>
        </w:rPr>
        <w:t xml:space="preserve">G</w:t>
      </w:r>
      <w:r>
        <w:rPr>
          <w:rFonts w:ascii="Palatino Linotype" w:cs="Palatino Linotype" w:eastAsia="Palatino Linotype" w:hAnsi="Palatino Linotype"/>
          <w:vertAlign w:val="subscript"/>
        </w:rPr>
        <w:t xml:space="preserve">5</w:t>
      </w:r>
      <w:r>
        <w:rPr>
          <w:rFonts w:ascii="Palatino Linotype" w:cs="Palatino Linotype" w:eastAsia="Palatino Linotype" w:hAnsi="Palatino Linotype"/>
        </w:rPr>
        <w:t xml:space="preserve"> with four criteria each (Table 1). Each criterion </w:t>
      </w:r>
      <w:r>
        <w:rPr>
          <w:rFonts w:ascii="Palatino Linotype" w:cs="Palatino Linotype" w:eastAsia="Palatino Linotype" w:hAnsi="Palatino Linotype"/>
          <w:i/>
          <w:iCs/>
        </w:rPr>
        <w:t xml:space="preserve">c</w:t>
      </w:r>
      <w:r>
        <w:rPr>
          <w:rFonts w:ascii="Palatino Linotype" w:cs="Palatino Linotype" w:eastAsia="Palatino Linotype" w:hAnsi="Palatino Linotype"/>
        </w:rPr>
        <w:t xml:space="preserve"> is scored for platform </w:t>
      </w:r>
      <w:r>
        <w:rPr>
          <w:rFonts w:ascii="Palatino Linotype" w:cs="Palatino Linotype" w:eastAsia="Palatino Linotype" w:hAnsi="Palatino Linotype"/>
          <w:i/>
          <w:iCs/>
        </w:rPr>
        <w:t xml:space="preserve">p</w:t>
      </w:r>
      <w:r>
        <w:rPr>
          <w:rFonts w:ascii="Palatino Linotype" w:cs="Palatino Linotype" w:eastAsia="Palatino Linotype" w:hAnsi="Palatino Linotype"/>
        </w:rPr>
        <w:t xml:space="preserve"> on an ordinal scale </w:t>
      </w:r>
      <w:r>
        <w:rPr>
          <w:rFonts w:ascii="Palatino Linotype" w:cs="Palatino Linotype" w:eastAsia="Palatino Linotype" w:hAnsi="Palatino Linotype"/>
          <w:i/>
          <w:iCs/>
        </w:rPr>
        <w:t xml:space="preserve">s</w:t>
      </w:r>
      <w:r>
        <w:rPr>
          <w:rFonts w:ascii="Palatino Linotype" w:cs="Palatino Linotype" w:eastAsia="Palatino Linotype" w:hAnsi="Palatino Linotype"/>
          <w:vertAlign w:val="subscript"/>
        </w:rPr>
        <w:t xml:space="preserve">p,c</w:t>
      </w:r>
      <w:r>
        <w:rPr>
          <w:rFonts w:ascii="Palatino Linotype" w:cs="Palatino Linotype" w:eastAsia="Palatino Linotype" w:hAnsi="Palatino Linotype"/>
        </w:rPr>
        <w:t xml:space="preserve"> ∈ {0, 1, 2}, where 0 means that the property is absent or must be built by the language implementer, 1 that it is partially available, and 2 that it is fully provided by the platform. For the implementation-effort group the scale is oriented so that a higher score always means less work for the implementer.</w:t>
      </w:r>
    </w:p>
    <w:p>
      <w:pPr>
        <w:keepNext/>
        <w:spacing w:after="80" w:before="120"/>
        <w:jc w:val="both"/>
      </w:pPr>
      <w:r>
        <w:rPr>
          <w:rFonts w:ascii="Palatino Linotype" w:cs="Palatino Linotype" w:eastAsia="Palatino Linotype" w:hAnsi="Palatino Linotype"/>
          <w:b/>
          <w:bCs/>
          <w:sz w:val="18"/>
          <w:szCs w:val="18"/>
        </w:rPr>
        <w:t xml:space="preserve">Table 1. </w:t>
      </w:r>
      <w:r>
        <w:rPr>
          <w:rFonts w:ascii="Palatino Linotype" w:cs="Palatino Linotype" w:eastAsia="Palatino Linotype" w:hAnsi="Palatino Linotype"/>
          <w:sz w:val="18"/>
          <w:szCs w:val="18"/>
        </w:rPr>
        <w:t xml:space="preserve">Criteria for evaluating a host platform for language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Group</w:t>
            </w:r>
          </w:p>
        </w:tc>
        <w:tc>
          <w:tcPr>
            <w:tcW w:type="dxa" w:w="7038"/>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Criteria</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i/>
                <w:iCs/>
                <w:sz w:val="17"/>
                <w:szCs w:val="17"/>
              </w:rPr>
              <w:t xml:space="preserve">G</w:t>
            </w:r>
            <w:r>
              <w:rPr>
                <w:rFonts w:ascii="Palatino Linotype" w:cs="Palatino Linotype" w:eastAsia="Palatino Linotype" w:hAnsi="Palatino Linotype"/>
                <w:b w:val="false"/>
                <w:bCs w:val="false"/>
                <w:sz w:val="17"/>
                <w:szCs w:val="17"/>
                <w:vertAlign w:val="subscript"/>
              </w:rPr>
              <w:t xml:space="preserve">1</w:t>
            </w:r>
            <w:r>
              <w:rPr>
                <w:rFonts w:ascii="Palatino Linotype" w:cs="Palatino Linotype" w:eastAsia="Palatino Linotype" w:hAnsi="Palatino Linotype"/>
                <w:b w:val="false"/>
                <w:bCs w:val="false"/>
                <w:sz w:val="17"/>
                <w:szCs w:val="17"/>
              </w:rPr>
              <w:t xml:space="preserve"> Execution properties</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E1 ahead-of-time native code; E2 managed memory with a concurrent collector; E3 built-in lightweight concurrency; E4 self-contained deployment and fast start-up</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i/>
                <w:iCs/>
                <w:sz w:val="17"/>
                <w:szCs w:val="17"/>
              </w:rPr>
              <w:t xml:space="preserve">G</w:t>
            </w:r>
            <w:r>
              <w:rPr>
                <w:rFonts w:ascii="Palatino Linotype" w:cs="Palatino Linotype" w:eastAsia="Palatino Linotype" w:hAnsi="Palatino Linotype"/>
                <w:b w:val="false"/>
                <w:bCs w:val="false"/>
                <w:sz w:val="17"/>
                <w:szCs w:val="17"/>
                <w:vertAlign w:val="subscript"/>
              </w:rPr>
              <w:t xml:space="preserve">2</w:t>
            </w:r>
            <w:r>
              <w:rPr>
                <w:rFonts w:ascii="Palatino Linotype" w:cs="Palatino Linotype" w:eastAsia="Palatino Linotype" w:hAnsi="Palatino Linotype"/>
                <w:b w:val="false"/>
                <w:bCs w:val="false"/>
                <w:sz w:val="17"/>
                <w:szCs w:val="17"/>
              </w:rPr>
              <w:t xml:space="preserve"> Expressiveness of the host</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X1 parametric polymorphism usable by generated code; X2 first-class closures; X3 interface-based dynamic dispatch; X4 control over data layout and unsafe escape hatches</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i/>
                <w:iCs/>
                <w:sz w:val="17"/>
                <w:szCs w:val="17"/>
              </w:rPr>
              <w:t xml:space="preserve">G</w:t>
            </w:r>
            <w:r>
              <w:rPr>
                <w:rFonts w:ascii="Palatino Linotype" w:cs="Palatino Linotype" w:eastAsia="Palatino Linotype" w:hAnsi="Palatino Linotype"/>
                <w:b w:val="false"/>
                <w:bCs w:val="false"/>
                <w:sz w:val="17"/>
                <w:szCs w:val="17"/>
                <w:vertAlign w:val="subscript"/>
              </w:rPr>
              <w:t xml:space="preserve">3</w:t>
            </w:r>
            <w:r>
              <w:rPr>
                <w:rFonts w:ascii="Palatino Linotype" w:cs="Palatino Linotype" w:eastAsia="Palatino Linotype" w:hAnsi="Palatino Linotype"/>
                <w:b w:val="false"/>
                <w:bCs w:val="false"/>
                <w:sz w:val="17"/>
                <w:szCs w:val="17"/>
              </w:rPr>
              <w:t xml:space="preserve"> Interoperability</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I1 direct use of host libraries; I2 host code can call generated code; I3 shared object model without marshalling; I4 integration with the host package system</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i/>
                <w:iCs/>
                <w:sz w:val="17"/>
                <w:szCs w:val="17"/>
              </w:rPr>
              <w:t xml:space="preserve">G</w:t>
            </w:r>
            <w:r>
              <w:rPr>
                <w:rFonts w:ascii="Palatino Linotype" w:cs="Palatino Linotype" w:eastAsia="Palatino Linotype" w:hAnsi="Palatino Linotype"/>
                <w:b w:val="false"/>
                <w:bCs w:val="false"/>
                <w:sz w:val="17"/>
                <w:szCs w:val="17"/>
                <w:vertAlign w:val="subscript"/>
              </w:rPr>
              <w:t xml:space="preserve">4</w:t>
            </w:r>
            <w:r>
              <w:rPr>
                <w:rFonts w:ascii="Palatino Linotype" w:cs="Palatino Linotype" w:eastAsia="Palatino Linotype" w:hAnsi="Palatino Linotype"/>
                <w:b w:val="false"/>
                <w:bCs w:val="false"/>
                <w:sz w:val="17"/>
                <w:szCs w:val="17"/>
              </w:rPr>
              <w:t xml:space="preserve"> Tooling</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T1 readable and debuggable target code; T2 standard formatter and static analysis applicable to the output; T3 standard test and benchmark framework; T4 parser and type checker available as libraries</w:t>
            </w:r>
          </w:p>
        </w:tc>
      </w:tr>
      <w:tr>
        <w:trPr>
          <w:cantSplit/>
        </w:trPr>
        <w:tc>
          <w:tcPr>
            <w:tcW w:type="dxa" w:w="26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i/>
                <w:iCs/>
                <w:sz w:val="17"/>
                <w:szCs w:val="17"/>
              </w:rPr>
              <w:t xml:space="preserve">G</w:t>
            </w:r>
            <w:r>
              <w:rPr>
                <w:rFonts w:ascii="Palatino Linotype" w:cs="Palatino Linotype" w:eastAsia="Palatino Linotype" w:hAnsi="Palatino Linotype"/>
                <w:b w:val="false"/>
                <w:bCs w:val="false"/>
                <w:sz w:val="17"/>
                <w:szCs w:val="17"/>
                <w:vertAlign w:val="subscript"/>
              </w:rPr>
              <w:t xml:space="preserve">5</w:t>
            </w:r>
            <w:r>
              <w:rPr>
                <w:rFonts w:ascii="Palatino Linotype" w:cs="Palatino Linotype" w:eastAsia="Palatino Linotype" w:hAnsi="Palatino Linotype"/>
                <w:b w:val="false"/>
                <w:bCs w:val="false"/>
                <w:sz w:val="17"/>
                <w:szCs w:val="17"/>
              </w:rPr>
              <w:t xml:space="preserve"> Implementation effort</w:t>
            </w:r>
          </w:p>
        </w:tc>
        <w:tc>
          <w:tcPr>
            <w:tcW w:type="dxa" w:w="7038"/>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C1 no custom back end required; C2 no custom runtime or collector required; C3 small semantic gap for statically typed imperative extensions; C4 stability guarantees of the target</w:t>
            </w:r>
          </w:p>
        </w:tc>
      </w:tr>
    </w:tbl>
    <w:p>
      <w:pPr>
        <w:spacing w:after="60"/>
      </w:pPr>
    </w:p>
    <w:p>
      <w:pPr>
        <w:keepNext/>
        <w:spacing w:after="0" w:line="240"/>
        <w:ind w:firstLine="425"/>
        <w:jc w:val="both"/>
      </w:pPr>
      <w:r>
        <w:rPr>
          <w:rFonts w:ascii="Palatino Linotype" w:cs="Palatino Linotype" w:eastAsia="Palatino Linotype" w:hAnsi="Palatino Linotype"/>
        </w:rPr>
        <w:t xml:space="preserve">The normalized score of platform </w:t>
      </w:r>
      <w:r>
        <w:rPr>
          <w:rFonts w:ascii="Palatino Linotype" w:cs="Palatino Linotype" w:eastAsia="Palatino Linotype" w:hAnsi="Palatino Linotype"/>
          <w:i/>
          <w:iCs/>
        </w:rPr>
        <w:t xml:space="preserve">p</w:t>
      </w:r>
      <w:r>
        <w:rPr>
          <w:rFonts w:ascii="Palatino Linotype" w:cs="Palatino Linotype" w:eastAsia="Palatino Linotype" w:hAnsi="Palatino Linotype"/>
        </w:rPr>
        <w:t xml:space="preserve"> in group </w:t>
      </w:r>
      <w:r>
        <w:rPr>
          <w:rFonts w:ascii="Palatino Linotype" w:cs="Palatino Linotype" w:eastAsia="Palatino Linotype" w:hAnsi="Palatino Linotype"/>
          <w:i/>
          <w:iCs/>
        </w:rPr>
        <w:t xml:space="preserve">g</w:t>
      </w:r>
      <w:r>
        <w:rPr>
          <w:rFonts w:ascii="Palatino Linotype" w:cs="Palatino Linotype" w:eastAsia="Palatino Linotype" w:hAnsi="Palatino Linotype"/>
        </w:rPr>
        <w:t xml:space="preserve"> is the mean of its criterion scores divided by the maximum score, and the aggregate score is a weighted sum over groups:</w:t>
      </w:r>
    </w:p>
    <w:p>
      <w:pPr>
        <w:tabs>
          <w:tab w:val="center" w:pos="4819"/>
          <w:tab w:val="right" w:pos="9638"/>
        </w:tabs>
        <w:spacing w:after="60" w:before="60"/>
        <w:jc w:val="left"/>
      </w:pPr>
      <w:r>
        <w:rPr>
          <w:rFonts w:ascii="Palatino Linotype" w:cs="Palatino Linotype" w:eastAsia="Palatino Linotype" w:hAnsi="Palatino Linotype"/>
        </w:rPr>
        <w:t xml:space="preserve">	</w:t>
      </w:r>
      <w:r>
        <w:drawing>
          <wp:inline distT="0" distB="0" distL="0" distR="0">
            <wp:extent cx="1333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476250"/>
                    </a:xfrm>
                    <a:prstGeom prst="rect">
                      <a:avLst/>
                    </a:prstGeom>
                  </pic:spPr>
                </pic:pic>
              </a:graphicData>
            </a:graphic>
          </wp:inline>
        </w:drawing>
      </w:r>
      <w:r>
        <w:rPr>
          <w:rFonts w:ascii="Palatino Linotype" w:cs="Palatino Linotype" w:eastAsia="Palatino Linotype" w:hAnsi="Palatino Linotype"/>
        </w:rPr>
        <w:t xml:space="preserve">	(1)</w:t>
      </w:r>
    </w:p>
    <w:p>
      <w:pPr>
        <w:tabs>
          <w:tab w:val="center" w:pos="4819"/>
          <w:tab w:val="right" w:pos="9638"/>
        </w:tabs>
        <w:spacing w:after="60" w:before="60"/>
        <w:jc w:val="left"/>
      </w:pPr>
      <w:r>
        <w:rPr>
          <w:rFonts w:ascii="Palatino Linotype" w:cs="Palatino Linotype" w:eastAsia="Palatino Linotype" w:hAnsi="Palatino Linotype"/>
        </w:rPr>
        <w:t xml:space="preserve">	</w:t>
      </w:r>
      <w:r>
        <w:drawing>
          <wp:inline distT="0" distB="0" distL="0" distR="0">
            <wp:extent cx="29051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05125" cy="476250"/>
                    </a:xfrm>
                    <a:prstGeom prst="rect">
                      <a:avLst/>
                    </a:prstGeom>
                  </pic:spPr>
                </pic:pic>
              </a:graphicData>
            </a:graphic>
          </wp:inline>
        </w:drawing>
      </w:r>
      <w:r>
        <w:rPr>
          <w:rFonts w:ascii="Palatino Linotype" w:cs="Palatino Linotype" w:eastAsia="Palatino Linotype" w:hAnsi="Palatino Linotype"/>
        </w:rPr>
        <w:t xml:space="preserve">	(2)</w:t>
      </w:r>
    </w:p>
    <w:p>
      <w:pPr>
        <w:spacing w:after="0" w:line="240"/>
        <w:jc w:val="both"/>
      </w:pPr>
      <w:r>
        <w:rPr>
          <w:rFonts w:ascii="Palatino Linotype" w:cs="Palatino Linotype" w:eastAsia="Palatino Linotype" w:hAnsi="Palatino Linotype"/>
        </w:rPr>
        <w:t xml:space="preserve">where </w:t>
      </w:r>
      <w:r>
        <w:rPr>
          <w:rFonts w:ascii="Palatino Linotype" w:cs="Palatino Linotype" w:eastAsia="Palatino Linotype" w:hAnsi="Palatino Linotype"/>
          <w:i/>
          <w:iCs/>
        </w:rPr>
        <w:t xml:space="preserve">C</w:t>
      </w:r>
      <w:r>
        <w:rPr>
          <w:rFonts w:ascii="Palatino Linotype" w:cs="Palatino Linotype" w:eastAsia="Palatino Linotype" w:hAnsi="Palatino Linotype"/>
          <w:vertAlign w:val="subscript"/>
        </w:rPr>
        <w:t xml:space="preserve">g</w:t>
      </w:r>
      <w:r>
        <w:rPr>
          <w:rFonts w:ascii="Palatino Linotype" w:cs="Palatino Linotype" w:eastAsia="Palatino Linotype" w:hAnsi="Palatino Linotype"/>
        </w:rPr>
        <w:t xml:space="preserve"> is the set of criteria in group </w:t>
      </w:r>
      <w:r>
        <w:rPr>
          <w:rFonts w:ascii="Palatino Linotype" w:cs="Palatino Linotype" w:eastAsia="Palatino Linotype" w:hAnsi="Palatino Linotype"/>
          <w:i/>
          <w:iCs/>
        </w:rPr>
        <w:t xml:space="preserve">g</w:t>
      </w:r>
      <w:r>
        <w:rPr>
          <w:rFonts w:ascii="Palatino Linotype" w:cs="Palatino Linotype" w:eastAsia="Palatino Linotype" w:hAnsi="Palatino Linotype"/>
        </w:rPr>
        <w:t xml:space="preserve">, </w:t>
      </w:r>
      <w:r>
        <w:rPr>
          <w:rFonts w:ascii="Palatino Linotype" w:cs="Palatino Linotype" w:eastAsia="Palatino Linotype" w:hAnsi="Palatino Linotype"/>
          <w:i/>
          <w:iCs/>
        </w:rPr>
        <w:t xml:space="preserve">n</w:t>
      </w:r>
      <w:r>
        <w:rPr>
          <w:rFonts w:ascii="Palatino Linotype" w:cs="Palatino Linotype" w:eastAsia="Palatino Linotype" w:hAnsi="Palatino Linotype"/>
          <w:vertAlign w:val="subscript"/>
        </w:rPr>
        <w:t xml:space="preserve">g</w:t>
      </w:r>
      <w:r>
        <w:rPr>
          <w:rFonts w:ascii="Palatino Linotype" w:cs="Palatino Linotype" w:eastAsia="Palatino Linotype" w:hAnsi="Palatino Linotype"/>
        </w:rPr>
        <w:t xml:space="preserve"> = 4 is the number of criteria in it and </w:t>
      </w:r>
      <w:r>
        <w:rPr>
          <w:rFonts w:ascii="Palatino Linotype" w:cs="Palatino Linotype" w:eastAsia="Palatino Linotype" w:hAnsi="Palatino Linotype"/>
          <w:i/>
          <w:iCs/>
        </w:rPr>
        <w:t xml:space="preserve">w</w:t>
      </w:r>
      <w:r>
        <w:rPr>
          <w:rFonts w:ascii="Palatino Linotype" w:cs="Palatino Linotype" w:eastAsia="Palatino Linotype" w:hAnsi="Palatino Linotype"/>
          <w:vertAlign w:val="subscript"/>
        </w:rPr>
        <w:t xml:space="preserve">g</w:t>
      </w:r>
      <w:r>
        <w:rPr>
          <w:rFonts w:ascii="Palatino Linotype" w:cs="Palatino Linotype" w:eastAsia="Palatino Linotype" w:hAnsi="Palatino Linotype"/>
        </w:rPr>
        <w:t xml:space="preserve"> is the weight of the group. Because any fixed choice of weights is debatable, the ranking was also examined under uncertainty: 100,000 weight vectors were drawn from the uniform Dirichlet distribution Dir(1, …, 1) with a fixed random seed, and for each platform we recorded how often it ranked first and among the first two. A leave-one-group-out analysis complemented this test. The criterion scores, the scoring script and the sampling script are part of the reproducibility package (Section 2.7).</w:t>
      </w:r>
    </w:p>
    <w:p>
      <w:pPr>
        <w:keepNext/>
        <w:spacing w:after="40" w:before="120"/>
      </w:pPr>
      <w:r>
        <w:rPr>
          <w:rFonts w:ascii="Palatino Linotype" w:cs="Palatino Linotype" w:eastAsia="Palatino Linotype" w:hAnsi="Palatino Linotype"/>
          <w:i/>
          <w:iCs/>
          <w:sz w:val="20"/>
          <w:szCs w:val="20"/>
        </w:rPr>
        <w:t xml:space="preserve">2.3. Classification of Language Transformations</w:t>
      </w:r>
    </w:p>
    <w:p>
      <w:pPr>
        <w:keepNext/>
        <w:spacing w:after="0" w:line="240"/>
        <w:ind w:firstLine="425"/>
        <w:jc w:val="both"/>
      </w:pPr>
      <w:r>
        <w:rPr>
          <w:rFonts w:ascii="Palatino Linotype" w:cs="Palatino Linotype" w:eastAsia="Palatino Linotype" w:hAnsi="Palatino Linotype"/>
        </w:rPr>
        <w:t xml:space="preserve">Let </w:t>
      </w:r>
      <w:r>
        <w:rPr>
          <w:rFonts w:ascii="Palatino Linotype" w:cs="Palatino Linotype" w:eastAsia="Palatino Linotype" w:hAnsi="Palatino Linotype"/>
          <w:i/>
          <w:iCs/>
        </w:rPr>
        <w:t xml:space="preserve">A</w:t>
      </w:r>
      <w:r>
        <w:rPr>
          <w:rFonts w:ascii="Palatino Linotype" w:cs="Palatino Linotype" w:eastAsia="Palatino Linotype" w:hAnsi="Palatino Linotype"/>
          <w:vertAlign w:val="subscript"/>
        </w:rPr>
        <w:t xml:space="preserve">GN</w:t>
      </w:r>
      <w:r>
        <w:rPr>
          <w:rFonts w:ascii="Palatino Linotype" w:cs="Palatino Linotype" w:eastAsia="Palatino Linotype" w:hAnsi="Palatino Linotype"/>
        </w:rPr>
        <w:t xml:space="preserve"> denote the abstract syntax of GoNext programs and </w:t>
      </w:r>
      <w:r>
        <w:rPr>
          <w:rFonts w:ascii="Palatino Linotype" w:cs="Palatino Linotype" w:eastAsia="Palatino Linotype" w:hAnsi="Palatino Linotype"/>
          <w:i/>
          <w:iCs/>
        </w:rPr>
        <w:t xml:space="preserve">A</w:t>
      </w:r>
      <w:r>
        <w:rPr>
          <w:rFonts w:ascii="Palatino Linotype" w:cs="Palatino Linotype" w:eastAsia="Palatino Linotype" w:hAnsi="Palatino Linotype"/>
          <w:vertAlign w:val="subscript"/>
        </w:rPr>
        <w:t xml:space="preserve">Go</w:t>
      </w:r>
      <w:r>
        <w:rPr>
          <w:rFonts w:ascii="Palatino Linotype" w:cs="Palatino Linotype" w:eastAsia="Palatino Linotype" w:hAnsi="Palatino Linotype"/>
        </w:rPr>
        <w:t xml:space="preserve"> that of Go programs. A language extension </w:t>
      </w:r>
      <w:r>
        <w:rPr>
          <w:rFonts w:ascii="Palatino Linotype" w:cs="Palatino Linotype" w:eastAsia="Palatino Linotype" w:hAnsi="Palatino Linotype"/>
          <w:i/>
          <w:iCs/>
        </w:rPr>
        <w:t xml:space="preserve">e</w:t>
      </w:r>
      <w:r>
        <w:rPr>
          <w:rFonts w:ascii="Palatino Linotype" w:cs="Palatino Linotype" w:eastAsia="Palatino Linotype" w:hAnsi="Palatino Linotype"/>
        </w:rPr>
        <w:t xml:space="preserve"> is implemented by a transformation </w:t>
      </w:r>
      <w:r>
        <w:rPr>
          <w:rFonts w:ascii="Palatino Linotype" w:cs="Palatino Linotype" w:eastAsia="Palatino Linotype" w:hAnsi="Palatino Linotype"/>
          <w:i/>
          <w:iCs/>
        </w:rPr>
        <w:t xml:space="preserve">T</w:t>
      </w:r>
      <w:r>
        <w:rPr>
          <w:rFonts w:ascii="Palatino Linotype" w:cs="Palatino Linotype" w:eastAsia="Palatino Linotype" w:hAnsi="Palatino Linotype"/>
          <w:vertAlign w:val="subscript"/>
        </w:rPr>
        <w:t xml:space="preserve">e</w:t>
      </w:r>
      <w:r>
        <w:rPr>
          <w:rFonts w:ascii="Palatino Linotype" w:cs="Palatino Linotype" w:eastAsia="Palatino Linotype" w:hAnsi="Palatino Linotype"/>
        </w:rPr>
        <w:t xml:space="preserve">: </w:t>
      </w:r>
      <w:r>
        <w:rPr>
          <w:rFonts w:ascii="Palatino Linotype" w:cs="Palatino Linotype" w:eastAsia="Palatino Linotype" w:hAnsi="Palatino Linotype"/>
          <w:i/>
          <w:iCs/>
        </w:rPr>
        <w:t xml:space="preserve">A</w:t>
      </w:r>
      <w:r>
        <w:rPr>
          <w:rFonts w:ascii="Palatino Linotype" w:cs="Palatino Linotype" w:eastAsia="Palatino Linotype" w:hAnsi="Palatino Linotype"/>
          <w:vertAlign w:val="subscript"/>
        </w:rPr>
        <w:t xml:space="preserve">GN</w:t>
      </w:r>
      <w:r>
        <w:rPr>
          <w:rFonts w:ascii="Palatino Linotype" w:cs="Palatino Linotype" w:eastAsia="Palatino Linotype" w:hAnsi="Palatino Linotype"/>
        </w:rPr>
        <w:t xml:space="preserve"> → </w:t>
      </w:r>
      <w:r>
        <w:rPr>
          <w:rFonts w:ascii="Palatino Linotype" w:cs="Palatino Linotype" w:eastAsia="Palatino Linotype" w:hAnsi="Palatino Linotype"/>
          <w:i/>
          <w:iCs/>
        </w:rPr>
        <w:t xml:space="preserve">A</w:t>
      </w:r>
      <w:r>
        <w:rPr>
          <w:rFonts w:ascii="Palatino Linotype" w:cs="Palatino Linotype" w:eastAsia="Palatino Linotype" w:hAnsi="Palatino Linotype"/>
          <w:vertAlign w:val="subscript"/>
        </w:rPr>
        <w:t xml:space="preserve">GN</w:t>
      </w:r>
      <w:r>
        <w:rPr>
          <w:rFonts w:ascii="Palatino Linotype" w:cs="Palatino Linotype" w:eastAsia="Palatino Linotype" w:hAnsi="Palatino Linotype"/>
        </w:rPr>
        <w:t xml:space="preserve"> ∪ </w:t>
      </w:r>
      <w:r>
        <w:rPr>
          <w:rFonts w:ascii="Palatino Linotype" w:cs="Palatino Linotype" w:eastAsia="Palatino Linotype" w:hAnsi="Palatino Linotype"/>
          <w:i/>
          <w:iCs/>
        </w:rPr>
        <w:t xml:space="preserve">A</w:t>
      </w:r>
      <w:r>
        <w:rPr>
          <w:rFonts w:ascii="Palatino Linotype" w:cs="Palatino Linotype" w:eastAsia="Palatino Linotype" w:hAnsi="Palatino Linotype"/>
          <w:vertAlign w:val="subscript"/>
        </w:rPr>
        <w:t xml:space="preserve">Go</w:t>
      </w:r>
      <w:r>
        <w:rPr>
          <w:rFonts w:ascii="Palatino Linotype" w:cs="Palatino Linotype" w:eastAsia="Palatino Linotype" w:hAnsi="Palatino Linotype"/>
        </w:rPr>
        <w:t xml:space="preserve"> that eliminates the constructs of </w:t>
      </w:r>
      <w:r>
        <w:rPr>
          <w:rFonts w:ascii="Palatino Linotype" w:cs="Palatino Linotype" w:eastAsia="Palatino Linotype" w:hAnsi="Palatino Linotype"/>
          <w:i/>
          <w:iCs/>
        </w:rPr>
        <w:t xml:space="preserve">e</w:t>
      </w:r>
      <w:r>
        <w:rPr>
          <w:rFonts w:ascii="Palatino Linotype" w:cs="Palatino Linotype" w:eastAsia="Palatino Linotype" w:hAnsi="Palatino Linotype"/>
        </w:rPr>
        <w:t xml:space="preserve">. We characterize </w:t>
      </w:r>
      <w:r>
        <w:rPr>
          <w:rFonts w:ascii="Palatino Linotype" w:cs="Palatino Linotype" w:eastAsia="Palatino Linotype" w:hAnsi="Palatino Linotype"/>
          <w:i/>
          <w:iCs/>
        </w:rPr>
        <w:t xml:space="preserve">T</w:t>
      </w:r>
      <w:r>
        <w:rPr>
          <w:rFonts w:ascii="Palatino Linotype" w:cs="Palatino Linotype" w:eastAsia="Palatino Linotype" w:hAnsi="Palatino Linotype"/>
          <w:vertAlign w:val="subscript"/>
        </w:rPr>
        <w:t xml:space="preserve">e</w:t>
      </w:r>
      <w:r>
        <w:rPr>
          <w:rFonts w:ascii="Palatino Linotype" w:cs="Palatino Linotype" w:eastAsia="Palatino Linotype" w:hAnsi="Palatino Linotype"/>
        </w:rPr>
        <w:t xml:space="preserve"> by three properties: whether it adds declarations to the program, whether it needs type information that is not syntactically evident, and whether it changes the representation function that maps source types to Go types. These properties define three classes:</w:t>
      </w:r>
    </w:p>
    <w:p>
      <w:pPr>
        <w:keepNext/>
        <w:tabs>
          <w:tab w:val="right" w:pos="9638"/>
        </w:tabs>
        <w:spacing w:after="0"/>
        <w:ind w:left="1700"/>
      </w:pPr>
      <w:r>
        <w:rPr>
          <w:rFonts w:ascii="Palatino Linotype" w:cs="Palatino Linotype" w:eastAsia="Palatino Linotype" w:hAnsi="Palatino Linotype"/>
        </w:rPr>
        <w:t xml:space="preserve">class(</w:t>
      </w:r>
      <w:r>
        <w:rPr>
          <w:rFonts w:ascii="Palatino Linotype" w:cs="Palatino Linotype" w:eastAsia="Palatino Linotype" w:hAnsi="Palatino Linotype"/>
          <w:i/>
          <w:iCs/>
        </w:rPr>
        <w:t xml:space="preserve">T</w:t>
      </w:r>
      <w:r>
        <w:rPr>
          <w:rFonts w:ascii="Palatino Linotype" w:cs="Palatino Linotype" w:eastAsia="Palatino Linotype" w:hAnsi="Palatino Linotype"/>
          <w:vertAlign w:val="subscript"/>
        </w:rPr>
        <w:t xml:space="preserve">e</w:t>
      </w:r>
      <w:r>
        <w:rPr>
          <w:rFonts w:ascii="Palatino Linotype" w:cs="Palatino Linotype" w:eastAsia="Palatino Linotype" w:hAnsi="Palatino Linotype"/>
        </w:rPr>
        <w:t xml:space="preserve">) = </w:t>
      </w:r>
      <w:r>
        <w:rPr>
          <w:rFonts w:ascii="Palatino Linotype" w:cs="Palatino Linotype" w:eastAsia="Palatino Linotype" w:hAnsi="Palatino Linotype"/>
          <w:i/>
          <w:iCs/>
        </w:rPr>
        <w:t xml:space="preserve">syntactic</w:t>
      </w:r>
      <w:r>
        <w:rPr>
          <w:rFonts w:ascii="Palatino Linotype" w:cs="Palatino Linotype" w:eastAsia="Palatino Linotype" w:hAnsi="Palatino Linotype"/>
        </w:rPr>
        <w:t xml:space="preserve">, if Δ</w:t>
      </w:r>
      <w:r>
        <w:rPr>
          <w:rFonts w:ascii="Palatino Linotype" w:cs="Palatino Linotype" w:eastAsia="Palatino Linotype" w:hAnsi="Palatino Linotype"/>
          <w:vertAlign w:val="subscript"/>
        </w:rPr>
        <w:t xml:space="preserve">decl</w:t>
      </w:r>
      <w:r>
        <w:rPr>
          <w:rFonts w:ascii="Palatino Linotype" w:cs="Palatino Linotype" w:eastAsia="Palatino Linotype" w:hAnsi="Palatino Linotype"/>
        </w:rPr>
        <w:t xml:space="preserve"> = ∅ ∧ ρ</w:t>
      </w:r>
      <w:r>
        <w:rPr>
          <w:rFonts w:ascii="Palatino Linotype" w:cs="Palatino Linotype" w:eastAsia="Palatino Linotype" w:hAnsi="Palatino Linotype"/>
          <w:vertAlign w:val="subscript"/>
        </w:rPr>
        <w:t xml:space="preserve">e</w:t>
      </w:r>
      <w:r>
        <w:rPr>
          <w:rFonts w:ascii="Palatino Linotype" w:cs="Palatino Linotype" w:eastAsia="Palatino Linotype" w:hAnsi="Palatino Linotype"/>
        </w:rPr>
        <w:t xml:space="preserve"> = ρ</w:t>
      </w:r>
      <w:r>
        <w:rPr>
          <w:rFonts w:ascii="Palatino Linotype" w:cs="Palatino Linotype" w:eastAsia="Palatino Linotype" w:hAnsi="Palatino Linotype"/>
          <w:vertAlign w:val="subscript"/>
        </w:rPr>
        <w:t xml:space="preserve">Go</w:t>
      </w:r>
      <w:r>
        <w:rPr>
          <w:rFonts w:ascii="Palatino Linotype" w:cs="Palatino Linotype" w:eastAsia="Palatino Linotype" w:hAnsi="Palatino Linotype"/>
        </w:rPr>
        <w:t xml:space="preserve">;</w:t>
      </w:r>
    </w:p>
    <w:p>
      <w:pPr>
        <w:keepNext/>
        <w:tabs>
          <w:tab w:val="right" w:pos="9638"/>
        </w:tabs>
        <w:spacing w:after="0"/>
        <w:ind w:left="1700"/>
      </w:pPr>
      <w:r>
        <w:rPr>
          <w:rFonts w:ascii="Palatino Linotype" w:cs="Palatino Linotype" w:eastAsia="Palatino Linotype" w:hAnsi="Palatino Linotype"/>
        </w:rPr>
        <w:t xml:space="preserve">class(</w:t>
      </w:r>
      <w:r>
        <w:rPr>
          <w:rFonts w:ascii="Palatino Linotype" w:cs="Palatino Linotype" w:eastAsia="Palatino Linotype" w:hAnsi="Palatino Linotype"/>
          <w:i/>
          <w:iCs/>
        </w:rPr>
        <w:t xml:space="preserve">T</w:t>
      </w:r>
      <w:r>
        <w:rPr>
          <w:rFonts w:ascii="Palatino Linotype" w:cs="Palatino Linotype" w:eastAsia="Palatino Linotype" w:hAnsi="Palatino Linotype"/>
          <w:vertAlign w:val="subscript"/>
        </w:rPr>
        <w:t xml:space="preserve">e</w:t>
      </w:r>
      <w:r>
        <w:rPr>
          <w:rFonts w:ascii="Palatino Linotype" w:cs="Palatino Linotype" w:eastAsia="Palatino Linotype" w:hAnsi="Palatino Linotype"/>
        </w:rPr>
        <w:t xml:space="preserve">) = </w:t>
      </w:r>
      <w:r>
        <w:rPr>
          <w:rFonts w:ascii="Palatino Linotype" w:cs="Palatino Linotype" w:eastAsia="Palatino Linotype" w:hAnsi="Palatino Linotype"/>
          <w:i/>
          <w:iCs/>
        </w:rPr>
        <w:t xml:space="preserve">structural</w:t>
      </w:r>
      <w:r>
        <w:rPr>
          <w:rFonts w:ascii="Palatino Linotype" w:cs="Palatino Linotype" w:eastAsia="Palatino Linotype" w:hAnsi="Palatino Linotype"/>
        </w:rPr>
        <w:t xml:space="preserve">, if Δ</w:t>
      </w:r>
      <w:r>
        <w:rPr>
          <w:rFonts w:ascii="Palatino Linotype" w:cs="Palatino Linotype" w:eastAsia="Palatino Linotype" w:hAnsi="Palatino Linotype"/>
          <w:vertAlign w:val="subscript"/>
        </w:rPr>
        <w:t xml:space="preserve">decl</w:t>
      </w:r>
      <w:r>
        <w:rPr>
          <w:rFonts w:ascii="Palatino Linotype" w:cs="Palatino Linotype" w:eastAsia="Palatino Linotype" w:hAnsi="Palatino Linotype"/>
        </w:rPr>
        <w:t xml:space="preserve"> ≠ ∅ ∧ ρ</w:t>
      </w:r>
      <w:r>
        <w:rPr>
          <w:rFonts w:ascii="Palatino Linotype" w:cs="Palatino Linotype" w:eastAsia="Palatino Linotype" w:hAnsi="Palatino Linotype"/>
          <w:vertAlign w:val="subscript"/>
        </w:rPr>
        <w:t xml:space="preserve">e</w:t>
      </w:r>
      <w:r>
        <w:rPr>
          <w:rFonts w:ascii="Palatino Linotype" w:cs="Palatino Linotype" w:eastAsia="Palatino Linotype" w:hAnsi="Palatino Linotype"/>
        </w:rPr>
        <w:t xml:space="preserve"> = ρ</w:t>
      </w:r>
      <w:r>
        <w:rPr>
          <w:rFonts w:ascii="Palatino Linotype" w:cs="Palatino Linotype" w:eastAsia="Palatino Linotype" w:hAnsi="Palatino Linotype"/>
          <w:vertAlign w:val="subscript"/>
        </w:rPr>
        <w:t xml:space="preserve">Go</w:t>
      </w:r>
      <w:r>
        <w:rPr>
          <w:rFonts w:ascii="Palatino Linotype" w:cs="Palatino Linotype" w:eastAsia="Palatino Linotype" w:hAnsi="Palatino Linotype"/>
        </w:rPr>
        <w:t xml:space="preserve">;</w:t>
      </w:r>
      <w:r>
        <w:rPr>
          <w:rFonts w:ascii="Palatino Linotype" w:cs="Palatino Linotype" w:eastAsia="Palatino Linotype" w:hAnsi="Palatino Linotype"/>
        </w:rPr>
        <w:t xml:space="preserve">	(3)</w:t>
      </w:r>
    </w:p>
    <w:p>
      <w:pPr>
        <w:keepNext w:val="false"/>
        <w:tabs>
          <w:tab w:val="right" w:pos="9638"/>
        </w:tabs>
        <w:spacing w:after="0"/>
        <w:ind w:left="1700"/>
      </w:pPr>
      <w:r>
        <w:rPr>
          <w:rFonts w:ascii="Palatino Linotype" w:cs="Palatino Linotype" w:eastAsia="Palatino Linotype" w:hAnsi="Palatino Linotype"/>
        </w:rPr>
        <w:t xml:space="preserve">class(</w:t>
      </w:r>
      <w:r>
        <w:rPr>
          <w:rFonts w:ascii="Palatino Linotype" w:cs="Palatino Linotype" w:eastAsia="Palatino Linotype" w:hAnsi="Palatino Linotype"/>
          <w:i/>
          <w:iCs/>
        </w:rPr>
        <w:t xml:space="preserve">T</w:t>
      </w:r>
      <w:r>
        <w:rPr>
          <w:rFonts w:ascii="Palatino Linotype" w:cs="Palatino Linotype" w:eastAsia="Palatino Linotype" w:hAnsi="Palatino Linotype"/>
          <w:vertAlign w:val="subscript"/>
        </w:rPr>
        <w:t xml:space="preserve">e</w:t>
      </w:r>
      <w:r>
        <w:rPr>
          <w:rFonts w:ascii="Palatino Linotype" w:cs="Palatino Linotype" w:eastAsia="Palatino Linotype" w:hAnsi="Palatino Linotype"/>
        </w:rPr>
        <w:t xml:space="preserve">) = </w:t>
      </w:r>
      <w:r>
        <w:rPr>
          <w:rFonts w:ascii="Palatino Linotype" w:cs="Palatino Linotype" w:eastAsia="Palatino Linotype" w:hAnsi="Palatino Linotype"/>
          <w:i/>
          <w:iCs/>
        </w:rPr>
        <w:t xml:space="preserve">representational</w:t>
      </w:r>
      <w:r>
        <w:rPr>
          <w:rFonts w:ascii="Palatino Linotype" w:cs="Palatino Linotype" w:eastAsia="Palatino Linotype" w:hAnsi="Palatino Linotype"/>
        </w:rPr>
        <w:t xml:space="preserve">, if ρ</w:t>
      </w:r>
      <w:r>
        <w:rPr>
          <w:rFonts w:ascii="Palatino Linotype" w:cs="Palatino Linotype" w:eastAsia="Palatino Linotype" w:hAnsi="Palatino Linotype"/>
          <w:vertAlign w:val="subscript"/>
        </w:rPr>
        <w:t xml:space="preserve">e</w:t>
      </w:r>
      <w:r>
        <w:rPr>
          <w:rFonts w:ascii="Palatino Linotype" w:cs="Palatino Linotype" w:eastAsia="Palatino Linotype" w:hAnsi="Palatino Linotype"/>
        </w:rPr>
        <w:t xml:space="preserve"> ≠ ρ</w:t>
      </w:r>
      <w:r>
        <w:rPr>
          <w:rFonts w:ascii="Palatino Linotype" w:cs="Palatino Linotype" w:eastAsia="Palatino Linotype" w:hAnsi="Palatino Linotype"/>
          <w:vertAlign w:val="subscript"/>
        </w:rPr>
        <w:t xml:space="preserve">Go</w:t>
      </w:r>
      <w:r>
        <w:rPr>
          <w:rFonts w:ascii="Palatino Linotype" w:cs="Palatino Linotype" w:eastAsia="Palatino Linotype" w:hAnsi="Palatino Linotype"/>
        </w:rPr>
        <w:t xml:space="preserve">,</w:t>
      </w:r>
    </w:p>
    <w:p>
      <w:pPr>
        <w:spacing w:after="0" w:line="240"/>
        <w:jc w:val="both"/>
      </w:pPr>
      <w:r>
        <w:rPr>
          <w:rFonts w:ascii="Palatino Linotype" w:cs="Palatino Linotype" w:eastAsia="Palatino Linotype" w:hAnsi="Palatino Linotype"/>
        </w:rPr>
        <w:t xml:space="preserve">where Δ</w:t>
      </w:r>
      <w:r>
        <w:rPr>
          <w:rFonts w:ascii="Palatino Linotype" w:cs="Palatino Linotype" w:eastAsia="Palatino Linotype" w:hAnsi="Palatino Linotype"/>
          <w:vertAlign w:val="subscript"/>
        </w:rPr>
        <w:t xml:space="preserve">decl</w:t>
      </w:r>
      <w:r>
        <w:rPr>
          <w:rFonts w:ascii="Palatino Linotype" w:cs="Palatino Linotype" w:eastAsia="Palatino Linotype" w:hAnsi="Palatino Linotype"/>
        </w:rPr>
        <w:t xml:space="preserve"> is the set of top-level declarations introduced by the transformation and ρ</w:t>
      </w:r>
      <w:r>
        <w:rPr>
          <w:rFonts w:ascii="Palatino Linotype" w:cs="Palatino Linotype" w:eastAsia="Palatino Linotype" w:hAnsi="Palatino Linotype"/>
          <w:vertAlign w:val="subscript"/>
        </w:rPr>
        <w:t xml:space="preserve">Go</w:t>
      </w:r>
      <w:r>
        <w:rPr>
          <w:rFonts w:ascii="Palatino Linotype" w:cs="Palatino Linotype" w:eastAsia="Palatino Linotype" w:hAnsi="Palatino Linotype"/>
        </w:rPr>
        <w:t xml:space="preserve"> is the identity mapping of Go types. </w:t>
      </w:r>
      <w:r>
        <w:rPr>
          <w:rFonts w:ascii="Palatino Linotype" w:cs="Palatino Linotype" w:eastAsia="Palatino Linotype" w:hAnsi="Palatino Linotype"/>
          <w:i/>
          <w:iCs/>
        </w:rPr>
        <w:t xml:space="preserve">Syntactic</w:t>
      </w:r>
      <w:r>
        <w:rPr>
          <w:rFonts w:ascii="Palatino Linotype" w:cs="Palatino Linotype" w:eastAsia="Palatino Linotype" w:hAnsi="Palatino Linotype"/>
        </w:rPr>
        <w:t xml:space="preserve"> transformations rewrite expressions and calls locally; the result contains only constructs that a Go programmer could have written by hand at the same place. </w:t>
      </w:r>
      <w:r>
        <w:rPr>
          <w:rFonts w:ascii="Palatino Linotype" w:cs="Palatino Linotype" w:eastAsia="Palatino Linotype" w:hAnsi="Palatino Linotype"/>
          <w:i/>
          <w:iCs/>
        </w:rPr>
        <w:t xml:space="preserve">Structural</w:t>
      </w:r>
      <w:r>
        <w:rPr>
          <w:rFonts w:ascii="Palatino Linotype" w:cs="Palatino Linotype" w:eastAsia="Palatino Linotype" w:hAnsi="Palatino Linotype"/>
        </w:rPr>
        <w:t xml:space="preserve"> transformations introduce new functions or types, change the control-flow structure or need inferred types to produce valid Go, but leave the representation of values unchanged. </w:t>
      </w:r>
      <w:r>
        <w:rPr>
          <w:rFonts w:ascii="Palatino Linotype" w:cs="Palatino Linotype" w:eastAsia="Palatino Linotype" w:hAnsi="Palatino Linotype"/>
          <w:i/>
          <w:iCs/>
        </w:rPr>
        <w:t xml:space="preserve">Representational</w:t>
      </w:r>
      <w:r>
        <w:rPr>
          <w:rFonts w:ascii="Palatino Linotype" w:cs="Palatino Linotype" w:eastAsia="Palatino Linotype" w:hAnsi="Palatino Linotype"/>
        </w:rPr>
        <w:t xml:space="preserve"> transformations change how values of a source type are laid out in memory; they therefore interact with allocation, copying, equality and garbage collection, and they carry the highest risk of overhead and of subtle errors. The classification is ordered: a later class subsumes the requirements of the earlier ones.</w:t>
      </w:r>
    </w:p>
    <w:p>
      <w:pPr>
        <w:keepNext/>
        <w:spacing w:after="0" w:line="240"/>
        <w:ind w:firstLine="425"/>
        <w:jc w:val="both"/>
      </w:pPr>
      <w:r>
        <w:rPr>
          <w:rFonts w:ascii="Palatino Linotype" w:cs="Palatino Linotype" w:eastAsia="Palatino Linotype" w:hAnsi="Palatino Linotype"/>
        </w:rPr>
        <w:t xml:space="preserve">For representational transformations of variant (sum) types, one invariant is essential in a garbage-collected host. Let </w:t>
      </w:r>
      <w:r>
        <w:rPr>
          <w:rFonts w:ascii="Palatino Linotype" w:cs="Palatino Linotype" w:eastAsia="Palatino Linotype" w:hAnsi="Palatino Linotype"/>
          <w:i/>
          <w:iCs/>
        </w:rPr>
        <w:t xml:space="preserve">V</w:t>
      </w:r>
      <w:r>
        <w:rPr>
          <w:rFonts w:ascii="Palatino Linotype" w:cs="Palatino Linotype" w:eastAsia="Palatino Linotype" w:hAnsi="Palatino Linotype"/>
        </w:rPr>
        <w:t xml:space="preserve"> be the set of variants of an enum, let fields(</w:t>
      </w:r>
      <w:r>
        <w:rPr>
          <w:rFonts w:ascii="Palatino Linotype" w:cs="Palatino Linotype" w:eastAsia="Palatino Linotype" w:hAnsi="Palatino Linotype"/>
          <w:i/>
          <w:iCs/>
        </w:rPr>
        <w:t xml:space="preserve">v</w:t>
      </w:r>
      <w:r>
        <w:rPr>
          <w:rFonts w:ascii="Palatino Linotype" w:cs="Palatino Linotype" w:eastAsia="Palatino Linotype" w:hAnsi="Palatino Linotype"/>
        </w:rPr>
        <w:t xml:space="preserve">) be the payload fields of variant </w:t>
      </w:r>
      <w:r>
        <w:rPr>
          <w:rFonts w:ascii="Palatino Linotype" w:cs="Palatino Linotype" w:eastAsia="Palatino Linotype" w:hAnsi="Palatino Linotype"/>
          <w:i/>
          <w:iCs/>
        </w:rPr>
        <w:t xml:space="preserve">v</w:t>
      </w:r>
      <w:r>
        <w:rPr>
          <w:rFonts w:ascii="Palatino Linotype" w:cs="Palatino Linotype" w:eastAsia="Palatino Linotype" w:hAnsi="Palatino Linotype"/>
        </w:rPr>
        <w:t xml:space="preserve"> and let </w:t>
      </w:r>
      <w:r>
        <w:rPr>
          <w:rFonts w:ascii="Palatino Linotype" w:cs="Palatino Linotype" w:eastAsia="Palatino Linotype" w:hAnsi="Palatino Linotype"/>
          <w:i/>
          <w:iCs/>
        </w:rPr>
        <w:t xml:space="preserve">P</w:t>
      </w:r>
      <w:r>
        <w:rPr>
          <w:rFonts w:ascii="Palatino Linotype" w:cs="Palatino Linotype" w:eastAsia="Palatino Linotype" w:hAnsi="Palatino Linotype"/>
          <w:vertAlign w:val="subscript"/>
        </w:rPr>
        <w:t xml:space="preserve">R</w:t>
      </w:r>
      <w:r>
        <w:rPr>
          <w:rFonts w:ascii="Palatino Linotype" w:cs="Palatino Linotype" w:eastAsia="Palatino Linotype" w:hAnsi="Palatino Linotype"/>
        </w:rPr>
        <w:t xml:space="preserve"> be the set of slots of representation </w:t>
      </w:r>
      <w:r>
        <w:rPr>
          <w:rFonts w:ascii="Palatino Linotype" w:cs="Palatino Linotype" w:eastAsia="Palatino Linotype" w:hAnsi="Palatino Linotype"/>
          <w:i/>
          <w:iCs/>
        </w:rPr>
        <w:t xml:space="preserve">R</w:t>
      </w:r>
      <w:r>
        <w:rPr>
          <w:rFonts w:ascii="Palatino Linotype" w:cs="Palatino Linotype" w:eastAsia="Palatino Linotype" w:hAnsi="Palatino Linotype"/>
        </w:rPr>
        <w:t xml:space="preserve"> that the collector scans as pointers. Then </w:t>
      </w:r>
      <w:r>
        <w:rPr>
          <w:rFonts w:ascii="Palatino Linotype" w:cs="Palatino Linotype" w:eastAsia="Palatino Linotype" w:hAnsi="Palatino Linotype"/>
          <w:i/>
          <w:iCs/>
        </w:rPr>
        <w:t xml:space="preserve">R</w:t>
      </w:r>
      <w:r>
        <w:rPr>
          <w:rFonts w:ascii="Palatino Linotype" w:cs="Palatino Linotype" w:eastAsia="Palatino Linotype" w:hAnsi="Palatino Linotype"/>
        </w:rPr>
        <w:t xml:space="preserve"> is admissible only if</w:t>
      </w:r>
    </w:p>
    <w:p>
      <w:pPr>
        <w:tabs>
          <w:tab w:val="center" w:pos="4819"/>
          <w:tab w:val="right" w:pos="9638"/>
        </w:tabs>
        <w:spacing w:after="60" w:before="60"/>
        <w:jc w:val="left"/>
      </w:pPr>
      <w:r>
        <w:rPr>
          <w:rFonts w:ascii="Palatino Linotype" w:cs="Palatino Linotype" w:eastAsia="Palatino Linotype" w:hAnsi="Palatino Linotype"/>
        </w:rPr>
        <w:t xml:space="preserve">	</w:t>
      </w:r>
      <w:r>
        <w:drawing>
          <wp:inline distT="0" distB="0" distL="0" distR="0">
            <wp:extent cx="3114675"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14675" cy="266700"/>
                    </a:xfrm>
                    <a:prstGeom prst="rect">
                      <a:avLst/>
                    </a:prstGeom>
                  </pic:spPr>
                </pic:pic>
              </a:graphicData>
            </a:graphic>
          </wp:inline>
        </w:drawing>
      </w:r>
      <w:r>
        <w:rPr>
          <w:rFonts w:ascii="Palatino Linotype" w:cs="Palatino Linotype" w:eastAsia="Palatino Linotype" w:hAnsi="Palatino Linotype"/>
        </w:rPr>
        <w:t xml:space="preserve">	(4)</w:t>
      </w:r>
    </w:p>
    <w:p>
      <w:pPr>
        <w:spacing w:after="0" w:line="240"/>
        <w:jc w:val="both"/>
      </w:pPr>
      <w:r>
        <w:rPr>
          <w:rFonts w:ascii="Palatino Linotype" w:cs="Palatino Linotype" w:eastAsia="Palatino Linotype" w:hAnsi="Palatino Linotype"/>
        </w:rPr>
        <w:t xml:space="preserve">where ptr(τ</w:t>
      </w:r>
      <w:r>
        <w:rPr>
          <w:rFonts w:ascii="Palatino Linotype" w:cs="Palatino Linotype" w:eastAsia="Palatino Linotype" w:hAnsi="Palatino Linotype"/>
          <w:vertAlign w:val="subscript"/>
        </w:rPr>
        <w:t xml:space="preserve">f</w:t>
      </w:r>
      <w:r>
        <w:rPr>
          <w:rFonts w:ascii="Palatino Linotype" w:cs="Palatino Linotype" w:eastAsia="Palatino Linotype" w:hAnsi="Palatino Linotype"/>
        </w:rPr>
        <w:t xml:space="preserve">) holds when the Go type of </w:t>
      </w:r>
      <w:r>
        <w:rPr>
          <w:rFonts w:ascii="Palatino Linotype" w:cs="Palatino Linotype" w:eastAsia="Palatino Linotype" w:hAnsi="Palatino Linotype"/>
          <w:i/>
          <w:iCs/>
        </w:rPr>
        <w:t xml:space="preserve">f</w:t>
      </w:r>
      <w:r>
        <w:rPr>
          <w:rFonts w:ascii="Palatino Linotype" w:cs="Palatino Linotype" w:eastAsia="Palatino Linotype" w:hAnsi="Palatino Linotype"/>
        </w:rPr>
        <w:t xml:space="preserve"> contains pointers. In Go, the collector is precise: it relies on per-type pointer maps and does not treat integers as potential references, and the language documentation states explicitly that a </w:t>
      </w:r>
      <w:r>
        <w:rPr>
          <w:rFonts w:ascii="Courier New" w:cs="Courier New" w:eastAsia="Courier New" w:hAnsi="Courier New"/>
          <w:sz w:val="18"/>
          <w:szCs w:val="18"/>
        </w:rPr>
        <w:t xml:space="preserve">uintptr</w:t>
      </w:r>
      <w:r>
        <w:rPr>
          <w:rFonts w:ascii="Palatino Linotype" w:cs="Palatino Linotype" w:eastAsia="Palatino Linotype" w:hAnsi="Palatino Linotype"/>
        </w:rPr>
        <w:t xml:space="preserve"> value does not keep an object alive [34–36]. A layout that overlaps the payloads of different variants in a shared integer buffer therefore violates (4) whenever any variant carries a pointer. Section 3.5 tests this invariant experimentally.</w:t>
      </w:r>
    </w:p>
    <w:p>
      <w:pPr>
        <w:keepNext/>
        <w:spacing w:after="40" w:before="120"/>
      </w:pPr>
      <w:r>
        <w:rPr>
          <w:rFonts w:ascii="Palatino Linotype" w:cs="Palatino Linotype" w:eastAsia="Palatino Linotype" w:hAnsi="Palatino Linotype"/>
          <w:i/>
          <w:iCs/>
          <w:sz w:val="20"/>
          <w:szCs w:val="20"/>
        </w:rPr>
        <w:t xml:space="preserve">2.4. Transpiler Architecture</w:t>
      </w:r>
    </w:p>
    <w:p>
      <w:pPr>
        <w:spacing w:after="0" w:line="240"/>
        <w:ind w:firstLine="425"/>
        <w:jc w:val="both"/>
      </w:pPr>
      <w:r>
        <w:rPr>
          <w:rFonts w:ascii="Palatino Linotype" w:cs="Palatino Linotype" w:eastAsia="Palatino Linotype" w:hAnsi="Palatino Linotype"/>
        </w:rPr>
        <w:t xml:space="preserve">The GoNext transpiler is organized as a six-stage pipeline (Figure 1). Its central design rule is that every stage either produces information required by a later stage or removes extension constructs; everything that the Go toolchain can check by itself is delegated to it.</w:t>
      </w:r>
    </w:p>
    <w:p>
      <w:pPr>
        <w:keepNext/>
        <w:spacing w:before="12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62275"/>
                    </a:xfrm>
                    <a:prstGeom prst="rect">
                      <a:avLst/>
                    </a:prstGeom>
                  </pic:spPr>
                </pic:pic>
              </a:graphicData>
            </a:graphic>
          </wp:inline>
        </w:drawing>
      </w:r>
    </w:p>
    <w:p>
      <w:pPr>
        <w:spacing w:after="80" w:before="120"/>
        <w:jc w:val="both"/>
      </w:pPr>
      <w:r>
        <w:rPr>
          <w:rFonts w:ascii="Palatino Linotype" w:cs="Palatino Linotype" w:eastAsia="Palatino Linotype" w:hAnsi="Palatino Linotype"/>
          <w:b/>
          <w:bCs/>
          <w:sz w:val="18"/>
          <w:szCs w:val="18"/>
        </w:rPr>
        <w:t xml:space="preserve">Figure 1. </w:t>
      </w:r>
      <w:r>
        <w:rPr>
          <w:rFonts w:ascii="Palatino Linotype" w:cs="Palatino Linotype" w:eastAsia="Palatino Linotype" w:hAnsi="Palatino Linotype"/>
          <w:sz w:val="18"/>
          <w:szCs w:val="18"/>
        </w:rPr>
        <w:t xml:space="preserve">Architecture of the GoNext transpiler. Stages S1–S6 run inside the transpiler; the output consists of ordinary Go source files that are compiled, analyzed and packaged by the unmodified Go toolchain. Dashed arrows show information that flows back: types of imported Go packages are read during semantic analysis, and compiler diagnostics refer to GoNext source lines through </w:t>
      </w:r>
      <w:r>
        <w:rPr>
          <w:rFonts w:ascii="Courier New" w:cs="Courier New" w:eastAsia="Courier New" w:hAnsi="Courier New"/>
          <w:sz w:val="16"/>
          <w:szCs w:val="16"/>
        </w:rPr>
        <w:t xml:space="preserve">//line</w:t>
      </w:r>
      <w:r>
        <w:rPr>
          <w:rFonts w:ascii="Palatino Linotype" w:cs="Palatino Linotype" w:eastAsia="Palatino Linotype" w:hAnsi="Palatino Linotype"/>
          <w:sz w:val="18"/>
          <w:szCs w:val="18"/>
        </w:rPr>
        <w:t xml:space="preserve"> directives.</w:t>
      </w:r>
    </w:p>
    <w:p>
      <w:pPr>
        <w:spacing w:after="0" w:line="240"/>
        <w:ind w:firstLine="425"/>
        <w:jc w:val="both"/>
      </w:pPr>
      <w:r>
        <w:rPr>
          <w:rFonts w:ascii="Palatino Linotype" w:cs="Palatino Linotype" w:eastAsia="Palatino Linotype" w:hAnsi="Palatino Linotype"/>
          <w:b/>
          <w:bCs/>
        </w:rPr>
        <w:t xml:space="preserve">S1. Parsing.</w:t>
      </w:r>
      <w:r>
        <w:rPr>
          <w:rFonts w:ascii="Palatino Linotype" w:cs="Palatino Linotype" w:eastAsia="Palatino Linotype" w:hAnsi="Palatino Linotype"/>
        </w:rPr>
        <w:t xml:space="preserve"> The GoNext grammar is a superset of the Go grammar. The parser accepts every valid Go file unchanged and adds productions for enum declarations,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expressions, named and default arguments, extension declarations, generic methods and short anonymous functions.</w:t>
      </w:r>
    </w:p>
    <w:p>
      <w:pPr>
        <w:spacing w:after="0" w:line="240"/>
        <w:ind w:firstLine="425"/>
        <w:jc w:val="both"/>
      </w:pPr>
      <w:r>
        <w:rPr>
          <w:rFonts w:ascii="Palatino Linotype" w:cs="Palatino Linotype" w:eastAsia="Palatino Linotype" w:hAnsi="Palatino Linotype"/>
          <w:b/>
          <w:bCs/>
        </w:rPr>
        <w:t xml:space="preserve">S2. Internal abstract syntax tree (IAST).</w:t>
      </w:r>
      <w:r>
        <w:rPr>
          <w:rFonts w:ascii="Palatino Linotype" w:cs="Palatino Linotype" w:eastAsia="Palatino Linotype" w:hAnsi="Palatino Linotype"/>
        </w:rPr>
        <w:t xml:space="preserve"> The IAST reuses the node structure of the Go syntax tree and adds node kinds for the extension constructs. Every node keeps its source position, which is later converted into line directives.</w:t>
      </w:r>
    </w:p>
    <w:p>
      <w:pPr>
        <w:spacing w:after="0" w:line="240"/>
        <w:ind w:firstLine="425"/>
        <w:jc w:val="both"/>
      </w:pPr>
      <w:r>
        <w:rPr>
          <w:rFonts w:ascii="Palatino Linotype" w:cs="Palatino Linotype" w:eastAsia="Palatino Linotype" w:hAnsi="Palatino Linotype"/>
          <w:b/>
          <w:bCs/>
        </w:rPr>
        <w:t xml:space="preserve">S3. Partial semantic analysis.</w:t>
      </w:r>
      <w:r>
        <w:rPr>
          <w:rFonts w:ascii="Palatino Linotype" w:cs="Palatino Linotype" w:eastAsia="Palatino Linotype" w:hAnsi="Palatino Linotype"/>
        </w:rPr>
        <w:t xml:space="preserve"> The transpiler does not reimplement the Go type checker. It resolves names, collects the declarations that extensions depend on (enum variants, extension methods, parameter lists with default values, generic method signatures) and infers types only where lowering needs them: the receiver type of an extension or uniform function call syntax (UFCS) call, the expected function type of a short anonymous function, and the static type of a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scrutinee. Types of imported Go packages are obtained with the standard </w:t>
      </w:r>
      <w:r>
        <w:rPr>
          <w:rFonts w:ascii="Courier New" w:cs="Courier New" w:eastAsia="Courier New" w:hAnsi="Courier New"/>
          <w:sz w:val="18"/>
          <w:szCs w:val="18"/>
        </w:rPr>
        <w:t xml:space="preserve">go/types</w:t>
      </w:r>
      <w:r>
        <w:rPr>
          <w:rFonts w:ascii="Palatino Linotype" w:cs="Palatino Linotype" w:eastAsia="Palatino Linotype" w:hAnsi="Palatino Linotype"/>
        </w:rPr>
        <w:t xml:space="preserve"> machinery [37]. Exhaustiveness of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over enum variants is also checked at this stage, because the information is lost after lowering.</w:t>
      </w:r>
    </w:p>
    <w:p>
      <w:pPr>
        <w:spacing w:after="0" w:line="240"/>
        <w:ind w:firstLine="425"/>
        <w:jc w:val="both"/>
      </w:pPr>
      <w:r>
        <w:rPr>
          <w:rFonts w:ascii="Palatino Linotype" w:cs="Palatino Linotype" w:eastAsia="Palatino Linotype" w:hAnsi="Palatino Linotype"/>
          <w:b/>
          <w:bCs/>
        </w:rPr>
        <w:t xml:space="preserve">S4. Normalization.</w:t>
      </w:r>
      <w:r>
        <w:rPr>
          <w:rFonts w:ascii="Palatino Linotype" w:cs="Palatino Linotype" w:eastAsia="Palatino Linotype" w:hAnsi="Palatino Linotype"/>
        </w:rPr>
        <w:t xml:space="preserve"> Extension constructs are rewritten into a small core: UFCS calls and extension method calls become plain calls, argument lists are reordered and completed with default values, short anonymous functions receive explicit parameter and result types, and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is compiled into a decision tree [38] that uses only switch statements, comparisons and variable bindings. Where reordering arguments could change the order of side effects, temporaries are introduced so that Go evaluates the arguments in source order.</w:t>
      </w:r>
    </w:p>
    <w:p>
      <w:pPr>
        <w:spacing w:after="0" w:line="240"/>
        <w:ind w:firstLine="425"/>
        <w:jc w:val="both"/>
      </w:pPr>
      <w:r>
        <w:rPr>
          <w:rFonts w:ascii="Palatino Linotype" w:cs="Palatino Linotype" w:eastAsia="Palatino Linotype" w:hAnsi="Palatino Linotype"/>
          <w:b/>
          <w:bCs/>
        </w:rPr>
        <w:t xml:space="preserve">S5. Lowering.</w:t>
      </w:r>
      <w:r>
        <w:rPr>
          <w:rFonts w:ascii="Palatino Linotype" w:cs="Palatino Linotype" w:eastAsia="Palatino Linotype" w:hAnsi="Palatino Linotype"/>
        </w:rPr>
        <w:t xml:space="preserve"> The normalized IAST is translated into nodes of the standard </w:t>
      </w:r>
      <w:r>
        <w:rPr>
          <w:rFonts w:ascii="Courier New" w:cs="Courier New" w:eastAsia="Courier New" w:hAnsi="Courier New"/>
          <w:sz w:val="18"/>
          <w:szCs w:val="18"/>
        </w:rPr>
        <w:t xml:space="preserve">go/ast</w:t>
      </w:r>
      <w:r>
        <w:rPr>
          <w:rFonts w:ascii="Palatino Linotype" w:cs="Palatino Linotype" w:eastAsia="Palatino Linotype" w:hAnsi="Palatino Linotype"/>
        </w:rPr>
        <w:t xml:space="preserve"> package [37]. Representational extensions are lowered here: each enum receives a Go type, constructor functions and tag constants according to the selected representation (Section 3.3.3). A </w:t>
      </w:r>
      <w:r>
        <w:rPr>
          <w:rFonts w:ascii="Courier New" w:cs="Courier New" w:eastAsia="Courier New" w:hAnsi="Courier New"/>
          <w:sz w:val="18"/>
          <w:szCs w:val="18"/>
        </w:rPr>
        <w:t xml:space="preserve">//line</w:t>
      </w:r>
      <w:r>
        <w:rPr>
          <w:rFonts w:ascii="Palatino Linotype" w:cs="Palatino Linotype" w:eastAsia="Palatino Linotype" w:hAnsi="Palatino Linotype"/>
        </w:rPr>
        <w:t xml:space="preserve"> directive is emitted for each lowered construct so that compiler errors, panics and stack traces refer to the GoNext source [39].</w:t>
      </w:r>
    </w:p>
    <w:p>
      <w:pPr>
        <w:spacing w:after="0" w:line="240"/>
        <w:ind w:firstLine="425"/>
        <w:jc w:val="both"/>
      </w:pPr>
      <w:r>
        <w:rPr>
          <w:rFonts w:ascii="Palatino Linotype" w:cs="Palatino Linotype" w:eastAsia="Palatino Linotype" w:hAnsi="Palatino Linotype"/>
          <w:b/>
          <w:bCs/>
        </w:rPr>
        <w:t xml:space="preserve">S6. Emission.</w:t>
      </w:r>
      <w:r>
        <w:rPr>
          <w:rFonts w:ascii="Palatino Linotype" w:cs="Palatino Linotype" w:eastAsia="Palatino Linotype" w:hAnsi="Palatino Linotype"/>
        </w:rPr>
        <w:t xml:space="preserve"> The </w:t>
      </w:r>
      <w:r>
        <w:rPr>
          <w:rFonts w:ascii="Courier New" w:cs="Courier New" w:eastAsia="Courier New" w:hAnsi="Courier New"/>
          <w:sz w:val="18"/>
          <w:szCs w:val="18"/>
        </w:rPr>
        <w:t xml:space="preserve">go/ast</w:t>
      </w:r>
      <w:r>
        <w:rPr>
          <w:rFonts w:ascii="Palatino Linotype" w:cs="Palatino Linotype" w:eastAsia="Palatino Linotype" w:hAnsi="Palatino Linotype"/>
        </w:rPr>
        <w:t xml:space="preserve"> tree is printed with </w:t>
      </w:r>
      <w:r>
        <w:rPr>
          <w:rFonts w:ascii="Courier New" w:cs="Courier New" w:eastAsia="Courier New" w:hAnsi="Courier New"/>
          <w:sz w:val="18"/>
          <w:szCs w:val="18"/>
        </w:rPr>
        <w:t xml:space="preserve">go/printer</w:t>
      </w:r>
      <w:r>
        <w:rPr>
          <w:rFonts w:ascii="Palatino Linotype" w:cs="Palatino Linotype" w:eastAsia="Palatino Linotype" w:hAnsi="Palatino Linotype"/>
        </w:rPr>
        <w:t xml:space="preserve"> and normalized with </w:t>
      </w:r>
      <w:r>
        <w:rPr>
          <w:rFonts w:ascii="Courier New" w:cs="Courier New" w:eastAsia="Courier New" w:hAnsi="Courier New"/>
          <w:sz w:val="18"/>
          <w:szCs w:val="18"/>
        </w:rPr>
        <w:t xml:space="preserve">go/format</w:t>
      </w:r>
      <w:r>
        <w:rPr>
          <w:rFonts w:ascii="Palatino Linotype" w:cs="Palatino Linotype" w:eastAsia="Palatino Linotype" w:hAnsi="Palatino Linotype"/>
        </w:rPr>
        <w:t xml:space="preserve">. The resulting files are ordinary Go sources; they are compiled by </w:t>
      </w:r>
      <w:r>
        <w:rPr>
          <w:rFonts w:ascii="Courier New" w:cs="Courier New" w:eastAsia="Courier New" w:hAnsi="Courier New"/>
          <w:sz w:val="18"/>
          <w:szCs w:val="18"/>
        </w:rPr>
        <w:t xml:space="preserve">go build</w:t>
      </w:r>
      <w:r>
        <w:rPr>
          <w:rFonts w:ascii="Palatino Linotype" w:cs="Palatino Linotype" w:eastAsia="Palatino Linotype" w:hAnsi="Palatino Linotype"/>
        </w:rPr>
        <w:t xml:space="preserve">, tested by </w:t>
      </w:r>
      <w:r>
        <w:rPr>
          <w:rFonts w:ascii="Courier New" w:cs="Courier New" w:eastAsia="Courier New" w:hAnsi="Courier New"/>
          <w:sz w:val="18"/>
          <w:szCs w:val="18"/>
        </w:rPr>
        <w:t xml:space="preserve">go test</w:t>
      </w:r>
      <w:r>
        <w:rPr>
          <w:rFonts w:ascii="Palatino Linotype" w:cs="Palatino Linotype" w:eastAsia="Palatino Linotype" w:hAnsi="Palatino Linotype"/>
        </w:rPr>
        <w:t xml:space="preserve"> and analyzed by </w:t>
      </w:r>
      <w:r>
        <w:rPr>
          <w:rFonts w:ascii="Courier New" w:cs="Courier New" w:eastAsia="Courier New" w:hAnsi="Courier New"/>
          <w:sz w:val="18"/>
          <w:szCs w:val="18"/>
        </w:rPr>
        <w:t xml:space="preserve">go vet</w:t>
      </w:r>
      <w:r>
        <w:rPr>
          <w:rFonts w:ascii="Palatino Linotype" w:cs="Palatino Linotype" w:eastAsia="Palatino Linotype" w:hAnsi="Palatino Linotype"/>
        </w:rPr>
        <w:t xml:space="preserve"> and the language server </w:t>
      </w:r>
      <w:r>
        <w:rPr>
          <w:rFonts w:ascii="Courier New" w:cs="Courier New" w:eastAsia="Courier New" w:hAnsi="Courier New"/>
          <w:sz w:val="18"/>
          <w:szCs w:val="18"/>
        </w:rPr>
        <w:t xml:space="preserve">gopls</w:t>
      </w:r>
      <w:r>
        <w:rPr>
          <w:rFonts w:ascii="Palatino Linotype" w:cs="Palatino Linotype" w:eastAsia="Palatino Linotype" w:hAnsi="Palatino Linotype"/>
        </w:rPr>
        <w:t xml:space="preserve"> [40]. Because the output is a Go package, GoNext and Go files can coexist in one module, and existing Go code can call code written in GoNext without any binding layer. The generation step can be wired into </w:t>
      </w:r>
      <w:r>
        <w:rPr>
          <w:rFonts w:ascii="Courier New" w:cs="Courier New" w:eastAsia="Courier New" w:hAnsi="Courier New"/>
          <w:sz w:val="18"/>
          <w:szCs w:val="18"/>
        </w:rPr>
        <w:t xml:space="preserve">go generate</w:t>
      </w:r>
      <w:r>
        <w:rPr>
          <w:rFonts w:ascii="Palatino Linotype" w:cs="Palatino Linotype" w:eastAsia="Palatino Linotype" w:hAnsi="Palatino Linotype"/>
        </w:rPr>
        <w:t xml:space="preserve">, so that a project using GoNext is built with the standard commands.</w:t>
      </w:r>
    </w:p>
    <w:p>
      <w:pPr>
        <w:spacing w:after="0" w:line="240"/>
        <w:ind w:firstLine="425"/>
        <w:jc w:val="both"/>
      </w:pPr>
      <w:r>
        <w:rPr>
          <w:rFonts w:ascii="Palatino Linotype" w:cs="Palatino Linotype" w:eastAsia="Palatino Linotype" w:hAnsi="Palatino Linotype"/>
        </w:rPr>
        <w:t xml:space="preserve">The design has two consequences. First, the correctness obligations of the transpiler are limited to preserving the semantics of the extension constructs; type safety of the rest of the program is established by the Go compiler on the generated code. Second, the transpiler depends only on the public, stable surface of the Go toolchain: its grammar, the </w:t>
      </w:r>
      <w:r>
        <w:rPr>
          <w:rFonts w:ascii="Courier New" w:cs="Courier New" w:eastAsia="Courier New" w:hAnsi="Courier New"/>
          <w:sz w:val="18"/>
          <w:szCs w:val="18"/>
        </w:rPr>
        <w:t xml:space="preserve">go/ast</w:t>
      </w:r>
      <w:r>
        <w:rPr>
          <w:rFonts w:ascii="Palatino Linotype" w:cs="Palatino Linotype" w:eastAsia="Palatino Linotype" w:hAnsi="Palatino Linotype"/>
        </w:rPr>
        <w:t xml:space="preserve"> API and the line-directive convention.</w:t>
      </w:r>
    </w:p>
    <w:p>
      <w:pPr>
        <w:keepNext/>
        <w:spacing w:after="40" w:before="120"/>
      </w:pPr>
      <w:r>
        <w:rPr>
          <w:rFonts w:ascii="Palatino Linotype" w:cs="Palatino Linotype" w:eastAsia="Palatino Linotype" w:hAnsi="Palatino Linotype"/>
          <w:i/>
          <w:iCs/>
          <w:sz w:val="20"/>
          <w:szCs w:val="20"/>
        </w:rPr>
        <w:t xml:space="preserve">2.5. Language Extensions of the GoNext Dialect</w:t>
      </w:r>
    </w:p>
    <w:p>
      <w:pPr>
        <w:spacing w:after="0" w:line="240"/>
        <w:ind w:firstLine="425"/>
        <w:jc w:val="both"/>
      </w:pPr>
      <w:r>
        <w:rPr>
          <w:rFonts w:ascii="Palatino Linotype" w:cs="Palatino Linotype" w:eastAsia="Palatino Linotype" w:hAnsi="Palatino Linotype"/>
        </w:rPr>
        <w:t xml:space="preserve">GoNext adds eight extensions to Go: (i) enum types whose variants carry associated data; (ii) pattern matching with a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construct that can be used as an expression; (iii) named arguments; (iv) default parameter values; (v) extension methods declared outside the package of the receiver type; (vi) generic methods, that is, methods with their own type parameters; (vii) short anonymous functions of the form </w:t>
      </w:r>
      <w:r>
        <w:rPr>
          <w:rFonts w:ascii="Courier New" w:cs="Courier New" w:eastAsia="Courier New" w:hAnsi="Courier New"/>
          <w:sz w:val="18"/>
          <w:szCs w:val="18"/>
        </w:rPr>
        <w:t xml:space="preserve">x =&gt; expr</w:t>
      </w:r>
      <w:r>
        <w:rPr>
          <w:rFonts w:ascii="Palatino Linotype" w:cs="Palatino Linotype" w:eastAsia="Palatino Linotype" w:hAnsi="Palatino Linotype"/>
        </w:rPr>
        <w:t xml:space="preserve">; and (viii) uniform function call syntax, which allows </w:t>
      </w:r>
      <w:r>
        <w:rPr>
          <w:rFonts w:ascii="Courier New" w:cs="Courier New" w:eastAsia="Courier New" w:hAnsi="Courier New"/>
          <w:sz w:val="18"/>
          <w:szCs w:val="18"/>
        </w:rPr>
        <w:t xml:space="preserve">f(a, b)</w:t>
      </w:r>
      <w:r>
        <w:rPr>
          <w:rFonts w:ascii="Palatino Linotype" w:cs="Palatino Linotype" w:eastAsia="Palatino Linotype" w:hAnsi="Palatino Linotype"/>
        </w:rPr>
        <w:t xml:space="preserve"> to be written as </w:t>
      </w:r>
      <w:r>
        <w:rPr>
          <w:rFonts w:ascii="Courier New" w:cs="Courier New" w:eastAsia="Courier New" w:hAnsi="Courier New"/>
          <w:sz w:val="18"/>
          <w:szCs w:val="18"/>
        </w:rPr>
        <w:t xml:space="preserve">a.f(b)</w:t>
      </w:r>
      <w:r>
        <w:rPr>
          <w:rFonts w:ascii="Palatino Linotype" w:cs="Palatino Linotype" w:eastAsia="Palatino Linotype" w:hAnsi="Palatino Linotype"/>
        </w:rPr>
        <w:t xml:space="preserve">. The listings of this article use the concrete syntax of GoNext version 1.0.0; the language reference is part of the software project (Section 2.7). Every extension is designed so that a program that does not use it is a valid Go program with unchanged meaning.</w:t>
      </w:r>
    </w:p>
    <w:p>
      <w:pPr>
        <w:keepNext/>
        <w:spacing w:after="40" w:before="120"/>
      </w:pPr>
      <w:r>
        <w:rPr>
          <w:rFonts w:ascii="Palatino Linotype" w:cs="Palatino Linotype" w:eastAsia="Palatino Linotype" w:hAnsi="Palatino Linotype"/>
          <w:i/>
          <w:iCs/>
          <w:sz w:val="20"/>
          <w:szCs w:val="20"/>
        </w:rPr>
        <w:t xml:space="preserve">2.6. Experimental Setup for the Analysis of Generated Code</w:t>
      </w:r>
    </w:p>
    <w:p>
      <w:pPr>
        <w:spacing w:after="0" w:line="240"/>
        <w:ind w:firstLine="425"/>
        <w:jc w:val="both"/>
      </w:pPr>
      <w:r>
        <w:rPr>
          <w:rFonts w:ascii="Palatino Linotype" w:cs="Palatino Linotype" w:eastAsia="Palatino Linotype" w:hAnsi="Palatino Linotype"/>
        </w:rPr>
        <w:t xml:space="preserve">The lowering schemes of Section 3.3 were reproduced as stand-alone Go packages and examined in four micro-experiments. All lowered listings shown in this article are compiled and checked with </w:t>
      </w:r>
      <w:r>
        <w:rPr>
          <w:rFonts w:ascii="Courier New" w:cs="Courier New" w:eastAsia="Courier New" w:hAnsi="Courier New"/>
          <w:sz w:val="18"/>
          <w:szCs w:val="18"/>
        </w:rPr>
        <w:t xml:space="preserve">go vet</w:t>
      </w:r>
      <w:r>
        <w:rPr>
          <w:rFonts w:ascii="Palatino Linotype" w:cs="Palatino Linotype" w:eastAsia="Palatino Linotype" w:hAnsi="Palatino Linotype"/>
        </w:rPr>
        <w:t xml:space="preserve"> as part of the reproducibility package, and every experiment includes an equivalence test that verifies that the compared variants compute identical results.</w:t>
      </w:r>
    </w:p>
    <w:p>
      <w:pPr>
        <w:spacing w:after="0" w:line="240"/>
        <w:ind w:firstLine="425"/>
        <w:jc w:val="both"/>
      </w:pPr>
      <w:r>
        <w:rPr>
          <w:rFonts w:ascii="Palatino Linotype" w:cs="Palatino Linotype" w:eastAsia="Palatino Linotype" w:hAnsi="Palatino Linotype"/>
          <w:i/>
          <w:iCs/>
        </w:rPr>
        <w:t xml:space="preserve">Experiment 1 (enum representations).</w:t>
      </w:r>
      <w:r>
        <w:rPr>
          <w:rFonts w:ascii="Palatino Linotype" w:cs="Palatino Linotype" w:eastAsia="Palatino Linotype" w:hAnsi="Palatino Linotype"/>
        </w:rPr>
        <w:t xml:space="preserve"> The enum </w:t>
      </w:r>
      <w:r>
        <w:rPr>
          <w:rFonts w:ascii="Courier New" w:cs="Courier New" w:eastAsia="Courier New" w:hAnsi="Courier New"/>
          <w:sz w:val="18"/>
          <w:szCs w:val="18"/>
        </w:rPr>
        <w:t xml:space="preserve">Shape</w:t>
      </w:r>
      <w:r>
        <w:rPr>
          <w:rFonts w:ascii="Palatino Linotype" w:cs="Palatino Linotype" w:eastAsia="Palatino Linotype" w:hAnsi="Palatino Linotype"/>
        </w:rPr>
        <w:t xml:space="preserve"> with four variants (</w:t>
      </w:r>
      <w:r>
        <w:rPr>
          <w:rFonts w:ascii="Courier New" w:cs="Courier New" w:eastAsia="Courier New" w:hAnsi="Courier New"/>
          <w:sz w:val="18"/>
          <w:szCs w:val="18"/>
        </w:rPr>
        <w:t xml:space="preserve">Circle</w:t>
      </w:r>
      <w:r>
        <w:rPr>
          <w:rFonts w:ascii="Palatino Linotype" w:cs="Palatino Linotype" w:eastAsia="Palatino Linotype" w:hAnsi="Palatino Linotype"/>
        </w:rPr>
        <w:t xml:space="preserve">, </w:t>
      </w:r>
      <w:r>
        <w:rPr>
          <w:rFonts w:ascii="Courier New" w:cs="Courier New" w:eastAsia="Courier New" w:hAnsi="Courier New"/>
          <w:sz w:val="18"/>
          <w:szCs w:val="18"/>
        </w:rPr>
        <w:t xml:space="preserve">Rect</w:t>
      </w:r>
      <w:r>
        <w:rPr>
          <w:rFonts w:ascii="Palatino Linotype" w:cs="Palatino Linotype" w:eastAsia="Palatino Linotype" w:hAnsi="Palatino Linotype"/>
        </w:rPr>
        <w:t xml:space="preserve">, </w:t>
      </w:r>
      <w:r>
        <w:rPr>
          <w:rFonts w:ascii="Courier New" w:cs="Courier New" w:eastAsia="Courier New" w:hAnsi="Courier New"/>
          <w:sz w:val="18"/>
          <w:szCs w:val="18"/>
        </w:rPr>
        <w:t xml:space="preserve">Triangle</w:t>
      </w:r>
      <w:r>
        <w:rPr>
          <w:rFonts w:ascii="Palatino Linotype" w:cs="Palatino Linotype" w:eastAsia="Palatino Linotype" w:hAnsi="Palatino Linotype"/>
        </w:rPr>
        <w:t xml:space="preserve"> and </w:t>
      </w:r>
      <w:r>
        <w:rPr>
          <w:rFonts w:ascii="Courier New" w:cs="Courier New" w:eastAsia="Courier New" w:hAnsi="Courier New"/>
          <w:sz w:val="18"/>
          <w:szCs w:val="18"/>
        </w:rPr>
        <w:t xml:space="preserve">Text</w:t>
      </w:r>
      <w:r>
        <w:rPr>
          <w:rFonts w:ascii="Palatino Linotype" w:cs="Palatino Linotype" w:eastAsia="Palatino Linotype" w:hAnsi="Palatino Linotype"/>
        </w:rPr>
        <w:t xml:space="preserve">, the last one carrying a string) was lowered in three ways: R1, a sealed interface with one struct type per variant; R2, a flat tagged struct that contains the union of all variant fields; and R3, a compact tagged struct with three shared scalar words, one pointer slot of type </w:t>
      </w:r>
      <w:r>
        <w:rPr>
          <w:rFonts w:ascii="Courier New" w:cs="Courier New" w:eastAsia="Courier New" w:hAnsi="Courier New"/>
          <w:sz w:val="18"/>
          <w:szCs w:val="18"/>
        </w:rPr>
        <w:t xml:space="preserve">unsafe.Pointer</w:t>
      </w:r>
      <w:r>
        <w:rPr>
          <w:rFonts w:ascii="Palatino Linotype" w:cs="Palatino Linotype" w:eastAsia="Palatino Linotype" w:hAnsi="Palatino Linotype"/>
        </w:rPr>
        <w:t xml:space="preserve"> and a length word. A workload of 65,536 values with uniformly distributed variants was generated with a fixed seed (42). We measured the time to construct the values into a preallocated slice, the time of an exhaustive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that computes a measure of every value, the number of heap allocations, and the memory per value.</w:t>
      </w:r>
    </w:p>
    <w:p>
      <w:pPr>
        <w:spacing w:after="0" w:line="240"/>
        <w:ind w:firstLine="425"/>
        <w:jc w:val="both"/>
      </w:pPr>
      <w:r>
        <w:rPr>
          <w:rFonts w:ascii="Palatino Linotype" w:cs="Palatino Linotype" w:eastAsia="Palatino Linotype" w:hAnsi="Palatino Linotype"/>
          <w:i/>
          <w:iCs/>
        </w:rPr>
        <w:t xml:space="preserve">Experiment 2 (named and default arguments).</w:t>
      </w:r>
      <w:r>
        <w:rPr>
          <w:rFonts w:ascii="Palatino Linotype" w:cs="Palatino Linotype" w:eastAsia="Palatino Linotype" w:hAnsi="Palatino Linotype"/>
        </w:rPr>
        <w:t xml:space="preserve"> The lowering of a call with one named argument and two omitted defaulted parameters was compared with the two idioms that Go developers use for the same purpose: a configuration struct with zero-value defaults and the functional-options pattern. The callee was marked </w:t>
      </w:r>
      <w:r>
        <w:rPr>
          <w:rFonts w:ascii="Courier New" w:cs="Courier New" w:eastAsia="Courier New" w:hAnsi="Courier New"/>
          <w:sz w:val="18"/>
          <w:szCs w:val="18"/>
        </w:rPr>
        <w:t xml:space="preserve">//go:noinline</w:t>
      </w:r>
      <w:r>
        <w:rPr>
          <w:rFonts w:ascii="Palatino Linotype" w:cs="Palatino Linotype" w:eastAsia="Palatino Linotype" w:hAnsi="Palatino Linotype"/>
        </w:rPr>
        <w:t xml:space="preserve"> in all variants so that the comparison concerns the call itself.</w:t>
      </w:r>
    </w:p>
    <w:p>
      <w:pPr>
        <w:spacing w:after="0" w:line="240"/>
        <w:ind w:firstLine="425"/>
        <w:jc w:val="both"/>
      </w:pPr>
      <w:r>
        <w:rPr>
          <w:rFonts w:ascii="Palatino Linotype" w:cs="Palatino Linotype" w:eastAsia="Palatino Linotype" w:hAnsi="Palatino Linotype"/>
          <w:i/>
          <w:iCs/>
        </w:rPr>
        <w:t xml:space="preserve">Experiment 3 (generic method and short anonymous function; extension method).</w:t>
      </w:r>
      <w:r>
        <w:rPr>
          <w:rFonts w:ascii="Palatino Linotype" w:cs="Palatino Linotype" w:eastAsia="Palatino Linotype" w:hAnsi="Palatino Linotype"/>
        </w:rPr>
        <w:t xml:space="preserve"> The lowering of </w:t>
      </w:r>
      <w:r>
        <w:rPr>
          <w:rFonts w:ascii="Courier New" w:cs="Courier New" w:eastAsia="Courier New" w:hAnsi="Courier New"/>
          <w:sz w:val="18"/>
          <w:szCs w:val="18"/>
        </w:rPr>
        <w:t xml:space="preserve">xs.map(x =&gt; x * 2)</w:t>
      </w:r>
      <w:r>
        <w:rPr>
          <w:rFonts w:ascii="Palatino Linotype" w:cs="Palatino Linotype" w:eastAsia="Palatino Linotype" w:hAnsi="Palatino Linotype"/>
        </w:rPr>
        <w:t xml:space="preserve"> on a 4096-element generic list and of an extension method </w:t>
      </w:r>
      <w:r>
        <w:rPr>
          <w:rFonts w:ascii="Courier New" w:cs="Courier New" w:eastAsia="Courier New" w:hAnsi="Courier New"/>
          <w:sz w:val="18"/>
          <w:szCs w:val="18"/>
        </w:rPr>
        <w:t xml:space="preserve">xs.sum()</w:t>
      </w:r>
      <w:r>
        <w:rPr>
          <w:rFonts w:ascii="Palatino Linotype" w:cs="Palatino Linotype" w:eastAsia="Palatino Linotype" w:hAnsi="Palatino Linotype"/>
        </w:rPr>
        <w:t xml:space="preserve"> were compared with hand-written loops.</w:t>
      </w:r>
    </w:p>
    <w:p>
      <w:pPr>
        <w:spacing w:after="0" w:line="240"/>
        <w:ind w:firstLine="425"/>
        <w:jc w:val="both"/>
      </w:pPr>
      <w:r>
        <w:rPr>
          <w:rFonts w:ascii="Palatino Linotype" w:cs="Palatino Linotype" w:eastAsia="Palatino Linotype" w:hAnsi="Palatino Linotype"/>
          <w:i/>
          <w:iCs/>
        </w:rPr>
        <w:t xml:space="preserve">Experiment 4 (pointer visibility).</w:t>
      </w:r>
      <w:r>
        <w:rPr>
          <w:rFonts w:ascii="Palatino Linotype" w:cs="Palatino Linotype" w:eastAsia="Palatino Linotype" w:hAnsi="Palatino Linotype"/>
        </w:rPr>
        <w:t xml:space="preserve"> An enum variant </w:t>
      </w:r>
      <w:r>
        <w:rPr>
          <w:rFonts w:ascii="Courier New" w:cs="Courier New" w:eastAsia="Courier New" w:hAnsi="Courier New"/>
          <w:sz w:val="18"/>
          <w:szCs w:val="18"/>
        </w:rPr>
        <w:t xml:space="preserve">Ref(node *Node)</w:t>
      </w:r>
      <w:r>
        <w:rPr>
          <w:rFonts w:ascii="Palatino Linotype" w:cs="Palatino Linotype" w:eastAsia="Palatino Linotype" w:hAnsi="Palatino Linotype"/>
        </w:rPr>
        <w:t xml:space="preserve"> was stored in three ways: in an </w:t>
      </w:r>
      <w:r>
        <w:rPr>
          <w:rFonts w:ascii="Courier New" w:cs="Courier New" w:eastAsia="Courier New" w:hAnsi="Courier New"/>
          <w:sz w:val="18"/>
          <w:szCs w:val="18"/>
        </w:rPr>
        <w:t xml:space="preserve">unsafe.Pointer</w:t>
      </w:r>
      <w:r>
        <w:rPr>
          <w:rFonts w:ascii="Palatino Linotype" w:cs="Palatino Linotype" w:eastAsia="Palatino Linotype" w:hAnsi="Palatino Linotype"/>
        </w:rPr>
        <w:t xml:space="preserve"> slot (GC-visible), as a boxed interface value (GC-visible) and in a </w:t>
      </w:r>
      <w:r>
        <w:rPr>
          <w:rFonts w:ascii="Courier New" w:cs="Courier New" w:eastAsia="Courier New" w:hAnsi="Courier New"/>
          <w:sz w:val="18"/>
          <w:szCs w:val="18"/>
        </w:rPr>
        <w:t xml:space="preserve">uintptr</w:t>
      </w:r>
      <w:r>
        <w:rPr>
          <w:rFonts w:ascii="Palatino Linotype" w:cs="Palatino Linotype" w:eastAsia="Palatino Linotype" w:hAnsi="Palatino Linotype"/>
        </w:rPr>
        <w:t xml:space="preserve"> word (invisible to the collector). Each trial created 10,000 nodes with finalizers, kept them reachable only through the enum values, forced five garbage-collection cycles and counted how many nodes were finalized while the enum values were still alive. Ten trials were run for each storage mode.</w:t>
      </w:r>
    </w:p>
    <w:p>
      <w:pPr>
        <w:spacing w:after="0" w:line="240"/>
        <w:ind w:firstLine="425"/>
        <w:jc w:val="both"/>
      </w:pPr>
      <w:r>
        <w:rPr>
          <w:rFonts w:ascii="Palatino Linotype" w:cs="Palatino Linotype" w:eastAsia="Palatino Linotype" w:hAnsi="Palatino Linotype"/>
        </w:rPr>
        <w:t xml:space="preserve">Experiments 1–3 used the standard Go benchmark harness with </w:t>
      </w:r>
      <w:r>
        <w:rPr>
          <w:rFonts w:ascii="Courier New" w:cs="Courier New" w:eastAsia="Courier New" w:hAnsi="Courier New"/>
          <w:sz w:val="18"/>
          <w:szCs w:val="18"/>
        </w:rPr>
        <w:t xml:space="preserve">-benchmem</w:t>
      </w:r>
      <w:r>
        <w:rPr>
          <w:rFonts w:ascii="Palatino Linotype" w:cs="Palatino Linotype" w:eastAsia="Palatino Linotype" w:hAnsi="Palatino Linotype"/>
        </w:rPr>
        <w:t xml:space="preserve"> and ten repetitions per benchmark (</w:t>
      </w:r>
      <w:r>
        <w:rPr>
          <w:rFonts w:ascii="Courier New" w:cs="Courier New" w:eastAsia="Courier New" w:hAnsi="Courier New"/>
          <w:sz w:val="18"/>
          <w:szCs w:val="18"/>
        </w:rPr>
        <w:t xml:space="preserve">-count 10</w:t>
      </w:r>
      <w:r>
        <w:rPr>
          <w:rFonts w:ascii="Palatino Linotype" w:cs="Palatino Linotype" w:eastAsia="Palatino Linotype" w:hAnsi="Palatino Linotype"/>
        </w:rPr>
        <w:t xml:space="preserve">); the median and the interquartile range (IQR) are reported, following recommendations for rigorous benchmarking [41,42]. The environment is summarized in Table 2.</w:t>
      </w:r>
    </w:p>
    <w:p>
      <w:pPr>
        <w:keepNext/>
        <w:spacing w:after="80" w:before="120"/>
        <w:jc w:val="both"/>
      </w:pPr>
      <w:r>
        <w:rPr>
          <w:rFonts w:ascii="Palatino Linotype" w:cs="Palatino Linotype" w:eastAsia="Palatino Linotype" w:hAnsi="Palatino Linotype"/>
          <w:b/>
          <w:bCs/>
          <w:sz w:val="18"/>
          <w:szCs w:val="18"/>
        </w:rPr>
        <w:t xml:space="preserve">Table 2. </w:t>
      </w:r>
      <w:r>
        <w:rPr>
          <w:rFonts w:ascii="Palatino Linotype" w:cs="Palatino Linotype" w:eastAsia="Palatino Linotype" w:hAnsi="Palatino Linotype"/>
          <w:sz w:val="18"/>
          <w:szCs w:val="18"/>
        </w:rPr>
        <w:t xml:space="preserve">Experimental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Component</w:t>
            </w:r>
          </w:p>
        </w:tc>
        <w:tc>
          <w:tcPr>
            <w:tcW w:type="dxa" w:w="7038"/>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Specification</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Processor</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Intel Xeon Processor @ 2.10 GHz, 4 virtual CPUs; benchmarks run with GOMAXPROCS = 2</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Memory</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15.7 GiB</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Operating system</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Linux, kernel 6.18 (x86-64), virtualized cloud instance</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Go toolchain</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go1.24.7 linux/amd64, default compiler flags, default GOGC</w:t>
            </w:r>
          </w:p>
        </w:tc>
      </w:tr>
      <w:tr>
        <w:trPr>
          <w:cantSplit/>
        </w:trPr>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Benchmark protocol</w:t>
            </w:r>
          </w:p>
        </w:tc>
        <w:tc>
          <w:tcPr>
            <w:tcW w:type="dxa" w:w="70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go test -p 1 -bench . -benchmem -count 10</w:t>
            </w:r>
            <w:r>
              <w:rPr>
                <w:rFonts w:ascii="Palatino Linotype" w:cs="Palatino Linotype" w:eastAsia="Palatino Linotype" w:hAnsi="Palatino Linotype"/>
                <w:b w:val="false"/>
                <w:bCs w:val="false"/>
                <w:sz w:val="17"/>
                <w:szCs w:val="17"/>
              </w:rPr>
              <w:t xml:space="preserve">; median and IQR</w:t>
            </w:r>
          </w:p>
        </w:tc>
      </w:tr>
      <w:tr>
        <w:trPr>
          <w:cantSplit/>
        </w:trPr>
        <w:tc>
          <w:tcPr>
            <w:tcW w:type="dxa" w:w="26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Analysis and figures</w:t>
            </w:r>
          </w:p>
        </w:tc>
        <w:tc>
          <w:tcPr>
            <w:tcW w:type="dxa" w:w="7038"/>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Python 3, NumPy, Matplotlib; fixed seeds (42 for workloads, 2026 for weight sampling)</w:t>
            </w:r>
          </w:p>
        </w:tc>
      </w:tr>
    </w:tbl>
    <w:p>
      <w:pPr>
        <w:spacing w:after="60"/>
      </w:pPr>
    </w:p>
    <w:p>
      <w:pPr>
        <w:keepNext/>
        <w:spacing w:after="40" w:before="120"/>
      </w:pPr>
      <w:r>
        <w:rPr>
          <w:rFonts w:ascii="Palatino Linotype" w:cs="Palatino Linotype" w:eastAsia="Palatino Linotype" w:hAnsi="Palatino Linotype"/>
          <w:i/>
          <w:iCs/>
          <w:sz w:val="20"/>
          <w:szCs w:val="20"/>
        </w:rPr>
        <w:t xml:space="preserve">2.7. The GoNext Software Project and Reproducibility Package</w:t>
      </w:r>
    </w:p>
    <w:p>
      <w:pPr>
        <w:spacing w:after="0" w:line="240"/>
        <w:ind w:firstLine="425"/>
        <w:jc w:val="both"/>
      </w:pPr>
      <w:r>
        <w:rPr>
          <w:rFonts w:ascii="Palatino Linotype" w:cs="Palatino Linotype" w:eastAsia="Palatino Linotype" w:hAnsi="Palatino Linotype"/>
        </w:rPr>
        <w:t xml:space="preserve">Beyond the feasibility study, GoNext is developed as an open-source software project whose structure follows the pipeline of Figure 1. The project makes the transpiler usable by other researchers and practitioners, keeps its behavior verifiable as the language evolves, and gives every released version a persistent, citable identifier. Table 3 lists the components of the repository in version 1.0.0.</w:t>
      </w:r>
    </w:p>
    <w:p>
      <w:pPr>
        <w:keepNext/>
        <w:spacing w:after="80" w:before="120"/>
        <w:jc w:val="both"/>
      </w:pPr>
      <w:r>
        <w:rPr>
          <w:rFonts w:ascii="Palatino Linotype" w:cs="Palatino Linotype" w:eastAsia="Palatino Linotype" w:hAnsi="Palatino Linotype"/>
          <w:b/>
          <w:bCs/>
          <w:sz w:val="18"/>
          <w:szCs w:val="18"/>
        </w:rPr>
        <w:t xml:space="preserve">Table 3. </w:t>
      </w:r>
      <w:r>
        <w:rPr>
          <w:rFonts w:ascii="Palatino Linotype" w:cs="Palatino Linotype" w:eastAsia="Palatino Linotype" w:hAnsi="Palatino Linotype"/>
          <w:sz w:val="18"/>
          <w:szCs w:val="18"/>
        </w:rPr>
        <w:t xml:space="preserve">Structure of the GoNext software project (version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Path</w:t>
            </w:r>
          </w:p>
        </w:tc>
        <w:tc>
          <w:tcPr>
            <w:tcW w:type="dxa" w:w="7238"/>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Responsibility</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cmd/gonext</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Command-line tool: </w:t>
            </w:r>
            <w:r>
              <w:rPr>
                <w:rFonts w:ascii="Courier New" w:cs="Courier New" w:eastAsia="Courier New" w:hAnsi="Courier New"/>
                <w:sz w:val="15"/>
                <w:szCs w:val="15"/>
              </w:rPr>
              <w:t xml:space="preserve">translate</w:t>
            </w:r>
            <w:r>
              <w:rPr>
                <w:rFonts w:ascii="Palatino Linotype" w:cs="Palatino Linotype" w:eastAsia="Palatino Linotype" w:hAnsi="Palatino Linotype"/>
                <w:b w:val="false"/>
                <w:bCs w:val="false"/>
                <w:sz w:val="17"/>
                <w:szCs w:val="17"/>
              </w:rPr>
              <w:t xml:space="preserve">, </w:t>
            </w:r>
            <w:r>
              <w:rPr>
                <w:rFonts w:ascii="Courier New" w:cs="Courier New" w:eastAsia="Courier New" w:hAnsi="Courier New"/>
                <w:sz w:val="15"/>
                <w:szCs w:val="15"/>
              </w:rPr>
              <w:t xml:space="preserve">build</w:t>
            </w:r>
            <w:r>
              <w:rPr>
                <w:rFonts w:ascii="Palatino Linotype" w:cs="Palatino Linotype" w:eastAsia="Palatino Linotype" w:hAnsi="Palatino Linotype"/>
                <w:b w:val="false"/>
                <w:bCs w:val="false"/>
                <w:sz w:val="17"/>
                <w:szCs w:val="17"/>
              </w:rPr>
              <w:t xml:space="preserve">, </w:t>
            </w:r>
            <w:r>
              <w:rPr>
                <w:rFonts w:ascii="Courier New" w:cs="Courier New" w:eastAsia="Courier New" w:hAnsi="Courier New"/>
                <w:sz w:val="15"/>
                <w:szCs w:val="15"/>
              </w:rPr>
              <w:t xml:space="preserve">test</w:t>
            </w:r>
            <w:r>
              <w:rPr>
                <w:rFonts w:ascii="Palatino Linotype" w:cs="Palatino Linotype" w:eastAsia="Palatino Linotype" w:hAnsi="Palatino Linotype"/>
                <w:b w:val="false"/>
                <w:bCs w:val="false"/>
                <w:sz w:val="17"/>
                <w:szCs w:val="17"/>
              </w:rPr>
              <w:t xml:space="preserve">, </w:t>
            </w:r>
            <w:r>
              <w:rPr>
                <w:rFonts w:ascii="Courier New" w:cs="Courier New" w:eastAsia="Courier New" w:hAnsi="Courier New"/>
                <w:sz w:val="15"/>
                <w:szCs w:val="15"/>
              </w:rPr>
              <w:t xml:space="preserve">vet</w:t>
            </w:r>
            <w:r>
              <w:rPr>
                <w:rFonts w:ascii="Palatino Linotype" w:cs="Palatino Linotype" w:eastAsia="Palatino Linotype" w:hAnsi="Palatino Linotype"/>
                <w:b w:val="false"/>
                <w:bCs w:val="false"/>
                <w:sz w:val="17"/>
                <w:szCs w:val="17"/>
              </w:rPr>
              <w:t xml:space="preserve"> and </w:t>
            </w:r>
            <w:r>
              <w:rPr>
                <w:rFonts w:ascii="Courier New" w:cs="Courier New" w:eastAsia="Courier New" w:hAnsi="Courier New"/>
                <w:sz w:val="15"/>
                <w:szCs w:val="15"/>
              </w:rPr>
              <w:t xml:space="preserve">run</w:t>
            </w:r>
            <w:r>
              <w:rPr>
                <w:rFonts w:ascii="Palatino Linotype" w:cs="Palatino Linotype" w:eastAsia="Palatino Linotype" w:hAnsi="Palatino Linotype"/>
                <w:b w:val="false"/>
                <w:bCs w:val="false"/>
                <w:sz w:val="17"/>
                <w:szCs w:val="17"/>
              </w:rPr>
              <w:t xml:space="preserve"> wrappers around the Go toolchain; integration with </w:t>
            </w:r>
            <w:r>
              <w:rPr>
                <w:rFonts w:ascii="Courier New" w:cs="Courier New" w:eastAsia="Courier New" w:hAnsi="Courier New"/>
                <w:sz w:val="15"/>
                <w:szCs w:val="15"/>
              </w:rPr>
              <w:t xml:space="preserve">go generate</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internal/syntax</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Pre-parser for the GoNext productions on top of </w:t>
            </w:r>
            <w:r>
              <w:rPr>
                <w:rFonts w:ascii="Courier New" w:cs="Courier New" w:eastAsia="Courier New" w:hAnsi="Courier New"/>
                <w:sz w:val="15"/>
                <w:szCs w:val="15"/>
              </w:rPr>
              <w:t xml:space="preserve">go/scanner</w:t>
            </w:r>
            <w:r>
              <w:rPr>
                <w:rFonts w:ascii="Palatino Linotype" w:cs="Palatino Linotype" w:eastAsia="Palatino Linotype" w:hAnsi="Palatino Linotype"/>
                <w:b w:val="false"/>
                <w:bCs w:val="false"/>
                <w:sz w:val="17"/>
                <w:szCs w:val="17"/>
              </w:rPr>
              <w:t xml:space="preserve"> and </w:t>
            </w:r>
            <w:r>
              <w:rPr>
                <w:rFonts w:ascii="Courier New" w:cs="Courier New" w:eastAsia="Courier New" w:hAnsi="Courier New"/>
                <w:sz w:val="15"/>
                <w:szCs w:val="15"/>
              </w:rPr>
              <w:t xml:space="preserve">go/parser</w:t>
            </w:r>
            <w:r>
              <w:rPr>
                <w:rFonts w:ascii="Palatino Linotype" w:cs="Palatino Linotype" w:eastAsia="Palatino Linotype" w:hAnsi="Palatino Linotype"/>
                <w:b w:val="false"/>
                <w:bCs w:val="false"/>
                <w:sz w:val="17"/>
                <w:szCs w:val="17"/>
              </w:rPr>
              <w:t xml:space="preserve">; position map to GoNext sources (S1)</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internal/iast</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Internal abstract syntax tree with positions (S2)</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internal/sema</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Partial semantic analysis in </w:t>
            </w:r>
            <w:r>
              <w:rPr>
                <w:rFonts w:ascii="Courier New" w:cs="Courier New" w:eastAsia="Courier New" w:hAnsi="Courier New"/>
                <w:sz w:val="15"/>
                <w:szCs w:val="15"/>
              </w:rPr>
              <w:t xml:space="preserve">go/types</w:t>
            </w:r>
            <w:r>
              <w:rPr>
                <w:rFonts w:ascii="Palatino Linotype" w:cs="Palatino Linotype" w:eastAsia="Palatino Linotype" w:hAnsi="Palatino Linotype"/>
                <w:b w:val="false"/>
                <w:bCs w:val="false"/>
                <w:sz w:val="17"/>
                <w:szCs w:val="17"/>
              </w:rPr>
              <w:t xml:space="preserve"> rounds, exhaustiveness checking, contextual typing of short anonymous functions (S3)</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internal/normalize</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Named and default arguments, evaluation order, statement form of </w:t>
            </w:r>
            <w:r>
              <w:rPr>
                <w:rFonts w:ascii="Courier New" w:cs="Courier New" w:eastAsia="Courier New" w:hAnsi="Courier New"/>
                <w:sz w:val="15"/>
                <w:szCs w:val="15"/>
              </w:rPr>
              <w:t xml:space="preserve">match</w:t>
            </w:r>
            <w:r>
              <w:rPr>
                <w:rFonts w:ascii="Palatino Linotype" w:cs="Palatino Linotype" w:eastAsia="Palatino Linotype" w:hAnsi="Palatino Linotype"/>
                <w:b w:val="false"/>
                <w:bCs w:val="false"/>
                <w:sz w:val="17"/>
                <w:szCs w:val="17"/>
              </w:rPr>
              <w:t xml:space="preserve"> (S4)</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internal/lower</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Lowering to </w:t>
            </w:r>
            <w:r>
              <w:rPr>
                <w:rFonts w:ascii="Courier New" w:cs="Courier New" w:eastAsia="Courier New" w:hAnsi="Courier New"/>
                <w:sz w:val="15"/>
                <w:szCs w:val="15"/>
              </w:rPr>
              <w:t xml:space="preserve">go/ast</w:t>
            </w:r>
            <w:r>
              <w:rPr>
                <w:rFonts w:ascii="Palatino Linotype" w:cs="Palatino Linotype" w:eastAsia="Palatino Linotype" w:hAnsi="Palatino Linotype"/>
                <w:b w:val="false"/>
                <w:bCs w:val="false"/>
                <w:sz w:val="17"/>
                <w:szCs w:val="17"/>
              </w:rPr>
              <w:t xml:space="preserve">, enum representations and slot assignment, decision-tree compilation of </w:t>
            </w:r>
            <w:r>
              <w:rPr>
                <w:rFonts w:ascii="Courier New" w:cs="Courier New" w:eastAsia="Courier New" w:hAnsi="Courier New"/>
                <w:sz w:val="15"/>
                <w:szCs w:val="15"/>
              </w:rPr>
              <w:t xml:space="preserve">match</w:t>
            </w:r>
            <w:r>
              <w:rPr>
                <w:rFonts w:ascii="Palatino Linotype" w:cs="Palatino Linotype" w:eastAsia="Palatino Linotype" w:hAnsi="Palatino Linotype"/>
                <w:b w:val="false"/>
                <w:bCs w:val="false"/>
                <w:sz w:val="17"/>
                <w:szCs w:val="17"/>
              </w:rPr>
              <w:t xml:space="preserve"> (S5)</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internal/emit</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Printing, formatting and line directives of generated files (S6)</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internal/driver</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Pipeline over packages; golden, generated-code, diagnostics and differential tests</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gnrt</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Small run-time helper package in pure Go, without cgo, imported by generated code only when needed</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testdata</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Golden pairs of GoNext inputs and expected Go outputs; diagnostics tests; programs for differential tests</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examples</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Example programs, including a package that mixes Go and GoNext files</w:t>
            </w:r>
          </w:p>
        </w:tc>
      </w:tr>
      <w:tr>
        <w:trPr>
          <w:cantSplit/>
        </w:trPr>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bench</w:t>
            </w:r>
          </w:p>
        </w:tc>
        <w:tc>
          <w:tcPr>
            <w:tcW w:type="dxa" w:w="7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Micro-experiments of this article and future application-level benchmarks</w:t>
            </w:r>
          </w:p>
        </w:tc>
      </w:tr>
      <w:tr>
        <w:trPr>
          <w:cantSplit/>
        </w:trPr>
        <w:tc>
          <w:tcPr>
            <w:tcW w:type="dxa" w:w="24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docs</w:t>
            </w:r>
          </w:p>
        </w:tc>
        <w:tc>
          <w:tcPr>
            <w:tcW w:type="dxa" w:w="7238"/>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Language reference, lowering specification, migration guide for Go projects</w:t>
            </w:r>
          </w:p>
        </w:tc>
      </w:tr>
    </w:tbl>
    <w:p>
      <w:pPr>
        <w:spacing w:after="60"/>
      </w:pPr>
    </w:p>
    <w:p>
      <w:pPr>
        <w:spacing w:after="0" w:line="240"/>
        <w:ind w:firstLine="425"/>
        <w:jc w:val="both"/>
      </w:pPr>
      <w:r>
        <w:rPr>
          <w:rFonts w:ascii="Palatino Linotype" w:cs="Palatino Linotype" w:eastAsia="Palatino Linotype" w:hAnsi="Palatino Linotype"/>
        </w:rPr>
        <w:t xml:space="preserve">Each change to the repository passes four quality gates: (1) golden tests that compare generated code with reviewed expectations; (2) a check that every generated file is accepted by </w:t>
      </w:r>
      <w:r>
        <w:rPr>
          <w:rFonts w:ascii="Courier New" w:cs="Courier New" w:eastAsia="Courier New" w:hAnsi="Courier New"/>
          <w:sz w:val="18"/>
          <w:szCs w:val="18"/>
        </w:rPr>
        <w:t xml:space="preserve">gofmt</w:t>
      </w:r>
      <w:r>
        <w:rPr>
          <w:rFonts w:ascii="Palatino Linotype" w:cs="Palatino Linotype" w:eastAsia="Palatino Linotype" w:hAnsi="Palatino Linotype"/>
        </w:rPr>
        <w:t xml:space="preserve">, </w:t>
      </w:r>
      <w:r>
        <w:rPr>
          <w:rFonts w:ascii="Courier New" w:cs="Courier New" w:eastAsia="Courier New" w:hAnsi="Courier New"/>
          <w:sz w:val="18"/>
          <w:szCs w:val="18"/>
        </w:rPr>
        <w:t xml:space="preserve">go vet</w:t>
      </w:r>
      <w:r>
        <w:rPr>
          <w:rFonts w:ascii="Palatino Linotype" w:cs="Palatino Linotype" w:eastAsia="Palatino Linotype" w:hAnsi="Palatino Linotype"/>
        </w:rPr>
        <w:t xml:space="preserve"> and the Go type checker without warnings; (3) differential tests that run the same GoNext program under alternative lowering schemes, in the style of the equivalence tests of Section 2.6, and compare the results; and (4) a regression benchmark suite whose results are stored with each release. The generated code depends only on the Go standard library and, where unavoidable, on the </w:t>
      </w:r>
      <w:r>
        <w:rPr>
          <w:rFonts w:ascii="Courier New" w:cs="Courier New" w:eastAsia="Courier New" w:hAnsi="Courier New"/>
          <w:sz w:val="18"/>
          <w:szCs w:val="18"/>
        </w:rPr>
        <w:t xml:space="preserve">gnrt</w:t>
      </w:r>
      <w:r>
        <w:rPr>
          <w:rFonts w:ascii="Palatino Linotype" w:cs="Palatino Linotype" w:eastAsia="Palatino Linotype" w:hAnsi="Palatino Linotype"/>
        </w:rPr>
        <w:t xml:space="preserve"> package, so that users of GoNext do not acquire third-party dependencies.</w:t>
      </w:r>
    </w:p>
    <w:p>
      <w:pPr>
        <w:spacing w:after="0"/>
        <w:ind w:firstLine="425"/>
        <w:jc w:val="both"/>
      </w:pPr>
      <w:r>
        <w:rPr>
          <w:rFonts w:ascii="Palatino Linotype" w:cs="Palatino Linotype" w:eastAsia="Palatino Linotype" w:hAnsi="Palatino Linotype"/>
        </w:rPr>
        <w:t xml:space="preserve">Releases follow semantic versioning. Each released version is archived on Zenodo, which assigns a DOI to each version and a concept DOI to the project as a whole. The repository contains a </w:t>
      </w:r>
      <w:r>
        <w:rPr>
          <w:rFonts w:ascii="Courier New" w:cs="Courier New" w:eastAsia="Courier New" w:hAnsi="Courier New"/>
          <w:sz w:val="18"/>
          <w:szCs w:val="18"/>
        </w:rPr>
        <w:t xml:space="preserve">CITATION.cff</w:t>
      </w:r>
      <w:r>
        <w:rPr>
          <w:rFonts w:ascii="Palatino Linotype" w:cs="Palatino Linotype" w:eastAsia="Palatino Linotype" w:hAnsi="Palatino Linotype"/>
        </w:rPr>
        <w:t xml:space="preserve"> file and Zenodo metadata (</w:t>
      </w:r>
      <w:r>
        <w:rPr>
          <w:rFonts w:ascii="Courier New" w:cs="Courier New" w:eastAsia="Courier New" w:hAnsi="Courier New"/>
          <w:sz w:val="18"/>
          <w:szCs w:val="18"/>
        </w:rPr>
        <w:t xml:space="preserve">.zenodo.json</w:t>
      </w:r>
      <w:r>
        <w:rPr>
          <w:rFonts w:ascii="Palatino Linotype" w:cs="Palatino Linotype" w:eastAsia="Palatino Linotype" w:hAnsi="Palatino Linotype"/>
        </w:rPr>
        <w:t xml:space="preserve">) with authors, license (Apache License 2.0) and keywords. Version 1.0.0 of the software and of the reproducibility package used in this article is archived at </w:t>
      </w:r>
      <w:hyperlink w:history="1" r:id="rId-etjcoq1gcg2yk2rrwrrn">
        <w:r>
          <w:rPr>
            <w:rStyle w:val="Hyperlink"/>
            <w:rFonts w:ascii="Palatino Linotype" w:cs="Palatino Linotype" w:eastAsia="Palatino Linotype" w:hAnsi="Palatino Linotype"/>
          </w:rPr>
          <w:t xml:space="preserve">https://doi.org/10.5281/zenodo.23490820</w:t>
        </w:r>
      </w:hyperlink>
      <w:r>
        <w:rPr>
          <w:rFonts w:ascii="Palatino Linotype" w:cs="Palatino Linotype" w:eastAsia="Palatino Linotype" w:hAnsi="Palatino Linotype"/>
        </w:rPr>
        <w:t xml:space="preserve"> [43]. The archive contains the complete source code of the transpiler (Table 3), its test suites, the examples and the documentation (language reference, lowering specification and migration guide for Go projects), together with the reproducibility package described below.</w:t>
      </w:r>
    </w:p>
    <w:p>
      <w:pPr>
        <w:spacing w:after="0" w:line="240"/>
        <w:ind w:firstLine="425"/>
        <w:jc w:val="both"/>
      </w:pPr>
      <w:r>
        <w:rPr>
          <w:rFonts w:ascii="Palatino Linotype" w:cs="Palatino Linotype" w:eastAsia="Palatino Linotype" w:hAnsi="Palatino Linotype"/>
        </w:rPr>
        <w:t xml:space="preserve">The reproducibility package contains the Go packages of the four micro-experiments, the lowered listings, the criterion scores of Section 2.2 (</w:t>
      </w:r>
      <w:r>
        <w:rPr>
          <w:rFonts w:ascii="Courier New" w:cs="Courier New" w:eastAsia="Courier New" w:hAnsi="Courier New"/>
          <w:sz w:val="18"/>
          <w:szCs w:val="18"/>
        </w:rPr>
        <w:t xml:space="preserve">data/platform_scores.csv</w:t>
      </w:r>
      <w:r>
        <w:rPr>
          <w:rFonts w:ascii="Palatino Linotype" w:cs="Palatino Linotype" w:eastAsia="Palatino Linotype" w:hAnsi="Palatino Linotype"/>
        </w:rPr>
        <w:t xml:space="preserve">), the raw benchmark output and a description of the measurement environment (</w:t>
      </w:r>
      <w:r>
        <w:rPr>
          <w:rFonts w:ascii="Courier New" w:cs="Courier New" w:eastAsia="Courier New" w:hAnsi="Courier New"/>
          <w:sz w:val="18"/>
          <w:szCs w:val="18"/>
        </w:rPr>
        <w:t xml:space="preserve">results/raw</w:t>
      </w:r>
      <w:r>
        <w:rPr>
          <w:rFonts w:ascii="Palatino Linotype" w:cs="Palatino Linotype" w:eastAsia="Palatino Linotype" w:hAnsi="Palatino Linotype"/>
        </w:rPr>
        <w:t xml:space="preserve">), the scripts that compute all statistics reported in Section 3 and regenerate Figures 2 and 4, and a README with the exact commands; all results can be regenerated with a single command (</w:t>
      </w:r>
      <w:r>
        <w:rPr>
          <w:rFonts w:ascii="Courier New" w:cs="Courier New" w:eastAsia="Courier New" w:hAnsi="Courier New"/>
          <w:sz w:val="18"/>
          <w:szCs w:val="18"/>
        </w:rPr>
        <w:t xml:space="preserve">bash scripts/reproduce.sh</w:t>
      </w:r>
      <w:r>
        <w:rPr>
          <w:rFonts w:ascii="Palatino Linotype" w:cs="Palatino Linotype" w:eastAsia="Palatino Linotype" w:hAnsi="Palatino Linotype"/>
        </w:rPr>
        <w:t xml:space="preserve">). The development roadmap of the project is summarized in Table 4.</w:t>
      </w:r>
    </w:p>
    <w:p>
      <w:pPr>
        <w:keepNext/>
        <w:spacing w:after="80" w:before="120"/>
        <w:jc w:val="both"/>
      </w:pPr>
      <w:r>
        <w:rPr>
          <w:rFonts w:ascii="Palatino Linotype" w:cs="Palatino Linotype" w:eastAsia="Palatino Linotype" w:hAnsi="Palatino Linotype"/>
          <w:b/>
          <w:bCs/>
          <w:sz w:val="18"/>
          <w:szCs w:val="18"/>
        </w:rPr>
        <w:t xml:space="preserve">Table 4. </w:t>
      </w:r>
      <w:r>
        <w:rPr>
          <w:rFonts w:ascii="Palatino Linotype" w:cs="Palatino Linotype" w:eastAsia="Palatino Linotype" w:hAnsi="Palatino Linotype"/>
          <w:sz w:val="18"/>
          <w:szCs w:val="18"/>
        </w:rPr>
        <w:t xml:space="preserve">Development roadmap of the GoNext software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tblHeader/>
        </w:trPr>
        <w:tc>
          <w:tcPr>
            <w:tcW w:type="dxa" w:w="19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Milestone</w:t>
            </w:r>
          </w:p>
        </w:tc>
        <w:tc>
          <w:tcPr>
            <w:tcW w:type="dxa" w:w="43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Scope</w:t>
            </w:r>
          </w:p>
        </w:tc>
        <w:tc>
          <w:tcPr>
            <w:tcW w:type="dxa" w:w="3438"/>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Verifiable outcome</w:t>
            </w:r>
          </w:p>
        </w:tc>
      </w:tr>
      <w:tr>
        <w:trPr>
          <w:cantSplit/>
        </w:trPr>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M1 Core release</w:t>
            </w:r>
          </w:p>
        </w:tc>
        <w:tc>
          <w:tcPr>
            <w:tcW w:type="dxa" w:w="4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Stable grammar for the eight extensions; golden test suite; CLI; Zenodo archiving</w:t>
            </w:r>
          </w:p>
        </w:tc>
        <w:tc>
          <w:tcPr>
            <w:tcW w:type="dxa" w:w="3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Version 1.0.0 archived with DOI; all quality gates pass (achieved)</w:t>
            </w:r>
          </w:p>
        </w:tc>
      </w:tr>
      <w:tr>
        <w:trPr>
          <w:cantSplit/>
        </w:trPr>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M2 Tooling</w:t>
            </w:r>
          </w:p>
        </w:tc>
        <w:tc>
          <w:tcPr>
            <w:tcW w:type="dxa" w:w="4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Source-mapped diagnostics, editor support through generated sources and </w:t>
            </w:r>
            <w:r>
              <w:rPr>
                <w:rFonts w:ascii="Courier New" w:cs="Courier New" w:eastAsia="Courier New" w:hAnsi="Courier New"/>
                <w:sz w:val="15"/>
                <w:szCs w:val="15"/>
              </w:rPr>
              <w:t xml:space="preserve">gopls</w:t>
            </w:r>
          </w:p>
        </w:tc>
        <w:tc>
          <w:tcPr>
            <w:tcW w:type="dxa" w:w="3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Errors and stack traces reported at GoNext lines</w:t>
            </w:r>
          </w:p>
        </w:tc>
      </w:tr>
      <w:tr>
        <w:trPr>
          <w:cantSplit/>
        </w:trPr>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M3 Evaluation</w:t>
            </w:r>
          </w:p>
        </w:tc>
        <w:tc>
          <w:tcPr>
            <w:tcW w:type="dxa" w:w="4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Application-level benchmarks (services, configuration DSLs) against idiomatic Go</w:t>
            </w:r>
          </w:p>
        </w:tc>
        <w:tc>
          <w:tcPr>
            <w:tcW w:type="dxa" w:w="3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Published benchmark data with confidence intervals</w:t>
            </w:r>
          </w:p>
        </w:tc>
      </w:tr>
      <w:tr>
        <w:trPr>
          <w:cantSplit/>
        </w:trPr>
        <w:tc>
          <w:tcPr>
            <w:tcW w:type="dxa" w:w="19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M4 Adoption</w:t>
            </w:r>
          </w:p>
        </w:tc>
        <w:tc>
          <w:tcPr>
            <w:tcW w:type="dxa" w:w="43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Language reference, migration guide, incremental use in existing Go modules</w:t>
            </w:r>
          </w:p>
        </w:tc>
        <w:tc>
          <w:tcPr>
            <w:tcW w:type="dxa" w:w="3438"/>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Mixed GoNext/Go case studies</w:t>
            </w:r>
          </w:p>
        </w:tc>
      </w:tr>
    </w:tbl>
    <w:p>
      <w:pPr>
        <w:spacing w:after="60"/>
      </w:pPr>
    </w:p>
    <w:p>
      <w:pPr>
        <w:keepNext/>
        <w:spacing w:after="40" w:before="120"/>
      </w:pPr>
      <w:r>
        <w:rPr>
          <w:rFonts w:ascii="Palatino Linotype" w:cs="Palatino Linotype" w:eastAsia="Palatino Linotype" w:hAnsi="Palatino Linotype"/>
          <w:i/>
          <w:iCs/>
          <w:sz w:val="20"/>
          <w:szCs w:val="20"/>
        </w:rPr>
        <w:t xml:space="preserve">2.8. Use of Generative Artificial Intelligence</w:t>
      </w:r>
    </w:p>
    <w:p>
      <w:pPr>
        <w:spacing w:after="0" w:line="240"/>
        <w:ind w:firstLine="425"/>
        <w:jc w:val="both"/>
      </w:pPr>
      <w:r>
        <w:rPr>
          <w:rFonts w:ascii="Palatino Linotype" w:cs="Palatino Linotype" w:eastAsia="Palatino Linotype" w:hAnsi="Palatino Linotype"/>
        </w:rPr>
        <w:t xml:space="preserve">Generative artificial intelligence (GenAI) was used in the preparation of this study. Claude (Anthropic, Claude Opus 5.5) assisted in drafting and editing the English text, in writing the transpiler, the micro-benchmark programs and the analysis and plotting scripts, and in formatting the manuscript. All benchmark results reported in this article were produced by executing these programs, not generated by the model. The architecture of GoNext, the classification of transformations and the evaluation criteria originate from the doctoral research of the first author. The authors reviewed all code and text and take full responsibility for the content.</w:t>
      </w:r>
    </w:p>
    <w:p>
      <w:pPr>
        <w:keepNext/>
        <w:spacing w:after="60" w:before="200"/>
      </w:pPr>
      <w:r>
        <w:rPr>
          <w:rFonts w:ascii="Palatino Linotype" w:cs="Palatino Linotype" w:eastAsia="Palatino Linotype" w:hAnsi="Palatino Linotype"/>
          <w:b/>
          <w:bCs/>
          <w:sz w:val="20"/>
          <w:szCs w:val="20"/>
        </w:rPr>
        <w:t xml:space="preserve">3. Results</w:t>
      </w:r>
    </w:p>
    <w:p>
      <w:pPr>
        <w:keepNext/>
        <w:spacing w:after="40" w:before="120"/>
      </w:pPr>
      <w:r>
        <w:rPr>
          <w:rFonts w:ascii="Palatino Linotype" w:cs="Palatino Linotype" w:eastAsia="Palatino Linotype" w:hAnsi="Palatino Linotype"/>
          <w:i/>
          <w:iCs/>
          <w:sz w:val="20"/>
          <w:szCs w:val="20"/>
        </w:rPr>
        <w:t xml:space="preserve">3.1. Comparative Assessment of Host Platforms</w:t>
      </w:r>
    </w:p>
    <w:p>
      <w:pPr>
        <w:spacing w:after="0" w:line="240"/>
        <w:ind w:firstLine="425"/>
        <w:jc w:val="both"/>
      </w:pPr>
      <w:r>
        <w:rPr>
          <w:rFonts w:ascii="Palatino Linotype" w:cs="Palatino Linotype" w:eastAsia="Palatino Linotype" w:hAnsi="Palatino Linotype"/>
        </w:rPr>
        <w:t xml:space="preserve">The rubric of Table 1 was applied to eight platforms that are commonly used as targets of language implementation: Go source code, JVM bytecode, .NET Common Intermediate Language (CIL), LLVM intermediate representation (IR), C source code, JavaScript source code, WebAssembly [44] and the bytecode of the BEAM virtual machine. Figure 2a shows the normalized group scores and Figure 2b the aggregate score with equal weights. Go source obtained the highest aggregate score (0.950), followed by .NET CIL and JavaScript source (0.750 each) and JVM bytecode (0.700). Low-level targets scored lowest (LLVM IR 0.325, WebAssembly 0.275), mainly because the implementer must supply a runtime, a garbage collector and most of the tooling.</w:t>
      </w:r>
    </w:p>
    <w:p>
      <w:pPr>
        <w:keepNext/>
        <w:spacing w:before="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76525"/>
                    </a:xfrm>
                    <a:prstGeom prst="rect">
                      <a:avLst/>
                    </a:prstGeom>
                  </pic:spPr>
                </pic:pic>
              </a:graphicData>
            </a:graphic>
          </wp:inline>
        </w:drawing>
      </w:r>
    </w:p>
    <w:p>
      <w:pPr>
        <w:spacing w:after="80" w:before="120"/>
        <w:jc w:val="both"/>
      </w:pPr>
      <w:r>
        <w:rPr>
          <w:rFonts w:ascii="Palatino Linotype" w:cs="Palatino Linotype" w:eastAsia="Palatino Linotype" w:hAnsi="Palatino Linotype"/>
          <w:b/>
          <w:bCs/>
          <w:sz w:val="18"/>
          <w:szCs w:val="18"/>
        </w:rPr>
        <w:t xml:space="preserve">Figure 2. </w:t>
      </w:r>
      <w:r>
        <w:rPr>
          <w:rFonts w:ascii="Palatino Linotype" w:cs="Palatino Linotype" w:eastAsia="Palatino Linotype" w:hAnsi="Palatino Linotype"/>
          <w:sz w:val="18"/>
          <w:szCs w:val="18"/>
        </w:rPr>
        <w:t xml:space="preserve">Assessment of host platforms for the target scenario of statically typed server-side extensions: (</w:t>
      </w:r>
      <w:r>
        <w:rPr>
          <w:rFonts w:ascii="Palatino Linotype" w:cs="Palatino Linotype" w:eastAsia="Palatino Linotype" w:hAnsi="Palatino Linotype"/>
          <w:b/>
          <w:bCs/>
          <w:sz w:val="18"/>
          <w:szCs w:val="18"/>
        </w:rPr>
        <w:t xml:space="preserve">a</w:t>
      </w:r>
      <w:r>
        <w:rPr>
          <w:rFonts w:ascii="Palatino Linotype" w:cs="Palatino Linotype" w:eastAsia="Palatino Linotype" w:hAnsi="Palatino Linotype"/>
          <w:sz w:val="18"/>
          <w:szCs w:val="18"/>
        </w:rPr>
        <w:t xml:space="preserve">) normalized group scores ŝ</w:t>
      </w:r>
      <w:r>
        <w:rPr>
          <w:rFonts w:ascii="Palatino Linotype" w:cs="Palatino Linotype" w:eastAsia="Palatino Linotype" w:hAnsi="Palatino Linotype"/>
          <w:sz w:val="18"/>
          <w:szCs w:val="18"/>
          <w:vertAlign w:val="subscript"/>
        </w:rPr>
        <w:t xml:space="preserve">p,g</w:t>
      </w:r>
      <w:r>
        <w:rPr>
          <w:rFonts w:ascii="Palatino Linotype" w:cs="Palatino Linotype" w:eastAsia="Palatino Linotype" w:hAnsi="Palatino Linotype"/>
          <w:sz w:val="18"/>
          <w:szCs w:val="18"/>
        </w:rPr>
        <w:t xml:space="preserve"> computed with Equation (1); (</w:t>
      </w:r>
      <w:r>
        <w:rPr>
          <w:rFonts w:ascii="Palatino Linotype" w:cs="Palatino Linotype" w:eastAsia="Palatino Linotype" w:hAnsi="Palatino Linotype"/>
          <w:b/>
          <w:bCs/>
          <w:sz w:val="18"/>
          <w:szCs w:val="18"/>
        </w:rPr>
        <w:t xml:space="preserve">b</w:t>
      </w:r>
      <w:r>
        <w:rPr>
          <w:rFonts w:ascii="Palatino Linotype" w:cs="Palatino Linotype" w:eastAsia="Palatino Linotype" w:hAnsi="Palatino Linotype"/>
          <w:sz w:val="18"/>
          <w:szCs w:val="18"/>
        </w:rPr>
        <w:t xml:space="preserve">) aggregate score </w:t>
      </w:r>
      <w:r>
        <w:rPr>
          <w:rFonts w:ascii="Palatino Linotype" w:cs="Palatino Linotype" w:eastAsia="Palatino Linotype" w:hAnsi="Palatino Linotype"/>
          <w:i/>
          <w:iCs/>
          <w:sz w:val="18"/>
          <w:szCs w:val="18"/>
        </w:rPr>
        <w:t xml:space="preserve">S</w:t>
      </w:r>
      <w:r>
        <w:rPr>
          <w:rFonts w:ascii="Palatino Linotype" w:cs="Palatino Linotype" w:eastAsia="Palatino Linotype" w:hAnsi="Palatino Linotype"/>
          <w:sz w:val="18"/>
          <w:szCs w:val="18"/>
          <w:vertAlign w:val="subscript"/>
        </w:rPr>
        <w:t xml:space="preserve">p</w:t>
      </w:r>
      <w:r>
        <w:rPr>
          <w:rFonts w:ascii="Palatino Linotype" w:cs="Palatino Linotype" w:eastAsia="Palatino Linotype" w:hAnsi="Palatino Linotype"/>
          <w:sz w:val="18"/>
          <w:szCs w:val="18"/>
        </w:rPr>
        <w:t xml:space="preserve"> with equal weights (Equation (2)) and the frequency with which each platform ranked first among 100,000 random weight vectors drawn from Dir(1, …, 1).</w:t>
      </w:r>
    </w:p>
    <w:p>
      <w:pPr>
        <w:spacing w:after="0" w:line="240"/>
        <w:ind w:firstLine="425"/>
        <w:jc w:val="both"/>
      </w:pPr>
      <w:r>
        <w:rPr>
          <w:rFonts w:ascii="Palatino Linotype" w:cs="Palatino Linotype" w:eastAsia="Palatino Linotype" w:hAnsi="Palatino Linotype"/>
        </w:rPr>
        <w:t xml:space="preserve">The ranking is stable with respect to the weights. Go source ranked first for 98.4% of the sampled weight vectors and was among the first two in all of them; .NET CIL ranked first in the remaining 1.6%. Removing any single group from the evaluation did not change the first place. The analysis also shows where Go is weakest: in the expressiveness group its score (0.75) is lower than that of .NET CIL (0.88), because Go lacks method-level type parameters and offers only limited control over data layout. These are exactly the properties that the GoNext extensions and their lowering schemes must compensate for, which motivates the classification in the next section.</w:t>
      </w:r>
    </w:p>
    <w:p>
      <w:pPr>
        <w:keepNext/>
        <w:spacing w:after="40" w:before="120"/>
      </w:pPr>
      <w:r>
        <w:rPr>
          <w:rFonts w:ascii="Palatino Linotype" w:cs="Palatino Linotype" w:eastAsia="Palatino Linotype" w:hAnsi="Palatino Linotype"/>
          <w:i/>
          <w:iCs/>
          <w:sz w:val="20"/>
          <w:szCs w:val="20"/>
        </w:rPr>
        <w:t xml:space="preserve">3.2. Classification of the GoNext Extensions</w:t>
      </w:r>
    </w:p>
    <w:p>
      <w:pPr>
        <w:spacing w:after="0" w:line="240"/>
        <w:ind w:firstLine="425"/>
        <w:jc w:val="both"/>
      </w:pPr>
      <w:r>
        <w:rPr>
          <w:rFonts w:ascii="Palatino Linotype" w:cs="Palatino Linotype" w:eastAsia="Palatino Linotype" w:hAnsi="Palatino Linotype"/>
        </w:rPr>
        <w:t xml:space="preserve">Applying the definition (3) to the eight extensions of Section 2.5 gives the classification in Table 5 and Figure 3. Four extensions are syntactic, three are structural, and enum types with associated data are representational. Pattern matching is classified by its most demanding part: the control-flow rewriting is structural, while the tests on variants depend on the representation selected for the enum.</w:t>
      </w:r>
    </w:p>
    <w:p>
      <w:pPr>
        <w:keepNext/>
        <w:spacing w:after="80" w:before="120"/>
        <w:jc w:val="both"/>
      </w:pPr>
      <w:r>
        <w:rPr>
          <w:rFonts w:ascii="Palatino Linotype" w:cs="Palatino Linotype" w:eastAsia="Palatino Linotype" w:hAnsi="Palatino Linotype"/>
          <w:b/>
          <w:bCs/>
          <w:sz w:val="18"/>
          <w:szCs w:val="18"/>
        </w:rPr>
        <w:t xml:space="preserve">Table 5. </w:t>
      </w:r>
      <w:r>
        <w:rPr>
          <w:rFonts w:ascii="Palatino Linotype" w:cs="Palatino Linotype" w:eastAsia="Palatino Linotype" w:hAnsi="Palatino Linotype"/>
          <w:sz w:val="18"/>
          <w:szCs w:val="18"/>
        </w:rPr>
        <w:t xml:space="preserve">Classification of GoNext extensions and their lowering targets in standard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1550"/>
        <w:gridCol w:w="3300"/>
        <w:gridCol w:w="2438"/>
      </w:tblGrid>
      <w:tr>
        <w:trPr>
          <w:tblHeader/>
        </w:trPr>
        <w:tc>
          <w:tcPr>
            <w:tcW w:type="dxa" w:w="235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Extension</w:t>
            </w:r>
          </w:p>
        </w:tc>
        <w:tc>
          <w:tcPr>
            <w:tcW w:type="dxa" w:w="155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Class</w:t>
            </w:r>
          </w:p>
        </w:tc>
        <w:tc>
          <w:tcPr>
            <w:tcW w:type="dxa" w:w="33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Lowered to</w:t>
            </w:r>
          </w:p>
        </w:tc>
        <w:tc>
          <w:tcPr>
            <w:tcW w:type="dxa" w:w="2438"/>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Information required</w:t>
            </w:r>
          </w:p>
        </w:tc>
      </w:tr>
      <w:tr>
        <w:trPr>
          <w:cantSplit/>
        </w:trPr>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Named arguments</w:t>
            </w:r>
          </w:p>
        </w:tc>
        <w:tc>
          <w:tcPr>
            <w:tcW w:type="dxa" w:w="15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Syntactic</w:t>
            </w:r>
          </w:p>
        </w:tc>
        <w:tc>
          <w:tcPr>
            <w:tcW w:type="dxa" w:w="3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Positional call; temporaries if evaluation order differs</w:t>
            </w:r>
          </w:p>
        </w:tc>
        <w:tc>
          <w:tcPr>
            <w:tcW w:type="dxa" w:w="2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Callee parameter list</w:t>
            </w:r>
          </w:p>
        </w:tc>
      </w:tr>
      <w:tr>
        <w:trPr>
          <w:cantSplit/>
        </w:trPr>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Default parameter values</w:t>
            </w:r>
          </w:p>
        </w:tc>
        <w:tc>
          <w:tcPr>
            <w:tcW w:type="dxa" w:w="15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Syntactic</w:t>
            </w:r>
          </w:p>
        </w:tc>
        <w:tc>
          <w:tcPr>
            <w:tcW w:type="dxa" w:w="3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Default expressions inserted at the call site</w:t>
            </w:r>
          </w:p>
        </w:tc>
        <w:tc>
          <w:tcPr>
            <w:tcW w:type="dxa" w:w="2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Callee parameter list</w:t>
            </w:r>
          </w:p>
        </w:tc>
      </w:tr>
      <w:tr>
        <w:trPr>
          <w:cantSplit/>
        </w:trPr>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Extension methods</w:t>
            </w:r>
          </w:p>
        </w:tc>
        <w:tc>
          <w:tcPr>
            <w:tcW w:type="dxa" w:w="15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Syntactic</w:t>
            </w:r>
          </w:p>
        </w:tc>
        <w:tc>
          <w:tcPr>
            <w:tcW w:type="dxa" w:w="3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Top-level function with the receiver as first argument</w:t>
            </w:r>
          </w:p>
        </w:tc>
        <w:tc>
          <w:tcPr>
            <w:tcW w:type="dxa" w:w="2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Receiver type</w:t>
            </w:r>
          </w:p>
        </w:tc>
      </w:tr>
      <w:tr>
        <w:trPr>
          <w:cantSplit/>
        </w:trPr>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Uniform function call syntax</w:t>
            </w:r>
          </w:p>
        </w:tc>
        <w:tc>
          <w:tcPr>
            <w:tcW w:type="dxa" w:w="15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Syntactic</w:t>
            </w:r>
          </w:p>
        </w:tc>
        <w:tc>
          <w:tcPr>
            <w:tcW w:type="dxa" w:w="3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Plain call </w:t>
            </w:r>
            <w:r>
              <w:rPr>
                <w:rFonts w:ascii="Courier New" w:cs="Courier New" w:eastAsia="Courier New" w:hAnsi="Courier New"/>
                <w:sz w:val="15"/>
                <w:szCs w:val="15"/>
              </w:rPr>
              <w:t xml:space="preserve">f(a, b)</w:t>
            </w:r>
          </w:p>
        </w:tc>
        <w:tc>
          <w:tcPr>
            <w:tcW w:type="dxa" w:w="2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Receiver type, method sets</w:t>
            </w:r>
          </w:p>
        </w:tc>
      </w:tr>
      <w:tr>
        <w:trPr>
          <w:cantSplit/>
        </w:trPr>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Generic methods</w:t>
            </w:r>
          </w:p>
        </w:tc>
        <w:tc>
          <w:tcPr>
            <w:tcW w:type="dxa" w:w="15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Structural</w:t>
            </w:r>
          </w:p>
        </w:tc>
        <w:tc>
          <w:tcPr>
            <w:tcW w:type="dxa" w:w="3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Top-level generic function (lifting)</w:t>
            </w:r>
          </w:p>
        </w:tc>
        <w:tc>
          <w:tcPr>
            <w:tcW w:type="dxa" w:w="2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Type parameters of receiver and method</w:t>
            </w:r>
          </w:p>
        </w:tc>
      </w:tr>
      <w:tr>
        <w:trPr>
          <w:cantSplit/>
        </w:trPr>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Short anonymous functions</w:t>
            </w:r>
          </w:p>
        </w:tc>
        <w:tc>
          <w:tcPr>
            <w:tcW w:type="dxa" w:w="15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Structural</w:t>
            </w:r>
          </w:p>
        </w:tc>
        <w:tc>
          <w:tcPr>
            <w:tcW w:type="dxa" w:w="3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Function literal with explicit types</w:t>
            </w:r>
          </w:p>
        </w:tc>
        <w:tc>
          <w:tcPr>
            <w:tcW w:type="dxa" w:w="2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Expected function type</w:t>
            </w:r>
          </w:p>
        </w:tc>
      </w:tr>
      <w:tr>
        <w:trPr>
          <w:cantSplit/>
        </w:trPr>
        <w:tc>
          <w:tcPr>
            <w:tcW w:type="dxa" w:w="23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Pattern matching (</w:t>
            </w:r>
            <w:r>
              <w:rPr>
                <w:rFonts w:ascii="Courier New" w:cs="Courier New" w:eastAsia="Courier New" w:hAnsi="Courier New"/>
                <w:sz w:val="15"/>
                <w:szCs w:val="15"/>
              </w:rPr>
              <w:t xml:space="preserve">match</w:t>
            </w:r>
            <w:r>
              <w:rPr>
                <w:rFonts w:ascii="Palatino Linotype" w:cs="Palatino Linotype" w:eastAsia="Palatino Linotype" w:hAnsi="Palatino Linotype"/>
                <w:b w:val="false"/>
                <w:bCs w:val="false"/>
                <w:sz w:val="17"/>
                <w:szCs w:val="17"/>
              </w:rPr>
              <w:t xml:space="preserve">)</w:t>
            </w:r>
          </w:p>
        </w:tc>
        <w:tc>
          <w:tcPr>
            <w:tcW w:type="dxa" w:w="155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Structural </w:t>
            </w:r>
            <w:r>
              <w:rPr>
                <w:rFonts w:ascii="Palatino Linotype" w:cs="Palatino Linotype" w:eastAsia="Palatino Linotype" w:hAnsi="Palatino Linotype"/>
                <w:b w:val="false"/>
                <w:bCs w:val="false"/>
                <w:sz w:val="17"/>
                <w:szCs w:val="17"/>
                <w:vertAlign w:val="superscript"/>
              </w:rPr>
              <w:t xml:space="preserve">1</w:t>
            </w:r>
          </w:p>
        </w:tc>
        <w:tc>
          <w:tcPr>
            <w:tcW w:type="dxa" w:w="33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Decision tree of switch statements and bindings</w:t>
            </w:r>
          </w:p>
        </w:tc>
        <w:tc>
          <w:tcPr>
            <w:tcW w:type="dxa" w:w="24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Scrutinee type, variant set</w:t>
            </w:r>
          </w:p>
        </w:tc>
      </w:tr>
      <w:tr>
        <w:trPr>
          <w:cantSplit/>
        </w:trPr>
        <w:tc>
          <w:tcPr>
            <w:tcW w:type="dxa" w:w="235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Enums with associated data</w:t>
            </w:r>
          </w:p>
        </w:tc>
        <w:tc>
          <w:tcPr>
            <w:tcW w:type="dxa" w:w="155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Representational</w:t>
            </w:r>
          </w:p>
        </w:tc>
        <w:tc>
          <w:tcPr>
            <w:tcW w:type="dxa" w:w="33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Tagged struct or sealed interface, constructors</w:t>
            </w:r>
          </w:p>
        </w:tc>
        <w:tc>
          <w:tcPr>
            <w:tcW w:type="dxa" w:w="2438"/>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Payload types, pointer maps</w:t>
            </w:r>
          </w:p>
        </w:tc>
      </w:tr>
    </w:tbl>
    <w:p>
      <w:pPr>
        <w:spacing w:after="60"/>
      </w:pPr>
    </w:p>
    <w:p>
      <w:pPr>
        <w:spacing w:after="80"/>
      </w:pPr>
      <w:r>
        <w:rPr>
          <w:rFonts w:ascii="Palatino Linotype" w:cs="Palatino Linotype" w:eastAsia="Palatino Linotype" w:hAnsi="Palatino Linotype"/>
          <w:sz w:val="16"/>
          <w:szCs w:val="16"/>
          <w:vertAlign w:val="superscript"/>
        </w:rPr>
        <w:t xml:space="preserve">1</w:t>
      </w:r>
      <w:r>
        <w:rPr>
          <w:rFonts w:ascii="Palatino Linotype" w:cs="Palatino Linotype" w:eastAsia="Palatino Linotype" w:hAnsi="Palatino Linotype"/>
          <w:sz w:val="16"/>
          <w:szCs w:val="16"/>
        </w:rPr>
        <w:t xml:space="preserve"> Tests on enum variants depend on the representational lowering of the enum.</w:t>
      </w:r>
    </w:p>
    <w:p>
      <w:pPr>
        <w:keepNext/>
        <w:spacing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86025"/>
                    </a:xfrm>
                    <a:prstGeom prst="rect">
                      <a:avLst/>
                    </a:prstGeom>
                  </pic:spPr>
                </pic:pic>
              </a:graphicData>
            </a:graphic>
          </wp:inline>
        </w:drawing>
      </w:r>
    </w:p>
    <w:p>
      <w:pPr>
        <w:spacing w:after="80" w:before="120"/>
        <w:jc w:val="both"/>
      </w:pPr>
      <w:r>
        <w:rPr>
          <w:rFonts w:ascii="Palatino Linotype" w:cs="Palatino Linotype" w:eastAsia="Palatino Linotype" w:hAnsi="Palatino Linotype"/>
          <w:b/>
          <w:bCs/>
          <w:sz w:val="18"/>
          <w:szCs w:val="18"/>
        </w:rPr>
        <w:t xml:space="preserve">Figure 3. </w:t>
      </w:r>
      <w:r>
        <w:rPr>
          <w:rFonts w:ascii="Palatino Linotype" w:cs="Palatino Linotype" w:eastAsia="Palatino Linotype" w:hAnsi="Palatino Linotype"/>
          <w:sz w:val="18"/>
          <w:szCs w:val="18"/>
        </w:rPr>
        <w:t xml:space="preserve">Classes of language transformations in GoNext. The classes are ordered by the semantic information they require and by the run-time cost they can introduce: syntactic transformations disappear during translation, structural ones may introduce helper functions or closures, and representational ones change data layout and interact with allocation and garbage collection.</w:t>
      </w:r>
    </w:p>
    <w:p>
      <w:pPr>
        <w:keepNext/>
        <w:spacing w:after="40" w:before="120"/>
      </w:pPr>
      <w:r>
        <w:rPr>
          <w:rFonts w:ascii="Palatino Linotype" w:cs="Palatino Linotype" w:eastAsia="Palatino Linotype" w:hAnsi="Palatino Linotype"/>
          <w:i/>
          <w:iCs/>
          <w:sz w:val="20"/>
          <w:szCs w:val="20"/>
        </w:rPr>
        <w:t xml:space="preserve">3.3. Lowering Schemes</w:t>
      </w:r>
    </w:p>
    <w:p>
      <w:pPr>
        <w:keepNext/>
        <w:spacing w:after="40" w:before="100"/>
      </w:pPr>
      <w:r>
        <w:rPr>
          <w:rFonts w:ascii="Palatino Linotype" w:cs="Palatino Linotype" w:eastAsia="Palatino Linotype" w:hAnsi="Palatino Linotype"/>
          <w:sz w:val="20"/>
          <w:szCs w:val="20"/>
        </w:rPr>
        <w:t xml:space="preserve">3.3.1. Syntactic Extensions</w:t>
      </w:r>
    </w:p>
    <w:p>
      <w:pPr>
        <w:spacing w:after="0" w:line="240"/>
        <w:ind w:firstLine="425"/>
        <w:jc w:val="both"/>
      </w:pPr>
      <w:r>
        <w:rPr>
          <w:rFonts w:ascii="Palatino Linotype" w:cs="Palatino Linotype" w:eastAsia="Palatino Linotype" w:hAnsi="Palatino Linotype"/>
        </w:rPr>
        <w:t xml:space="preserve">Listing 1 shows GoNext code that uses named arguments, default parameter values, an extension method and UFCS; Listing 2 shows the code produced by the transpiler. All four constructs are reduced to ordinary calls. Default values are evaluated at the call site each time the call is made, so that a default expression may refer to package-level state as in Kotlin or C#. When named arguments are given in an order that differs from the parameter order and at least one argument may have side effects, the arguments are first assigned to temporaries in source order; for side-effect-free arguments the call is emitted directly.</w:t>
      </w:r>
    </w:p>
    <w:p>
      <w:pPr>
        <w:keepNext/>
        <w:spacing w:after="80" w:before="120"/>
        <w:jc w:val="both"/>
      </w:pPr>
      <w:r>
        <w:rPr>
          <w:rFonts w:ascii="Palatino Linotype" w:cs="Palatino Linotype" w:eastAsia="Palatino Linotype" w:hAnsi="Palatino Linotype"/>
          <w:b/>
          <w:bCs/>
          <w:sz w:val="18"/>
          <w:szCs w:val="18"/>
        </w:rPr>
        <w:t xml:space="preserve">Listing 1. </w:t>
      </w:r>
      <w:r>
        <w:rPr>
          <w:rFonts w:ascii="Palatino Linotype" w:cs="Palatino Linotype" w:eastAsia="Palatino Linotype" w:hAnsi="Palatino Linotype"/>
          <w:sz w:val="18"/>
          <w:szCs w:val="18"/>
        </w:rPr>
        <w:t xml:space="preserve">GoNext source with syntactic extensions.</w:t>
      </w:r>
    </w:p>
    <w:p>
      <w:pPr>
        <w:keepNext/>
        <w:keepLines/>
        <w:pBdr>
          <w:top w:val="single" w:color="000000" w:sz="4"/>
        </w:pBdr>
        <w:spacing w:after="0" w:line="220"/>
      </w:pPr>
      <w:r>
        <w:rPr>
          <w:rFonts w:ascii="Courier New" w:cs="Courier New" w:eastAsia="Courier New" w:hAnsi="Courier New"/>
          <w:sz w:val="16"/>
          <w:szCs w:val="16"/>
        </w:rPr>
        <w:t xml:space="preserve">func dial(host string, port int = 443,</w:t>
      </w:r>
    </w:p>
    <w:p>
      <w:pPr>
        <w:keepNext/>
        <w:keepLines/>
        <w:spacing w:after="0" w:line="220"/>
      </w:pPr>
      <w:r>
        <w:rPr>
          <w:rFonts w:ascii="Courier New" w:cs="Courier New" w:eastAsia="Courier New" w:hAnsi="Courier New"/>
          <w:sz w:val="16"/>
          <w:szCs w:val="16"/>
        </w:rPr>
        <w:t xml:space="preserve">    timeout time.Duration = 5*time.Second, retries int = 3) Conn</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ext func (s []int) sum() int {</w:t>
      </w:r>
    </w:p>
    <w:p>
      <w:pPr>
        <w:keepNext/>
        <w:keepLines/>
        <w:spacing w:after="0" w:line="220"/>
      </w:pPr>
      <w:r>
        <w:rPr>
          <w:rFonts w:ascii="Courier New" w:cs="Courier New" w:eastAsia="Courier New" w:hAnsi="Courier New"/>
          <w:sz w:val="16"/>
          <w:szCs w:val="16"/>
        </w:rPr>
        <w:t xml:space="preserve">    t := 0</w:t>
      </w:r>
    </w:p>
    <w:p>
      <w:pPr>
        <w:keepNext/>
        <w:keepLines/>
        <w:spacing w:after="0" w:line="220"/>
      </w:pPr>
      <w:r>
        <w:rPr>
          <w:rFonts w:ascii="Courier New" w:cs="Courier New" w:eastAsia="Courier New" w:hAnsi="Courier New"/>
          <w:sz w:val="16"/>
          <w:szCs w:val="16"/>
        </w:rPr>
        <w:t xml:space="preserve">    for _, v := range s { t += v }</w:t>
      </w:r>
    </w:p>
    <w:p>
      <w:pPr>
        <w:keepNext/>
        <w:keepLines/>
        <w:spacing w:after="0" w:line="220"/>
      </w:pPr>
      <w:r>
        <w:rPr>
          <w:rFonts w:ascii="Courier New" w:cs="Courier New" w:eastAsia="Courier New" w:hAnsi="Courier New"/>
          <w:sz w:val="16"/>
          <w:szCs w:val="16"/>
        </w:rPr>
        <w:t xml:space="preserve">    return t</w:t>
      </w:r>
    </w:p>
    <w:p>
      <w:pPr>
        <w:keepNext/>
        <w:keepLines/>
        <w:spacing w:after="0" w:line="220"/>
      </w:pPr>
      <w:r>
        <w:rPr>
          <w:rFonts w:ascii="Courier New" w:cs="Courier New" w:eastAsia="Courier New" w:hAnsi="Courier New"/>
          <w:sz w:val="16"/>
          <w:szCs w:val="16"/>
        </w:rPr>
        <w:t xml:space="preserve">}</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c1 := dial("example.org", retries: 5)          // named + default arguments</w:t>
      </w:r>
    </w:p>
    <w:p>
      <w:pPr>
        <w:keepNext/>
        <w:keepLines/>
        <w:spacing w:after="0" w:line="220"/>
      </w:pPr>
      <w:r>
        <w:rPr>
          <w:rFonts w:ascii="Courier New" w:cs="Courier New" w:eastAsia="Courier New" w:hAnsi="Courier New"/>
          <w:sz w:val="16"/>
          <w:szCs w:val="16"/>
        </w:rPr>
        <w:t xml:space="preserve">c2 := dial(retries: retries(), host: host())   // reordered named arguments</w:t>
      </w:r>
    </w:p>
    <w:p>
      <w:pPr>
        <w:keepNext/>
        <w:keepLines/>
        <w:spacing w:after="0" w:line="220"/>
      </w:pPr>
      <w:r>
        <w:rPr>
          <w:rFonts w:ascii="Courier New" w:cs="Courier New" w:eastAsia="Courier New" w:hAnsi="Courier New"/>
          <w:sz w:val="16"/>
          <w:szCs w:val="16"/>
        </w:rPr>
        <w:t xml:space="preserve">total := xs.sum()                              // extension method</w:t>
      </w:r>
    </w:p>
    <w:p>
      <w:pPr>
        <w:keepNext w:val="false"/>
        <w:keepLines/>
        <w:pBdr>
          <w:bottom w:val="single" w:color="000000" w:sz="4"/>
        </w:pBdr>
        <w:spacing w:after="0" w:line="220"/>
      </w:pPr>
      <w:r>
        <w:rPr>
          <w:rFonts w:ascii="Courier New" w:cs="Courier New" w:eastAsia="Courier New" w:hAnsi="Courier New"/>
          <w:sz w:val="16"/>
          <w:szCs w:val="16"/>
        </w:rPr>
        <w:t xml:space="preserve">m := a.max3(b, c)                              // UFCS form of max3(a, b, c)</w:t>
      </w:r>
    </w:p>
    <w:p>
      <w:pPr>
        <w:spacing w:after="60"/>
      </w:pPr>
    </w:p>
    <w:p>
      <w:pPr>
        <w:keepNext/>
        <w:spacing w:after="80" w:before="120"/>
        <w:jc w:val="both"/>
      </w:pPr>
      <w:r>
        <w:rPr>
          <w:rFonts w:ascii="Palatino Linotype" w:cs="Palatino Linotype" w:eastAsia="Palatino Linotype" w:hAnsi="Palatino Linotype"/>
          <w:b/>
          <w:bCs/>
          <w:sz w:val="18"/>
          <w:szCs w:val="18"/>
        </w:rPr>
        <w:t xml:space="preserve">Listing 2. </w:t>
      </w:r>
      <w:r>
        <w:rPr>
          <w:rFonts w:ascii="Palatino Linotype" w:cs="Palatino Linotype" w:eastAsia="Palatino Linotype" w:hAnsi="Palatino Linotype"/>
          <w:sz w:val="18"/>
          <w:szCs w:val="18"/>
        </w:rPr>
        <w:t xml:space="preserve">Go code generated for Listing 1.</w:t>
      </w:r>
    </w:p>
    <w:p>
      <w:pPr>
        <w:keepNext/>
        <w:keepLines/>
        <w:pBdr>
          <w:top w:val="single" w:color="000000" w:sz="4"/>
        </w:pBdr>
        <w:spacing w:after="0" w:line="220"/>
      </w:pPr>
      <w:r>
        <w:rPr>
          <w:rFonts w:ascii="Courier New" w:cs="Courier New" w:eastAsia="Courier New" w:hAnsi="Courier New"/>
          <w:sz w:val="16"/>
          <w:szCs w:val="16"/>
        </w:rPr>
        <w:t xml:space="preserve">func dial(host string, port int, timeout time.Duration, retries int) Conn</w:t>
      </w:r>
    </w:p>
    <w:p>
      <w:pPr>
        <w:keepNext/>
        <w:keepLines/>
        <w:spacing w:after="0" w:line="220"/>
      </w:pPr>
      <w:r>
        <w:rPr>
          <w:rFonts w:ascii="Courier New" w:cs="Courier New" w:eastAsia="Courier New" w:hAnsi="Courier New"/>
          <w:sz w:val="16"/>
          <w:szCs w:val="16"/>
        </w:rPr>
        <w:t xml:space="preserve">func ext_IntSlice_sum(s []int) int { ... }</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c1 := dial("example.org", 443, 5*time.Second, 5)</w:t>
      </w:r>
    </w:p>
    <w:p>
      <w:pPr>
        <w:keepNext/>
        <w:keepLines/>
        <w:spacing w:after="0" w:line="220"/>
      </w:pPr>
      <w:r>
        <w:rPr>
          <w:rFonts w:ascii="Courier New" w:cs="Courier New" w:eastAsia="Courier New" w:hAnsi="Courier New"/>
          <w:sz w:val="16"/>
          <w:szCs w:val="16"/>
        </w:rPr>
        <w:t xml:space="preserve">gnArg1 := retries()                            // source evaluation order preserved</w:t>
      </w:r>
    </w:p>
    <w:p>
      <w:pPr>
        <w:keepNext/>
        <w:keepLines/>
        <w:spacing w:after="0" w:line="220"/>
      </w:pPr>
      <w:r>
        <w:rPr>
          <w:rFonts w:ascii="Courier New" w:cs="Courier New" w:eastAsia="Courier New" w:hAnsi="Courier New"/>
          <w:sz w:val="16"/>
          <w:szCs w:val="16"/>
        </w:rPr>
        <w:t xml:space="preserve">gnArg2 := host()</w:t>
      </w:r>
    </w:p>
    <w:p>
      <w:pPr>
        <w:keepNext/>
        <w:keepLines/>
        <w:spacing w:after="0" w:line="220"/>
      </w:pPr>
      <w:r>
        <w:rPr>
          <w:rFonts w:ascii="Courier New" w:cs="Courier New" w:eastAsia="Courier New" w:hAnsi="Courier New"/>
          <w:sz w:val="16"/>
          <w:szCs w:val="16"/>
        </w:rPr>
        <w:t xml:space="preserve">c2 := dial(gnArg2, 443, 5*time.Second, gnArg1)</w:t>
      </w:r>
    </w:p>
    <w:p>
      <w:pPr>
        <w:keepNext/>
        <w:keepLines/>
        <w:spacing w:after="0" w:line="220"/>
      </w:pPr>
      <w:r>
        <w:rPr>
          <w:rFonts w:ascii="Courier New" w:cs="Courier New" w:eastAsia="Courier New" w:hAnsi="Courier New"/>
          <w:sz w:val="16"/>
          <w:szCs w:val="16"/>
        </w:rPr>
        <w:t xml:space="preserve">total := ext_IntSlice_sum(xs)</w:t>
      </w:r>
    </w:p>
    <w:p>
      <w:pPr>
        <w:keepNext w:val="false"/>
        <w:keepLines/>
        <w:pBdr>
          <w:bottom w:val="single" w:color="000000" w:sz="4"/>
        </w:pBdr>
        <w:spacing w:after="0" w:line="220"/>
      </w:pPr>
      <w:r>
        <w:rPr>
          <w:rFonts w:ascii="Courier New" w:cs="Courier New" w:eastAsia="Courier New" w:hAnsi="Courier New"/>
          <w:sz w:val="16"/>
          <w:szCs w:val="16"/>
        </w:rPr>
        <w:t xml:space="preserve">m := max3(a, b, c)</w:t>
      </w:r>
    </w:p>
    <w:p>
      <w:pPr>
        <w:spacing w:after="60"/>
      </w:pPr>
    </w:p>
    <w:p>
      <w:pPr>
        <w:spacing w:after="0" w:line="240"/>
        <w:ind w:firstLine="425"/>
        <w:jc w:val="both"/>
      </w:pPr>
      <w:r>
        <w:rPr>
          <w:rFonts w:ascii="Palatino Linotype" w:cs="Palatino Linotype" w:eastAsia="Palatino Linotype" w:hAnsi="Palatino Linotype"/>
        </w:rPr>
        <w:t xml:space="preserve">The generated calls are the calls a Go programmer would write by hand, so these extensions have no run-time cost by construction. Experiment 2 quantifies what this means relative to the idioms used in Go today (Figure 4d). The lowered positional call took 8.7 ns per call (median of ten runs), the configuration-struct idiom 10.8 ns, and the functional-options idiom 48.5 ns with one heap allocation of 48 bytes per call. The extension method of Experiment 3 ran in 1264 ns per 4096-element sum, against 1302 ns for the hand-written loop; the difference lies within the interquartile ranges.</w:t>
      </w:r>
    </w:p>
    <w:p>
      <w:pPr>
        <w:keepNext/>
        <w:spacing w:after="40" w:before="100"/>
      </w:pPr>
      <w:r>
        <w:rPr>
          <w:rFonts w:ascii="Palatino Linotype" w:cs="Palatino Linotype" w:eastAsia="Palatino Linotype" w:hAnsi="Palatino Linotype"/>
          <w:sz w:val="20"/>
          <w:szCs w:val="20"/>
        </w:rPr>
        <w:t xml:space="preserve">3.3.2. Structural Extensions</w:t>
      </w:r>
    </w:p>
    <w:p>
      <w:pPr>
        <w:spacing w:after="0" w:line="240"/>
        <w:ind w:firstLine="425"/>
        <w:jc w:val="both"/>
      </w:pPr>
      <w:r>
        <w:rPr>
          <w:rFonts w:ascii="Palatino Linotype" w:cs="Palatino Linotype" w:eastAsia="Palatino Linotype" w:hAnsi="Palatino Linotype"/>
        </w:rPr>
        <w:t xml:space="preserve">Go does not allow type parameters on methods [27]. A GoNext generic method is therefore lifted to a top-level generic function whose first parameter is the receiver and whose type parameter list is the concatenation of the receiver's and the method's type parameters (Listings 3 and 4). Call sites written in method syntax are rewritten into calls of the lifted function. Go's own type inference then determines the type arguments, as for any generic call; formal models of Go generics and their translations show that such calls need no special treatment by the compiler [45–48].</w:t>
      </w:r>
    </w:p>
    <w:p>
      <w:pPr>
        <w:keepNext/>
        <w:spacing w:after="80" w:before="120"/>
        <w:jc w:val="both"/>
      </w:pPr>
      <w:r>
        <w:rPr>
          <w:rFonts w:ascii="Palatino Linotype" w:cs="Palatino Linotype" w:eastAsia="Palatino Linotype" w:hAnsi="Palatino Linotype"/>
          <w:b/>
          <w:bCs/>
          <w:sz w:val="18"/>
          <w:szCs w:val="18"/>
        </w:rPr>
        <w:t xml:space="preserve">Listing 3. </w:t>
      </w:r>
      <w:r>
        <w:rPr>
          <w:rFonts w:ascii="Palatino Linotype" w:cs="Palatino Linotype" w:eastAsia="Palatino Linotype" w:hAnsi="Palatino Linotype"/>
          <w:sz w:val="18"/>
          <w:szCs w:val="18"/>
        </w:rPr>
        <w:t xml:space="preserve">GoNext generic method and short anonymous function.</w:t>
      </w:r>
    </w:p>
    <w:p>
      <w:pPr>
        <w:keepNext/>
        <w:keepLines/>
        <w:pBdr>
          <w:top w:val="single" w:color="000000" w:sz="4"/>
        </w:pBdr>
        <w:spacing w:after="0" w:line="220"/>
      </w:pPr>
      <w:r>
        <w:rPr>
          <w:rFonts w:ascii="Courier New" w:cs="Courier New" w:eastAsia="Courier New" w:hAnsi="Courier New"/>
          <w:sz w:val="16"/>
          <w:szCs w:val="16"/>
        </w:rPr>
        <w:t xml:space="preserve">type List[T any] struct { items []T }</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func (l List[T]) map[U any](f func(T) U) List[U] {</w:t>
      </w:r>
    </w:p>
    <w:p>
      <w:pPr>
        <w:keepNext/>
        <w:keepLines/>
        <w:spacing w:after="0" w:line="220"/>
      </w:pPr>
      <w:r>
        <w:rPr>
          <w:rFonts w:ascii="Courier New" w:cs="Courier New" w:eastAsia="Courier New" w:hAnsi="Courier New"/>
          <w:sz w:val="16"/>
          <w:szCs w:val="16"/>
        </w:rPr>
        <w:t xml:space="preserve">    out := make([]U, len(l.items))</w:t>
      </w:r>
    </w:p>
    <w:p>
      <w:pPr>
        <w:keepNext/>
        <w:keepLines/>
        <w:spacing w:after="0" w:line="220"/>
      </w:pPr>
      <w:r>
        <w:rPr>
          <w:rFonts w:ascii="Courier New" w:cs="Courier New" w:eastAsia="Courier New" w:hAnsi="Courier New"/>
          <w:sz w:val="16"/>
          <w:szCs w:val="16"/>
        </w:rPr>
        <w:t xml:space="preserve">    for i, v := range l.items { out[i] = f(v) }</w:t>
      </w:r>
    </w:p>
    <w:p>
      <w:pPr>
        <w:keepNext/>
        <w:keepLines/>
        <w:spacing w:after="0" w:line="220"/>
      </w:pPr>
      <w:r>
        <w:rPr>
          <w:rFonts w:ascii="Courier New" w:cs="Courier New" w:eastAsia="Courier New" w:hAnsi="Courier New"/>
          <w:sz w:val="16"/>
          <w:szCs w:val="16"/>
        </w:rPr>
        <w:t xml:space="preserve">    return List[U]{out}</w:t>
      </w:r>
    </w:p>
    <w:p>
      <w:pPr>
        <w:keepNext/>
        <w:keepLines/>
        <w:spacing w:after="0" w:line="220"/>
      </w:pPr>
      <w:r>
        <w:rPr>
          <w:rFonts w:ascii="Courier New" w:cs="Courier New" w:eastAsia="Courier New" w:hAnsi="Courier New"/>
          <w:sz w:val="16"/>
          <w:szCs w:val="16"/>
        </w:rPr>
        <w:t xml:space="preserve">}</w:t>
      </w:r>
    </w:p>
    <w:p>
      <w:pPr>
        <w:keepNext/>
        <w:keepLines/>
        <w:spacing w:after="0" w:line="220"/>
      </w:pPr>
      <w:r>
        <w:rPr>
          <w:rFonts w:ascii="Courier New" w:cs="Courier New" w:eastAsia="Courier New" w:hAnsi="Courier New"/>
          <w:sz w:val="16"/>
          <w:szCs w:val="16"/>
        </w:rPr>
        <w:t xml:space="preserve"> </w:t>
      </w:r>
    </w:p>
    <w:p>
      <w:pPr>
        <w:keepNext w:val="false"/>
        <w:keepLines/>
        <w:pBdr>
          <w:bottom w:val="single" w:color="000000" w:sz="4"/>
        </w:pBdr>
        <w:spacing w:after="0" w:line="220"/>
      </w:pPr>
      <w:r>
        <w:rPr>
          <w:rFonts w:ascii="Courier New" w:cs="Courier New" w:eastAsia="Courier New" w:hAnsi="Courier New"/>
          <w:sz w:val="16"/>
          <w:szCs w:val="16"/>
        </w:rPr>
        <w:t xml:space="preserve">ys := xs.map(x =&gt; x * 2)                       // xs has type List[int]</w:t>
      </w:r>
    </w:p>
    <w:p>
      <w:pPr>
        <w:spacing w:after="60"/>
      </w:pPr>
    </w:p>
    <w:p>
      <w:pPr>
        <w:keepNext/>
        <w:spacing w:after="80" w:before="120"/>
        <w:jc w:val="both"/>
      </w:pPr>
      <w:r>
        <w:rPr>
          <w:rFonts w:ascii="Palatino Linotype" w:cs="Palatino Linotype" w:eastAsia="Palatino Linotype" w:hAnsi="Palatino Linotype"/>
          <w:b/>
          <w:bCs/>
          <w:sz w:val="18"/>
          <w:szCs w:val="18"/>
        </w:rPr>
        <w:t xml:space="preserve">Listing 4. </w:t>
      </w:r>
      <w:r>
        <w:rPr>
          <w:rFonts w:ascii="Palatino Linotype" w:cs="Palatino Linotype" w:eastAsia="Palatino Linotype" w:hAnsi="Palatino Linotype"/>
          <w:sz w:val="18"/>
          <w:szCs w:val="18"/>
        </w:rPr>
        <w:t xml:space="preserve">Go code generated for Listing 3.</w:t>
      </w:r>
    </w:p>
    <w:p>
      <w:pPr>
        <w:keepNext/>
        <w:keepLines/>
        <w:pBdr>
          <w:top w:val="single" w:color="000000" w:sz="4"/>
        </w:pBdr>
        <w:spacing w:after="0" w:line="220"/>
      </w:pPr>
      <w:r>
        <w:rPr>
          <w:rFonts w:ascii="Courier New" w:cs="Courier New" w:eastAsia="Courier New" w:hAnsi="Courier New"/>
          <w:sz w:val="16"/>
          <w:szCs w:val="16"/>
        </w:rPr>
        <w:t xml:space="preserve">func List_map[T any, U any](l List[T], f func(T) U) List[U] {</w:t>
      </w:r>
    </w:p>
    <w:p>
      <w:pPr>
        <w:keepNext/>
        <w:keepLines/>
        <w:spacing w:after="0" w:line="220"/>
      </w:pPr>
      <w:r>
        <w:rPr>
          <w:rFonts w:ascii="Courier New" w:cs="Courier New" w:eastAsia="Courier New" w:hAnsi="Courier New"/>
          <w:sz w:val="16"/>
          <w:szCs w:val="16"/>
        </w:rPr>
        <w:t xml:space="preserve">    out := make([]U, len(l.items))</w:t>
      </w:r>
    </w:p>
    <w:p>
      <w:pPr>
        <w:keepNext/>
        <w:keepLines/>
        <w:spacing w:after="0" w:line="220"/>
      </w:pPr>
      <w:r>
        <w:rPr>
          <w:rFonts w:ascii="Courier New" w:cs="Courier New" w:eastAsia="Courier New" w:hAnsi="Courier New"/>
          <w:sz w:val="16"/>
          <w:szCs w:val="16"/>
        </w:rPr>
        <w:t xml:space="preserve">    for i, v := range l.items {</w:t>
      </w:r>
    </w:p>
    <w:p>
      <w:pPr>
        <w:keepNext/>
        <w:keepLines/>
        <w:spacing w:after="0" w:line="220"/>
      </w:pPr>
      <w:r>
        <w:rPr>
          <w:rFonts w:ascii="Courier New" w:cs="Courier New" w:eastAsia="Courier New" w:hAnsi="Courier New"/>
          <w:sz w:val="16"/>
          <w:szCs w:val="16"/>
        </w:rPr>
        <w:t xml:space="preserve">        out[i] = f(v)</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    return List[U]{out}</w:t>
      </w:r>
    </w:p>
    <w:p>
      <w:pPr>
        <w:keepNext/>
        <w:keepLines/>
        <w:spacing w:after="0" w:line="220"/>
      </w:pPr>
      <w:r>
        <w:rPr>
          <w:rFonts w:ascii="Courier New" w:cs="Courier New" w:eastAsia="Courier New" w:hAnsi="Courier New"/>
          <w:sz w:val="16"/>
          <w:szCs w:val="16"/>
        </w:rPr>
        <w:t xml:space="preserve">}</w:t>
      </w:r>
    </w:p>
    <w:p>
      <w:pPr>
        <w:keepNext/>
        <w:keepLines/>
        <w:spacing w:after="0" w:line="220"/>
      </w:pPr>
      <w:r>
        <w:rPr>
          <w:rFonts w:ascii="Courier New" w:cs="Courier New" w:eastAsia="Courier New" w:hAnsi="Courier New"/>
          <w:sz w:val="16"/>
          <w:szCs w:val="16"/>
        </w:rPr>
        <w:t xml:space="preserve"> </w:t>
      </w:r>
    </w:p>
    <w:p>
      <w:pPr>
        <w:keepNext w:val="false"/>
        <w:keepLines/>
        <w:pBdr>
          <w:bottom w:val="single" w:color="000000" w:sz="4"/>
        </w:pBdr>
        <w:spacing w:after="0" w:line="220"/>
      </w:pPr>
      <w:r>
        <w:rPr>
          <w:rFonts w:ascii="Courier New" w:cs="Courier New" w:eastAsia="Courier New" w:hAnsi="Courier New"/>
          <w:sz w:val="16"/>
          <w:szCs w:val="16"/>
        </w:rPr>
        <w:t xml:space="preserve">ys := List_map(xs, func(x int) int { return x * 2 })</w:t>
      </w:r>
    </w:p>
    <w:p>
      <w:pPr>
        <w:spacing w:after="60"/>
      </w:pPr>
    </w:p>
    <w:p>
      <w:pPr>
        <w:spacing w:after="0" w:line="240"/>
        <w:ind w:firstLine="425"/>
        <w:jc w:val="both"/>
      </w:pPr>
      <w:r>
        <w:rPr>
          <w:rFonts w:ascii="Palatino Linotype" w:cs="Palatino Linotype" w:eastAsia="Palatino Linotype" w:hAnsi="Palatino Linotype"/>
        </w:rPr>
        <w:t xml:space="preserve">Short anonymous functions require more than syntactic rewriting, because Go function literals must declare the types of their parameters and results. The transpiler obtains them by contextual (bidirectional) typing [49,50]: the parameter types are taken from the expected function type, here </w:t>
      </w:r>
      <w:r>
        <w:rPr>
          <w:rFonts w:ascii="Courier New" w:cs="Courier New" w:eastAsia="Courier New" w:hAnsi="Courier New"/>
          <w:sz w:val="18"/>
          <w:szCs w:val="18"/>
        </w:rPr>
        <w:t xml:space="preserve">func(T) U</w:t>
      </w:r>
      <w:r>
        <w:rPr>
          <w:rFonts w:ascii="Palatino Linotype" w:cs="Palatino Linotype" w:eastAsia="Palatino Linotype" w:hAnsi="Palatino Linotype"/>
        </w:rPr>
        <w:t xml:space="preserve"> with </w:t>
      </w:r>
      <w:r>
        <w:rPr>
          <w:rFonts w:ascii="Courier New" w:cs="Courier New" w:eastAsia="Courier New" w:hAnsi="Courier New"/>
          <w:sz w:val="18"/>
          <w:szCs w:val="18"/>
        </w:rPr>
        <w:t xml:space="preserve">T = int</w:t>
      </w:r>
      <w:r>
        <w:rPr>
          <w:rFonts w:ascii="Palatino Linotype" w:cs="Palatino Linotype" w:eastAsia="Palatino Linotype" w:hAnsi="Palatino Linotype"/>
        </w:rPr>
        <w:t xml:space="preserve"> known from the receiver, and the result type is synthesized from the body of the lambda, which fixes </w:t>
      </w:r>
      <w:r>
        <w:rPr>
          <w:rFonts w:ascii="Courier New" w:cs="Courier New" w:eastAsia="Courier New" w:hAnsi="Courier New"/>
          <w:sz w:val="18"/>
          <w:szCs w:val="18"/>
        </w:rPr>
        <w:t xml:space="preserve">U = int</w:t>
      </w:r>
      <w:r>
        <w:rPr>
          <w:rFonts w:ascii="Palatino Linotype" w:cs="Palatino Linotype" w:eastAsia="Palatino Linotype" w:hAnsi="Palatino Linotype"/>
        </w:rPr>
        <w:t xml:space="preserve">. This scheme covers the common cases in which a lambda is passed to a parameter of function type whose input types are determined by other arguments. It does not cover (a) lambdas passed where the expected type is an unconstrained type parameter, so that no function type is available; (b) several lambdas whose parameter types depend on each other's results; and (c) lambdas whose bodies produce untyped constants while the expected result type is still unknown, where Go's default type for the constant may differ from the intended one. In these cases GoNext requires explicit parameter annotations, and the transpiler reports an error at the lambda rather than emitting code that would fail later in the Go compiler.</w:t>
      </w:r>
    </w:p>
    <w:p>
      <w:pPr>
        <w:spacing w:after="0" w:line="240"/>
        <w:ind w:firstLine="425"/>
        <w:jc w:val="both"/>
      </w:pPr>
      <w:r>
        <w:rPr>
          <w:rFonts w:ascii="Palatino Linotype" w:cs="Palatino Linotype" w:eastAsia="Palatino Linotype" w:hAnsi="Palatino Linotype"/>
        </w:rPr>
        <w:t xml:space="preserve">A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used as an expression is lowered to a statement: the transpiler declares a result variable, compiles the arms into a switch statement and assigns the result in each arm. This avoids wrapping the expression in an immediately invoked closure; such a closure is kept only where moving the evaluation would change the order of effects, for example in the right operand of </w:t>
      </w:r>
      <w:r>
        <w:rPr>
          <w:rFonts w:ascii="Courier New" w:cs="Courier New" w:eastAsia="Courier New" w:hAnsi="Courier New"/>
          <w:sz w:val="18"/>
          <w:szCs w:val="18"/>
        </w:rPr>
        <w:t xml:space="preserve">&amp;&amp;</w:t>
      </w:r>
      <w:r>
        <w:rPr>
          <w:rFonts w:ascii="Palatino Linotype" w:cs="Palatino Linotype" w:eastAsia="Palatino Linotype" w:hAnsi="Palatino Linotype"/>
        </w:rPr>
        <w:t xml:space="preserve"> or in a loop condition. In Experiment 3, the lowered generic method with a lambda processed 4096 elements in 8.36 µs, while the equivalent hand-written loop took 9.14 µs; both performed one allocation for the result slice. The difference in favor of the lowered code is within the variation that code placement can cause in micro-benchmarks and should not be read as a speed-up; the relevant observation is that the helper function and the closure did not add measurable overhead, because the compiler inlined both.</w:t>
      </w:r>
    </w:p>
    <w:p>
      <w:pPr>
        <w:keepNext/>
        <w:spacing w:after="40" w:before="100"/>
      </w:pPr>
      <w:r>
        <w:rPr>
          <w:rFonts w:ascii="Palatino Linotype" w:cs="Palatino Linotype" w:eastAsia="Palatino Linotype" w:hAnsi="Palatino Linotype"/>
          <w:sz w:val="20"/>
          <w:szCs w:val="20"/>
        </w:rPr>
        <w:t xml:space="preserve">3.3.3. Representational Extension: Enums with Associated Data</w:t>
      </w:r>
    </w:p>
    <w:p>
      <w:pPr>
        <w:spacing w:after="0" w:line="240"/>
        <w:ind w:firstLine="425"/>
        <w:jc w:val="both"/>
      </w:pPr>
      <w:r>
        <w:rPr>
          <w:rFonts w:ascii="Palatino Linotype" w:cs="Palatino Linotype" w:eastAsia="Palatino Linotype" w:hAnsi="Palatino Linotype"/>
        </w:rPr>
        <w:t xml:space="preserve">Listing 5 declares an enum with four variants and a function that matches on it. Three representations of the enum in Go were analyzed (Section 2.6). R1 maps each variant to a struct type that implements a sealed interface and lowers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to a type switch; it corresponds to the idiom that Go programmers use manually and to the encoding of algebraic data types by classes in object-oriented languages [51]. R2 maps the enum to one struct that contains a tag and the fields of all variants. R3 overlaps the scalar payloads of different variants in shared machine words and keeps a single slot of type </w:t>
      </w:r>
      <w:r>
        <w:rPr>
          <w:rFonts w:ascii="Courier New" w:cs="Courier New" w:eastAsia="Courier New" w:hAnsi="Courier New"/>
          <w:sz w:val="18"/>
          <w:szCs w:val="18"/>
        </w:rPr>
        <w:t xml:space="preserve">unsafe.Pointer</w:t>
      </w:r>
      <w:r>
        <w:rPr>
          <w:rFonts w:ascii="Palatino Linotype" w:cs="Palatino Linotype" w:eastAsia="Palatino Linotype" w:hAnsi="Palatino Linotype"/>
        </w:rPr>
        <w:t xml:space="preserve"> for pointer payloads, as shown in Listing 6.</w:t>
      </w:r>
    </w:p>
    <w:p>
      <w:pPr>
        <w:keepNext/>
        <w:spacing w:after="80" w:before="120"/>
        <w:jc w:val="both"/>
      </w:pPr>
      <w:r>
        <w:rPr>
          <w:rFonts w:ascii="Palatino Linotype" w:cs="Palatino Linotype" w:eastAsia="Palatino Linotype" w:hAnsi="Palatino Linotype"/>
          <w:b/>
          <w:bCs/>
          <w:sz w:val="18"/>
          <w:szCs w:val="18"/>
        </w:rPr>
        <w:t xml:space="preserve">Listing 5. </w:t>
      </w:r>
      <w:r>
        <w:rPr>
          <w:rFonts w:ascii="Palatino Linotype" w:cs="Palatino Linotype" w:eastAsia="Palatino Linotype" w:hAnsi="Palatino Linotype"/>
          <w:sz w:val="18"/>
          <w:szCs w:val="18"/>
        </w:rPr>
        <w:t xml:space="preserve">GoNext enum with associated data and pattern matching.</w:t>
      </w:r>
    </w:p>
    <w:p>
      <w:pPr>
        <w:keepNext/>
        <w:keepLines/>
        <w:pBdr>
          <w:top w:val="single" w:color="000000" w:sz="4"/>
        </w:pBdr>
        <w:spacing w:after="0" w:line="220"/>
      </w:pPr>
      <w:r>
        <w:rPr>
          <w:rFonts w:ascii="Courier New" w:cs="Courier New" w:eastAsia="Courier New" w:hAnsi="Courier New"/>
          <w:sz w:val="16"/>
          <w:szCs w:val="16"/>
        </w:rPr>
        <w:t xml:space="preserve">enum Shape {</w:t>
      </w:r>
    </w:p>
    <w:p>
      <w:pPr>
        <w:keepNext/>
        <w:keepLines/>
        <w:spacing w:after="0" w:line="220"/>
      </w:pPr>
      <w:r>
        <w:rPr>
          <w:rFonts w:ascii="Courier New" w:cs="Courier New" w:eastAsia="Courier New" w:hAnsi="Courier New"/>
          <w:sz w:val="16"/>
          <w:szCs w:val="16"/>
        </w:rPr>
        <w:t xml:space="preserve">    Circle(r float64)</w:t>
      </w:r>
    </w:p>
    <w:p>
      <w:pPr>
        <w:keepNext/>
        <w:keepLines/>
        <w:spacing w:after="0" w:line="220"/>
      </w:pPr>
      <w:r>
        <w:rPr>
          <w:rFonts w:ascii="Courier New" w:cs="Courier New" w:eastAsia="Courier New" w:hAnsi="Courier New"/>
          <w:sz w:val="16"/>
          <w:szCs w:val="16"/>
        </w:rPr>
        <w:t xml:space="preserve">    Rect(w, h float64)</w:t>
      </w:r>
    </w:p>
    <w:p>
      <w:pPr>
        <w:keepNext/>
        <w:keepLines/>
        <w:spacing w:after="0" w:line="220"/>
      </w:pPr>
      <w:r>
        <w:rPr>
          <w:rFonts w:ascii="Courier New" w:cs="Courier New" w:eastAsia="Courier New" w:hAnsi="Courier New"/>
          <w:sz w:val="16"/>
          <w:szCs w:val="16"/>
        </w:rPr>
        <w:t xml:space="preserve">    Triangle(a, b, c float64)</w:t>
      </w:r>
    </w:p>
    <w:p>
      <w:pPr>
        <w:keepNext/>
        <w:keepLines/>
        <w:spacing w:after="0" w:line="220"/>
      </w:pPr>
      <w:r>
        <w:rPr>
          <w:rFonts w:ascii="Courier New" w:cs="Courier New" w:eastAsia="Courier New" w:hAnsi="Courier New"/>
          <w:sz w:val="16"/>
          <w:szCs w:val="16"/>
        </w:rPr>
        <w:t xml:space="preserve">    Text(s string)</w:t>
      </w:r>
    </w:p>
    <w:p>
      <w:pPr>
        <w:keepNext/>
        <w:keepLines/>
        <w:spacing w:after="0" w:line="220"/>
      </w:pPr>
      <w:r>
        <w:rPr>
          <w:rFonts w:ascii="Courier New" w:cs="Courier New" w:eastAsia="Courier New" w:hAnsi="Courier New"/>
          <w:sz w:val="16"/>
          <w:szCs w:val="16"/>
        </w:rPr>
        <w:t xml:space="preserve">}</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func measure(s Shape) float64 {</w:t>
      </w:r>
    </w:p>
    <w:p>
      <w:pPr>
        <w:keepNext/>
        <w:keepLines/>
        <w:spacing w:after="0" w:line="220"/>
      </w:pPr>
      <w:r>
        <w:rPr>
          <w:rFonts w:ascii="Courier New" w:cs="Courier New" w:eastAsia="Courier New" w:hAnsi="Courier New"/>
          <w:sz w:val="16"/>
          <w:szCs w:val="16"/>
        </w:rPr>
        <w:t xml:space="preserve">    return match s {</w:t>
      </w:r>
    </w:p>
    <w:p>
      <w:pPr>
        <w:keepNext/>
        <w:keepLines/>
        <w:spacing w:after="0" w:line="220"/>
      </w:pPr>
      <w:r>
        <w:rPr>
          <w:rFonts w:ascii="Courier New" w:cs="Courier New" w:eastAsia="Courier New" w:hAnsi="Courier New"/>
          <w:sz w:val="16"/>
          <w:szCs w:val="16"/>
        </w:rPr>
        <w:t xml:space="preserve">        Circle(r)         =&gt; math.Pi * r * r</w:t>
      </w:r>
    </w:p>
    <w:p>
      <w:pPr>
        <w:keepNext/>
        <w:keepLines/>
        <w:spacing w:after="0" w:line="220"/>
      </w:pPr>
      <w:r>
        <w:rPr>
          <w:rFonts w:ascii="Courier New" w:cs="Courier New" w:eastAsia="Courier New" w:hAnsi="Courier New"/>
          <w:sz w:val="16"/>
          <w:szCs w:val="16"/>
        </w:rPr>
        <w:t xml:space="preserve">        Rect(w, h)        =&gt; w * h</w:t>
      </w:r>
    </w:p>
    <w:p>
      <w:pPr>
        <w:keepNext/>
        <w:keepLines/>
        <w:spacing w:after="0" w:line="220"/>
      </w:pPr>
      <w:r>
        <w:rPr>
          <w:rFonts w:ascii="Courier New" w:cs="Courier New" w:eastAsia="Courier New" w:hAnsi="Courier New"/>
          <w:sz w:val="16"/>
          <w:szCs w:val="16"/>
        </w:rPr>
        <w:t xml:space="preserve">        Triangle(a, b, c) =&gt; heron(a, b, c)</w:t>
      </w:r>
    </w:p>
    <w:p>
      <w:pPr>
        <w:keepNext/>
        <w:keepLines/>
        <w:spacing w:after="0" w:line="220"/>
      </w:pPr>
      <w:r>
        <w:rPr>
          <w:rFonts w:ascii="Courier New" w:cs="Courier New" w:eastAsia="Courier New" w:hAnsi="Courier New"/>
          <w:sz w:val="16"/>
          <w:szCs w:val="16"/>
        </w:rPr>
        <w:t xml:space="preserve">        Text(s)           =&gt; float64(len(s))</w:t>
      </w:r>
    </w:p>
    <w:p>
      <w:pPr>
        <w:keepNext/>
        <w:keepLines/>
        <w:spacing w:after="0" w:line="220"/>
      </w:pPr>
      <w:r>
        <w:rPr>
          <w:rFonts w:ascii="Courier New" w:cs="Courier New" w:eastAsia="Courier New" w:hAnsi="Courier New"/>
          <w:sz w:val="16"/>
          <w:szCs w:val="16"/>
        </w:rPr>
        <w:t xml:space="preserve">    }</w:t>
      </w:r>
    </w:p>
    <w:p>
      <w:pPr>
        <w:keepNext w:val="false"/>
        <w:keepLines/>
        <w:pBdr>
          <w:bottom w:val="single" w:color="000000" w:sz="4"/>
        </w:pBdr>
        <w:spacing w:after="0" w:line="220"/>
      </w:pPr>
      <w:r>
        <w:rPr>
          <w:rFonts w:ascii="Courier New" w:cs="Courier New" w:eastAsia="Courier New" w:hAnsi="Courier New"/>
          <w:sz w:val="16"/>
          <w:szCs w:val="16"/>
        </w:rPr>
        <w:t xml:space="preserve">}</w:t>
      </w:r>
    </w:p>
    <w:p>
      <w:pPr>
        <w:spacing w:after="60"/>
      </w:pPr>
    </w:p>
    <w:p>
      <w:pPr>
        <w:keepNext/>
        <w:spacing w:after="80" w:before="120"/>
        <w:jc w:val="both"/>
      </w:pPr>
      <w:r>
        <w:rPr>
          <w:rFonts w:ascii="Palatino Linotype" w:cs="Palatino Linotype" w:eastAsia="Palatino Linotype" w:hAnsi="Palatino Linotype"/>
          <w:b/>
          <w:bCs/>
          <w:sz w:val="18"/>
          <w:szCs w:val="18"/>
        </w:rPr>
        <w:t xml:space="preserve">Listing 6. </w:t>
      </w:r>
      <w:r>
        <w:rPr>
          <w:rFonts w:ascii="Palatino Linotype" w:cs="Palatino Linotype" w:eastAsia="Palatino Linotype" w:hAnsi="Palatino Linotype"/>
          <w:sz w:val="18"/>
          <w:szCs w:val="18"/>
        </w:rPr>
        <w:t xml:space="preserve">Go code generated for Listing 5 with the compact representation R3 (excerpt).</w:t>
      </w:r>
    </w:p>
    <w:p>
      <w:pPr>
        <w:keepNext/>
        <w:keepLines/>
        <w:pBdr>
          <w:top w:val="single" w:color="000000" w:sz="4"/>
        </w:pBdr>
        <w:spacing w:after="0" w:line="220"/>
      </w:pPr>
      <w:r>
        <w:rPr>
          <w:rFonts w:ascii="Courier New" w:cs="Courier New" w:eastAsia="Courier New" w:hAnsi="Courier New"/>
          <w:sz w:val="16"/>
          <w:szCs w:val="16"/>
        </w:rPr>
        <w:t xml:space="preserve">type Shape struct {</w:t>
      </w:r>
    </w:p>
    <w:p>
      <w:pPr>
        <w:keepNext/>
        <w:keepLines/>
        <w:spacing w:after="0" w:line="220"/>
      </w:pPr>
      <w:r>
        <w:rPr>
          <w:rFonts w:ascii="Courier New" w:cs="Courier New" w:eastAsia="Courier New" w:hAnsi="Courier New"/>
          <w:sz w:val="16"/>
          <w:szCs w:val="16"/>
        </w:rPr>
        <w:t xml:space="preserve">    tag        uint8</w:t>
      </w:r>
    </w:p>
    <w:p>
      <w:pPr>
        <w:keepNext/>
        <w:keepLines/>
        <w:spacing w:after="0" w:line="220"/>
      </w:pPr>
      <w:r>
        <w:rPr>
          <w:rFonts w:ascii="Courier New" w:cs="Courier New" w:eastAsia="Courier New" w:hAnsi="Courier New"/>
          <w:sz w:val="16"/>
          <w:szCs w:val="16"/>
        </w:rPr>
        <w:t xml:space="preserve">    w0, w1, w2 uint64          // scalar payload words shared by variants</w:t>
      </w:r>
    </w:p>
    <w:p>
      <w:pPr>
        <w:keepNext/>
        <w:keepLines/>
        <w:spacing w:after="0" w:line="220"/>
      </w:pPr>
      <w:r>
        <w:rPr>
          <w:rFonts w:ascii="Courier New" w:cs="Courier New" w:eastAsia="Courier New" w:hAnsi="Courier New"/>
          <w:sz w:val="16"/>
          <w:szCs w:val="16"/>
        </w:rPr>
        <w:t xml:space="preserve">    p          unsafe.Pointer  // pointer payload: visible to the collector</w:t>
      </w:r>
    </w:p>
    <w:p>
      <w:pPr>
        <w:keepNext/>
        <w:keepLines/>
        <w:spacing w:after="0" w:line="220"/>
      </w:pPr>
      <w:r>
        <w:rPr>
          <w:rFonts w:ascii="Courier New" w:cs="Courier New" w:eastAsia="Courier New" w:hAnsi="Courier New"/>
          <w:sz w:val="16"/>
          <w:szCs w:val="16"/>
        </w:rPr>
        <w:t xml:space="preserve">    n          int</w:t>
      </w:r>
    </w:p>
    <w:p>
      <w:pPr>
        <w:keepNext/>
        <w:keepLines/>
        <w:spacing w:after="0" w:line="220"/>
      </w:pPr>
      <w:r>
        <w:rPr>
          <w:rFonts w:ascii="Courier New" w:cs="Courier New" w:eastAsia="Courier New" w:hAnsi="Courier New"/>
          <w:sz w:val="16"/>
          <w:szCs w:val="16"/>
        </w:rPr>
        <w:t xml:space="preserve">}</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func NewShape_Circle(r float64) Shape {</w:t>
      </w:r>
    </w:p>
    <w:p>
      <w:pPr>
        <w:keepNext/>
        <w:keepLines/>
        <w:spacing w:after="0" w:line="220"/>
      </w:pPr>
      <w:r>
        <w:rPr>
          <w:rFonts w:ascii="Courier New" w:cs="Courier New" w:eastAsia="Courier New" w:hAnsi="Courier New"/>
          <w:sz w:val="16"/>
          <w:szCs w:val="16"/>
        </w:rPr>
        <w:t xml:space="preserve">    return Shape{tag: Shape_Circle, w0: math.Float64bits(r)}</w:t>
      </w:r>
    </w:p>
    <w:p>
      <w:pPr>
        <w:keepNext/>
        <w:keepLines/>
        <w:spacing w:after="0" w:line="220"/>
      </w:pPr>
      <w:r>
        <w:rPr>
          <w:rFonts w:ascii="Courier New" w:cs="Courier New" w:eastAsia="Courier New" w:hAnsi="Courier New"/>
          <w:sz w:val="16"/>
          <w:szCs w:val="16"/>
        </w:rPr>
        <w:t xml:space="preserve">}</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func measure(s Shape) float64 {</w:t>
      </w:r>
    </w:p>
    <w:p>
      <w:pPr>
        <w:keepNext/>
        <w:keepLines/>
        <w:spacing w:after="0" w:line="220"/>
      </w:pPr>
      <w:r>
        <w:rPr>
          <w:rFonts w:ascii="Courier New" w:cs="Courier New" w:eastAsia="Courier New" w:hAnsi="Courier New"/>
          <w:sz w:val="16"/>
          <w:szCs w:val="16"/>
        </w:rPr>
        <w:t xml:space="preserve">    var gnMatch1 float64</w:t>
      </w:r>
    </w:p>
    <w:p>
      <w:pPr>
        <w:keepNext/>
        <w:keepLines/>
        <w:spacing w:after="0" w:line="220"/>
      </w:pPr>
      <w:r>
        <w:rPr>
          <w:rFonts w:ascii="Courier New" w:cs="Courier New" w:eastAsia="Courier New" w:hAnsi="Courier New"/>
          <w:sz w:val="16"/>
          <w:szCs w:val="16"/>
        </w:rPr>
        <w:t xml:space="preserve">    switch s.tag {</w:t>
      </w:r>
    </w:p>
    <w:p>
      <w:pPr>
        <w:keepNext/>
        <w:keepLines/>
        <w:spacing w:after="0" w:line="220"/>
      </w:pPr>
      <w:r>
        <w:rPr>
          <w:rFonts w:ascii="Courier New" w:cs="Courier New" w:eastAsia="Courier New" w:hAnsi="Courier New"/>
          <w:sz w:val="16"/>
          <w:szCs w:val="16"/>
        </w:rPr>
        <w:t xml:space="preserve">    case Shape_Circle:</w:t>
      </w:r>
    </w:p>
    <w:p>
      <w:pPr>
        <w:keepNext/>
        <w:keepLines/>
        <w:spacing w:after="0" w:line="220"/>
      </w:pPr>
      <w:r>
        <w:rPr>
          <w:rFonts w:ascii="Courier New" w:cs="Courier New" w:eastAsia="Courier New" w:hAnsi="Courier New"/>
          <w:sz w:val="16"/>
          <w:szCs w:val="16"/>
        </w:rPr>
        <w:t xml:space="preserve">        r := math.Float64frombits(s.w0)</w:t>
      </w:r>
    </w:p>
    <w:p>
      <w:pPr>
        <w:keepNext/>
        <w:keepLines/>
        <w:spacing w:after="0" w:line="220"/>
      </w:pPr>
      <w:r>
        <w:rPr>
          <w:rFonts w:ascii="Courier New" w:cs="Courier New" w:eastAsia="Courier New" w:hAnsi="Courier New"/>
          <w:sz w:val="16"/>
          <w:szCs w:val="16"/>
        </w:rPr>
        <w:t xml:space="preserve">        gnMatch1 = math.Pi * r * r</w:t>
      </w:r>
    </w:p>
    <w:p>
      <w:pPr>
        <w:keepNext/>
        <w:keepLines/>
        <w:spacing w:after="0" w:line="220"/>
      </w:pPr>
      <w:r>
        <w:rPr>
          <w:rFonts w:ascii="Courier New" w:cs="Courier New" w:eastAsia="Courier New" w:hAnsi="Courier New"/>
          <w:sz w:val="16"/>
          <w:szCs w:val="16"/>
        </w:rPr>
        <w:t xml:space="preserve">    // ... Rect, Triangle and Text ...</w:t>
      </w:r>
    </w:p>
    <w:p>
      <w:pPr>
        <w:keepNext/>
        <w:keepLines/>
        <w:spacing w:after="0" w:line="220"/>
      </w:pPr>
      <w:r>
        <w:rPr>
          <w:rFonts w:ascii="Courier New" w:cs="Courier New" w:eastAsia="Courier New" w:hAnsi="Courier New"/>
          <w:sz w:val="16"/>
          <w:szCs w:val="16"/>
        </w:rPr>
        <w:t xml:space="preserve">    default:</w:t>
      </w:r>
    </w:p>
    <w:p>
      <w:pPr>
        <w:keepNext/>
        <w:keepLines/>
        <w:spacing w:after="0" w:line="220"/>
      </w:pPr>
      <w:r>
        <w:rPr>
          <w:rFonts w:ascii="Courier New" w:cs="Courier New" w:eastAsia="Courier New" w:hAnsi="Courier New"/>
          <w:sz w:val="16"/>
          <w:szCs w:val="16"/>
        </w:rPr>
        <w:t xml:space="preserve">        panic("gonext: non-exhaustive match on Shape")</w:t>
      </w:r>
    </w:p>
    <w:p>
      <w:pPr>
        <w:keepNext/>
        <w:keepLines/>
        <w:spacing w:after="0" w:line="220"/>
      </w:pPr>
      <w:r>
        <w:rPr>
          <w:rFonts w:ascii="Courier New" w:cs="Courier New" w:eastAsia="Courier New" w:hAnsi="Courier New"/>
          <w:sz w:val="16"/>
          <w:szCs w:val="16"/>
        </w:rPr>
        <w:t xml:space="preserve">    }</w:t>
      </w:r>
    </w:p>
    <w:p>
      <w:pPr>
        <w:keepNext/>
        <w:keepLines/>
        <w:spacing w:after="0" w:line="220"/>
      </w:pPr>
      <w:r>
        <w:rPr>
          <w:rFonts w:ascii="Courier New" w:cs="Courier New" w:eastAsia="Courier New" w:hAnsi="Courier New"/>
          <w:sz w:val="16"/>
          <w:szCs w:val="16"/>
        </w:rPr>
        <w:t xml:space="preserve">    return gnMatch1</w:t>
      </w:r>
    </w:p>
    <w:p>
      <w:pPr>
        <w:keepNext w:val="false"/>
        <w:keepLines/>
        <w:pBdr>
          <w:bottom w:val="single" w:color="000000" w:sz="4"/>
        </w:pBdr>
        <w:spacing w:after="0" w:line="220"/>
      </w:pPr>
      <w:r>
        <w:rPr>
          <w:rFonts w:ascii="Courier New" w:cs="Courier New" w:eastAsia="Courier New" w:hAnsi="Courier New"/>
          <w:sz w:val="16"/>
          <w:szCs w:val="16"/>
        </w:rPr>
        <w:t xml:space="preserve">}</w:t>
      </w:r>
    </w:p>
    <w:p>
      <w:pPr>
        <w:spacing w:after="60"/>
      </w:pPr>
    </w:p>
    <w:p>
      <w:pPr>
        <w:spacing w:after="0" w:line="240"/>
        <w:ind w:firstLine="425"/>
        <w:jc w:val="both"/>
      </w:pPr>
      <w:r>
        <w:rPr>
          <w:rFonts w:ascii="Palatino Linotype" w:cs="Palatino Linotype" w:eastAsia="Palatino Linotype" w:hAnsi="Palatino Linotype"/>
        </w:rPr>
        <w:t xml:space="preserve">Exhaustiveness is verified by the transpiler during semantic analysis, so the </w:t>
      </w:r>
      <w:r>
        <w:rPr>
          <w:rFonts w:ascii="Courier New" w:cs="Courier New" w:eastAsia="Courier New" w:hAnsi="Courier New"/>
          <w:sz w:val="18"/>
          <w:szCs w:val="18"/>
        </w:rPr>
        <w:t xml:space="preserve">default</w:t>
      </w:r>
      <w:r>
        <w:rPr>
          <w:rFonts w:ascii="Palatino Linotype" w:cs="Palatino Linotype" w:eastAsia="Palatino Linotype" w:hAnsi="Palatino Linotype"/>
        </w:rPr>
        <w:t xml:space="preserve"> branch is unreachable in programs accepted by GoNext; it remains in the generated code as a defensive check for values constructed through unsafe means.</w:t>
      </w:r>
    </w:p>
    <w:p>
      <w:pPr>
        <w:keepNext/>
        <w:spacing w:after="40" w:before="120"/>
      </w:pPr>
      <w:r>
        <w:rPr>
          <w:rFonts w:ascii="Palatino Linotype" w:cs="Palatino Linotype" w:eastAsia="Palatino Linotype" w:hAnsi="Palatino Linotype"/>
          <w:i/>
          <w:iCs/>
          <w:sz w:val="20"/>
          <w:szCs w:val="20"/>
        </w:rPr>
        <w:t xml:space="preserve">3.4. Analysis of the Generated Code</w:t>
      </w:r>
    </w:p>
    <w:p>
      <w:pPr>
        <w:spacing w:after="0" w:line="240"/>
        <w:ind w:firstLine="425"/>
        <w:jc w:val="both"/>
      </w:pPr>
      <w:r>
        <w:rPr>
          <w:rFonts w:ascii="Palatino Linotype" w:cs="Palatino Linotype" w:eastAsia="Palatino Linotype" w:hAnsi="Palatino Linotype"/>
        </w:rPr>
        <w:t xml:space="preserve">Figure 4 and Table 6 summarize Experiments 1–3. The choice of representation had a large effect on construction and memory and a small effect on matching. With the interface representation R1, every value required one heap allocation (65,536 allocations for 65,536 values), on average 16.0 bytes per value, and construction took 38.0 ns per value. The tagged representations R2 and R3 performed no allocations; construction took 11.6 and 10.4 ns per value, that is, 3.3 and 3.7 times less than R1. An exhaustive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took between 12.8 ns (R2) and 13.4 ns (R1) per value, with R3 at 13.1 ns; the differences between the representations are small and partly within the interquartile ranges, so the cost of converting payload words back to floating-point values in R3 is negligible.</w:t>
      </w:r>
    </w:p>
    <w:p>
      <w:pPr>
        <w:keepNext/>
        <w:spacing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80" w:before="120"/>
        <w:jc w:val="both"/>
      </w:pPr>
      <w:r>
        <w:rPr>
          <w:rFonts w:ascii="Palatino Linotype" w:cs="Palatino Linotype" w:eastAsia="Palatino Linotype" w:hAnsi="Palatino Linotype"/>
          <w:b/>
          <w:bCs/>
          <w:sz w:val="18"/>
          <w:szCs w:val="18"/>
        </w:rPr>
        <w:t xml:space="preserve">Figure 4. </w:t>
      </w:r>
      <w:r>
        <w:rPr>
          <w:rFonts w:ascii="Palatino Linotype" w:cs="Palatino Linotype" w:eastAsia="Palatino Linotype" w:hAnsi="Palatino Linotype"/>
          <w:sz w:val="18"/>
          <w:szCs w:val="18"/>
        </w:rPr>
        <w:t xml:space="preserve">Measurements of generated code (medians of ten runs; error bars show the interquartile range): (</w:t>
      </w:r>
      <w:r>
        <w:rPr>
          <w:rFonts w:ascii="Palatino Linotype" w:cs="Palatino Linotype" w:eastAsia="Palatino Linotype" w:hAnsi="Palatino Linotype"/>
          <w:b/>
          <w:bCs/>
          <w:sz w:val="18"/>
          <w:szCs w:val="18"/>
        </w:rPr>
        <w:t xml:space="preserve">a</w:t>
      </w:r>
      <w:r>
        <w:rPr>
          <w:rFonts w:ascii="Palatino Linotype" w:cs="Palatino Linotype" w:eastAsia="Palatino Linotype" w:hAnsi="Palatino Linotype"/>
          <w:sz w:val="18"/>
          <w:szCs w:val="18"/>
        </w:rPr>
        <w:t xml:space="preserve">) time to construct one enum value with representations R1–R3; (</w:t>
      </w:r>
      <w:r>
        <w:rPr>
          <w:rFonts w:ascii="Palatino Linotype" w:cs="Palatino Linotype" w:eastAsia="Palatino Linotype" w:hAnsi="Palatino Linotype"/>
          <w:b/>
          <w:bCs/>
          <w:sz w:val="18"/>
          <w:szCs w:val="18"/>
        </w:rPr>
        <w:t xml:space="preserve">b</w:t>
      </w:r>
      <w:r>
        <w:rPr>
          <w:rFonts w:ascii="Palatino Linotype" w:cs="Palatino Linotype" w:eastAsia="Palatino Linotype" w:hAnsi="Palatino Linotype"/>
          <w:sz w:val="18"/>
          <w:szCs w:val="18"/>
        </w:rPr>
        <w:t xml:space="preserve">) time of an exhaustive match per value; (</w:t>
      </w:r>
      <w:r>
        <w:rPr>
          <w:rFonts w:ascii="Palatino Linotype" w:cs="Palatino Linotype" w:eastAsia="Palatino Linotype" w:hAnsi="Palatino Linotype"/>
          <w:b/>
          <w:bCs/>
          <w:sz w:val="18"/>
          <w:szCs w:val="18"/>
        </w:rPr>
        <w:t xml:space="preserve">c</w:t>
      </w:r>
      <w:r>
        <w:rPr>
          <w:rFonts w:ascii="Palatino Linotype" w:cs="Palatino Linotype" w:eastAsia="Palatino Linotype" w:hAnsi="Palatino Linotype"/>
          <w:sz w:val="18"/>
          <w:szCs w:val="18"/>
        </w:rPr>
        <w:t xml:space="preserve">) memory per value, split into the slot stored in the slice and the heap allocation of R1 (hatched); (</w:t>
      </w:r>
      <w:r>
        <w:rPr>
          <w:rFonts w:ascii="Palatino Linotype" w:cs="Palatino Linotype" w:eastAsia="Palatino Linotype" w:hAnsi="Palatino Linotype"/>
          <w:b/>
          <w:bCs/>
          <w:sz w:val="18"/>
          <w:szCs w:val="18"/>
        </w:rPr>
        <w:t xml:space="preserve">d</w:t>
      </w:r>
      <w:r>
        <w:rPr>
          <w:rFonts w:ascii="Palatino Linotype" w:cs="Palatino Linotype" w:eastAsia="Palatino Linotype" w:hAnsi="Palatino Linotype"/>
          <w:sz w:val="18"/>
          <w:szCs w:val="18"/>
        </w:rPr>
        <w:t xml:space="preserve">) call with named and default arguments lowered by GoNext compared with two idiomatic Go emulations.</w:t>
      </w:r>
    </w:p>
    <w:p>
      <w:pPr>
        <w:spacing w:after="0" w:line="240"/>
        <w:ind w:firstLine="425"/>
        <w:jc w:val="both"/>
      </w:pPr>
      <w:r>
        <w:rPr>
          <w:rFonts w:ascii="Palatino Linotype" w:cs="Palatino Linotype" w:eastAsia="Palatino Linotype" w:hAnsi="Palatino Linotype"/>
        </w:rPr>
        <w:t xml:space="preserve">The memory footprint shows the trade-off between R2 and R3 (Figure 4c). R1 stores a 16-byte interface value per element plus a separately allocated payload of 8 to 24 bytes. R2 needs 72 bytes per value regardless of the variant, because it reserves space for the fields of all variants. R3 needs 48 bytes, a reduction of one third relative to R2, because scalar payloads of different variants share the same three words. The saving grows with the number of variants and is bounded by the size of the largest variant.</w:t>
      </w:r>
    </w:p>
    <w:p>
      <w:pPr>
        <w:keepNext/>
        <w:spacing w:after="80" w:before="120"/>
        <w:jc w:val="both"/>
      </w:pPr>
      <w:r>
        <w:rPr>
          <w:rFonts w:ascii="Palatino Linotype" w:cs="Palatino Linotype" w:eastAsia="Palatino Linotype" w:hAnsi="Palatino Linotype"/>
          <w:b/>
          <w:bCs/>
          <w:sz w:val="18"/>
          <w:szCs w:val="18"/>
        </w:rPr>
        <w:t xml:space="preserve">Table 6. </w:t>
      </w:r>
      <w:r>
        <w:rPr>
          <w:rFonts w:ascii="Palatino Linotype" w:cs="Palatino Linotype" w:eastAsia="Palatino Linotype" w:hAnsi="Palatino Linotype"/>
          <w:sz w:val="18"/>
          <w:szCs w:val="18"/>
        </w:rPr>
        <w:t xml:space="preserve">Generated-code measurements: median [interquartile range] of ten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8"/>
        <w:gridCol w:w="2600"/>
        <w:gridCol w:w="1400"/>
        <w:gridCol w:w="1900"/>
      </w:tblGrid>
      <w:tr>
        <w:trPr>
          <w:tblHeader/>
        </w:trPr>
        <w:tc>
          <w:tcPr>
            <w:tcW w:type="dxa" w:w="3738"/>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Benchmark</w:t>
            </w:r>
          </w:p>
        </w:tc>
        <w:tc>
          <w:tcPr>
            <w:tcW w:type="dxa" w:w="26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Time</w:t>
            </w:r>
          </w:p>
        </w:tc>
        <w:tc>
          <w:tcPr>
            <w:tcW w:type="dxa" w:w="14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Allocations</w:t>
            </w:r>
          </w:p>
        </w:tc>
        <w:tc>
          <w:tcPr>
            <w:tcW w:type="dxa" w:w="19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Memory</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Enum construction, R1 interface</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38.0 [37.6–38.6] ns/value</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 per value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16 B + 16.0 B heap</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Enum construction, R2 flat struct</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11.6 [11.3–12.1] ns/value</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72 B</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Enum construction, R3 compact struct</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10.4 [10.3–10.6] ns/value</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48 B</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Exhaustive match, R1</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13.4 [13.2–13.5] ns/value</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Exhaustive match, R2</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12.8 [12.4–13.1] ns/value</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Exhaustive match, R3</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13.1 [12.8–13.5] ns/value</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Named/default call, GoNext lowering</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8.7 [8.6–8.8] ns/call</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 B</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Named/default call, configuration struct</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10.8 [10.7–10.9] ns/call</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 B</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Named/default call, functional options</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48.5 [47.5–49.5] ns/call</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48 B</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Generic method + lambda (4096 elements)</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8.36 [8.23–8.74] µs</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32 KiB</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Hand-written loop (4096 elements)</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9.14 [8.61–9.42] µs</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32 KiB</w:t>
            </w:r>
          </w:p>
        </w:tc>
      </w:tr>
      <w:tr>
        <w:trPr>
          <w:cantSplit/>
        </w:trPr>
        <w:tc>
          <w:tcPr>
            <w:tcW w:type="dxa" w:w="37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Extension method sum (4096 elements)</w:t>
            </w:r>
          </w:p>
        </w:tc>
        <w:tc>
          <w:tcPr>
            <w:tcW w:type="dxa" w:w="26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1.264 [1.183–1.286] µs</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 B</w:t>
            </w:r>
          </w:p>
        </w:tc>
      </w:tr>
      <w:tr>
        <w:trPr>
          <w:cantSplit/>
        </w:trPr>
        <w:tc>
          <w:tcPr>
            <w:tcW w:type="dxa" w:w="3738"/>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Hand-written sum (4096 elements)</w:t>
            </w:r>
          </w:p>
        </w:tc>
        <w:tc>
          <w:tcPr>
            <w:tcW w:type="dxa" w:w="26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1.302 [1.253–1.319] µs</w:t>
            </w:r>
          </w:p>
        </w:tc>
        <w:tc>
          <w:tcPr>
            <w:tcW w:type="dxa" w:w="14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19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 B</w:t>
            </w:r>
          </w:p>
        </w:tc>
      </w:tr>
    </w:tbl>
    <w:p>
      <w:pPr>
        <w:spacing w:after="60"/>
      </w:pPr>
    </w:p>
    <w:p>
      <w:pPr>
        <w:keepNext/>
        <w:spacing w:after="40" w:before="120"/>
      </w:pPr>
      <w:r>
        <w:rPr>
          <w:rFonts w:ascii="Palatino Linotype" w:cs="Palatino Linotype" w:eastAsia="Palatino Linotype" w:hAnsi="Palatino Linotype"/>
          <w:i/>
          <w:iCs/>
          <w:sz w:val="20"/>
          <w:szCs w:val="20"/>
        </w:rPr>
        <w:t xml:space="preserve">3.5. Pointer Visibility for the Garbage Collector</w:t>
      </w:r>
    </w:p>
    <w:p>
      <w:pPr>
        <w:spacing w:after="0" w:line="240"/>
        <w:ind w:firstLine="425"/>
        <w:jc w:val="both"/>
      </w:pPr>
      <w:r>
        <w:rPr>
          <w:rFonts w:ascii="Palatino Linotype" w:cs="Palatino Linotype" w:eastAsia="Palatino Linotype" w:hAnsi="Palatino Linotype"/>
        </w:rPr>
        <w:t xml:space="preserve">Experiment 4 tested the invariant (4) directly. Table 7 shows the result. When the pointer payload of a variant was stored in an </w:t>
      </w:r>
      <w:r>
        <w:rPr>
          <w:rFonts w:ascii="Courier New" w:cs="Courier New" w:eastAsia="Courier New" w:hAnsi="Courier New"/>
          <w:sz w:val="18"/>
          <w:szCs w:val="18"/>
        </w:rPr>
        <w:t xml:space="preserve">unsafe.Pointer</w:t>
      </w:r>
      <w:r>
        <w:rPr>
          <w:rFonts w:ascii="Palatino Linotype" w:cs="Palatino Linotype" w:eastAsia="Palatino Linotype" w:hAnsi="Palatino Linotype"/>
        </w:rPr>
        <w:t xml:space="preserve"> slot or as an interface value, none of the 10,000 referenced nodes was finalized in any of the ten trials. When the same payload was stored in a </w:t>
      </w:r>
      <w:r>
        <w:rPr>
          <w:rFonts w:ascii="Courier New" w:cs="Courier New" w:eastAsia="Courier New" w:hAnsi="Courier New"/>
          <w:sz w:val="18"/>
          <w:szCs w:val="18"/>
        </w:rPr>
        <w:t xml:space="preserve">uintptr</w:t>
      </w:r>
      <w:r>
        <w:rPr>
          <w:rFonts w:ascii="Palatino Linotype" w:cs="Palatino Linotype" w:eastAsia="Palatino Linotype" w:hAnsi="Palatino Linotype"/>
        </w:rPr>
        <w:t xml:space="preserve"> word, which is what a layout overlapping all payloads in an integer buffer amounts to, the collector reclaimed all 10,000 nodes in every trial (median 10,000, range 10,000–10,000), although the enum values that referred to them were still alive. Any subsequent access through such a value would read freed memory. The defect is silent: the program compiles, </w:t>
      </w:r>
      <w:r>
        <w:rPr>
          <w:rFonts w:ascii="Courier New" w:cs="Courier New" w:eastAsia="Courier New" w:hAnsi="Courier New"/>
          <w:sz w:val="18"/>
          <w:szCs w:val="18"/>
        </w:rPr>
        <w:t xml:space="preserve">go vet</w:t>
      </w:r>
      <w:r>
        <w:rPr>
          <w:rFonts w:ascii="Palatino Linotype" w:cs="Palatino Linotype" w:eastAsia="Palatino Linotype" w:hAnsi="Palatino Linotype"/>
        </w:rPr>
        <w:t xml:space="preserve"> (Go 1.24) reports no warning because the integer is never converted back in the test program, and the failure depends on the timing of garbage collection.</w:t>
      </w:r>
    </w:p>
    <w:p>
      <w:pPr>
        <w:keepNext/>
        <w:spacing w:after="80" w:before="120"/>
        <w:jc w:val="both"/>
      </w:pPr>
      <w:r>
        <w:rPr>
          <w:rFonts w:ascii="Palatino Linotype" w:cs="Palatino Linotype" w:eastAsia="Palatino Linotype" w:hAnsi="Palatino Linotype"/>
          <w:b/>
          <w:bCs/>
          <w:sz w:val="18"/>
          <w:szCs w:val="18"/>
        </w:rPr>
        <w:t xml:space="preserve">Table 7. </w:t>
      </w:r>
      <w:r>
        <w:rPr>
          <w:rFonts w:ascii="Palatino Linotype" w:cs="Palatino Linotype" w:eastAsia="Palatino Linotype" w:hAnsi="Palatino Linotype"/>
          <w:sz w:val="18"/>
          <w:szCs w:val="18"/>
        </w:rPr>
        <w:t xml:space="preserve">Objects reclaimed while still referenced by live enum values (10 trials × 10,000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500"/>
        <w:gridCol w:w="2700"/>
        <w:gridCol w:w="2200"/>
      </w:tblGrid>
      <w:tr>
        <w:trPr>
          <w:tblHeader/>
        </w:trPr>
        <w:tc>
          <w:tcPr>
            <w:tcW w:type="dxa" w:w="3238"/>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Storage of the pointer payload</w:t>
            </w:r>
          </w:p>
        </w:tc>
        <w:tc>
          <w:tcPr>
            <w:tcW w:type="dxa" w:w="15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GC-visible</w:t>
            </w:r>
          </w:p>
        </w:tc>
        <w:tc>
          <w:tcPr>
            <w:tcW w:type="dxa" w:w="27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Reclaimed per trial (median)</w:t>
            </w:r>
          </w:p>
        </w:tc>
        <w:tc>
          <w:tcPr>
            <w:tcW w:type="dxa" w:w="22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Range</w:t>
            </w:r>
          </w:p>
        </w:tc>
      </w:tr>
      <w:tr>
        <w:trPr>
          <w:cantSplit/>
        </w:trPr>
        <w:tc>
          <w:tcPr>
            <w:tcW w:type="dxa" w:w="3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unsafe.Pointer</w:t>
            </w:r>
            <w:r>
              <w:rPr>
                <w:rFonts w:ascii="Palatino Linotype" w:cs="Palatino Linotype" w:eastAsia="Palatino Linotype" w:hAnsi="Palatino Linotype"/>
                <w:b w:val="false"/>
                <w:bCs w:val="false"/>
                <w:sz w:val="17"/>
                <w:szCs w:val="17"/>
              </w:rPr>
              <w:t xml:space="preserve"> slot (R3)</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Yes</w:t>
            </w:r>
          </w:p>
        </w:tc>
        <w:tc>
          <w:tcPr>
            <w:tcW w:type="dxa" w:w="27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22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0–0</w:t>
            </w:r>
          </w:p>
        </w:tc>
      </w:tr>
      <w:tr>
        <w:trPr>
          <w:cantSplit/>
        </w:trPr>
        <w:tc>
          <w:tcPr>
            <w:tcW w:type="dxa" w:w="32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Interface value (R1)</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Yes</w:t>
            </w:r>
          </w:p>
        </w:tc>
        <w:tc>
          <w:tcPr>
            <w:tcW w:type="dxa" w:w="27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w:t>
            </w:r>
          </w:p>
        </w:tc>
        <w:tc>
          <w:tcPr>
            <w:tcW w:type="dxa" w:w="22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0–0</w:t>
            </w:r>
          </w:p>
        </w:tc>
      </w:tr>
      <w:tr>
        <w:trPr>
          <w:cantSplit/>
        </w:trPr>
        <w:tc>
          <w:tcPr>
            <w:tcW w:type="dxa" w:w="3238"/>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Courier New" w:cs="Courier New" w:eastAsia="Courier New" w:hAnsi="Courier New"/>
                <w:sz w:val="15"/>
                <w:szCs w:val="15"/>
              </w:rPr>
              <w:t xml:space="preserve">uintptr</w:t>
            </w:r>
            <w:r>
              <w:rPr>
                <w:rFonts w:ascii="Palatino Linotype" w:cs="Palatino Linotype" w:eastAsia="Palatino Linotype" w:hAnsi="Palatino Linotype"/>
                <w:b w:val="false"/>
                <w:bCs w:val="false"/>
                <w:sz w:val="17"/>
                <w:szCs w:val="17"/>
              </w:rPr>
              <w:t xml:space="preserve"> word</w:t>
            </w:r>
          </w:p>
        </w:tc>
        <w:tc>
          <w:tcPr>
            <w:tcW w:type="dxa" w:w="15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w:t>
            </w:r>
          </w:p>
        </w:tc>
        <w:tc>
          <w:tcPr>
            <w:tcW w:type="dxa" w:w="27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10,000</w:t>
            </w:r>
          </w:p>
        </w:tc>
        <w:tc>
          <w:tcPr>
            <w:tcW w:type="dxa" w:w="22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10,000–10,000</w:t>
            </w:r>
          </w:p>
        </w:tc>
      </w:tr>
    </w:tbl>
    <w:p>
      <w:pPr>
        <w:spacing w:after="60"/>
      </w:pPr>
    </w:p>
    <w:p>
      <w:pPr>
        <w:spacing w:after="0" w:line="240"/>
        <w:ind w:firstLine="425"/>
        <w:jc w:val="both"/>
      </w:pPr>
      <w:r>
        <w:rPr>
          <w:rFonts w:ascii="Palatino Linotype" w:cs="Palatino Linotype" w:eastAsia="Palatino Linotype" w:hAnsi="Palatino Linotype"/>
        </w:rPr>
        <w:t xml:space="preserve">The result explains why compact layouts familiar from C unions cannot be transferred to Go mechanically. A correct compact representation must assign every pointer-carrying payload field to a slot of pointer type, and it must keep pointer slots shared only between payloads whose types are compatible with this treatment; strings and slices, for example, are represented as a pointer word plus integer words. The rule is checked by the lowering stage when it computes the slot assignment of an enum, using the pointer information of the payload types obtained during semantic analysis.</w:t>
      </w:r>
    </w:p>
    <w:p>
      <w:pPr>
        <w:keepNext/>
        <w:spacing w:after="40" w:before="120"/>
      </w:pPr>
      <w:r>
        <w:rPr>
          <w:rFonts w:ascii="Palatino Linotype" w:cs="Palatino Linotype" w:eastAsia="Palatino Linotype" w:hAnsi="Palatino Linotype"/>
          <w:i/>
          <w:iCs/>
          <w:sz w:val="20"/>
          <w:szCs w:val="20"/>
        </w:rPr>
        <w:t xml:space="preserve">3.6. Comparison with Related Approaches</w:t>
      </w:r>
    </w:p>
    <w:p>
      <w:pPr>
        <w:spacing w:after="0" w:line="240"/>
        <w:ind w:firstLine="425"/>
        <w:jc w:val="both"/>
      </w:pPr>
      <w:r>
        <w:rPr>
          <w:rFonts w:ascii="Palatino Linotype" w:cs="Palatino Linotype" w:eastAsia="Palatino Linotype" w:hAnsi="Palatino Linotype"/>
        </w:rPr>
        <w:t xml:space="preserve">Table 8 places GoNext among related approaches to language extension and translation. TypeScript and Scala.js show the benefit of a high-level target for adoption, but target JavaScript. Racket and SugarJ provide general mechanisms for extending a host language from within, at the price of tying the extension to that host's macro or library system. Language workbenches and transformation languages provide infrastructure for defining arbitrary languages but leave the choice of target and runtime to the user. XGo and Borgo are the closest systems: both build on the Go toolchain and interoperate with Go code. GoNext differs from them in its goal and method: it extends Go itself rather than defining a separate language, keeps every Go program valid, and is accompanied by an explicit classification of transformations and by measurements of the cost of each class.</w:t>
      </w:r>
    </w:p>
    <w:p>
      <w:pPr>
        <w:keepNext/>
        <w:spacing w:after="80" w:before="120"/>
        <w:jc w:val="both"/>
      </w:pPr>
      <w:r>
        <w:rPr>
          <w:rFonts w:ascii="Palatino Linotype" w:cs="Palatino Linotype" w:eastAsia="Palatino Linotype" w:hAnsi="Palatino Linotype"/>
          <w:b/>
          <w:bCs/>
          <w:sz w:val="18"/>
          <w:szCs w:val="18"/>
        </w:rPr>
        <w:t xml:space="preserve">Table 8. </w:t>
      </w:r>
      <w:r>
        <w:rPr>
          <w:rFonts w:ascii="Palatino Linotype" w:cs="Palatino Linotype" w:eastAsia="Palatino Linotype" w:hAnsi="Palatino Linotype"/>
          <w:sz w:val="18"/>
          <w:szCs w:val="18"/>
        </w:rPr>
        <w:t xml:space="preserve">Comparison of GoNext with related approaches.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500"/>
        <w:gridCol w:w="1800"/>
        <w:gridCol w:w="1838"/>
      </w:tblGrid>
      <w:tr>
        <w:trPr>
          <w:tblHeader/>
        </w:trPr>
        <w:tc>
          <w:tcPr>
            <w:tcW w:type="dxa" w:w="21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Approach</w:t>
            </w:r>
          </w:p>
        </w:tc>
        <w:tc>
          <w:tcPr>
            <w:tcW w:type="dxa" w:w="14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Target</w:t>
            </w:r>
          </w:p>
        </w:tc>
        <w:tc>
          <w:tcPr>
            <w:tcW w:type="dxa" w:w="25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Extension mechanism</w:t>
            </w:r>
          </w:p>
        </w:tc>
        <w:tc>
          <w:tcPr>
            <w:tcW w:type="dxa" w:w="1800"/>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Source compatible with target</w:t>
            </w:r>
          </w:p>
        </w:tc>
        <w:tc>
          <w:tcPr>
            <w:tcW w:type="dxa" w:w="1838"/>
            <w:tcBorders>
              <w:top w:val="single" w:color="000000" w:sz="4"/>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bCs/>
                <w:sz w:val="17"/>
                <w:szCs w:val="17"/>
              </w:rPr>
              <w:t xml:space="preserve">Cost analysis of transformations</w:t>
            </w:r>
          </w:p>
        </w:tc>
      </w:tr>
      <w:tr>
        <w:trPr>
          <w:cantSplit/>
        </w:trPr>
        <w:tc>
          <w:tcPr>
            <w:tcW w:type="dxa" w:w="21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TypeScript [5]</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JavaScript</w:t>
            </w:r>
          </w:p>
        </w:tc>
        <w:tc>
          <w:tcPr>
            <w:tcW w:type="dxa" w:w="2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Typed superset, type erasure</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Yes (superset)</w:t>
            </w:r>
          </w:p>
        </w:tc>
        <w:tc>
          <w:tcPr>
            <w:tcW w:type="dxa" w:w="18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Not applicable (erasure)</w:t>
            </w:r>
          </w:p>
        </w:tc>
      </w:tr>
      <w:tr>
        <w:trPr>
          <w:cantSplit/>
        </w:trPr>
        <w:tc>
          <w:tcPr>
            <w:tcW w:type="dxa" w:w="21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Scala.js [7]</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JavaScript</w:t>
            </w:r>
          </w:p>
        </w:tc>
        <w:tc>
          <w:tcPr>
            <w:tcW w:type="dxa" w:w="2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Compiler back end</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w:t>
            </w:r>
          </w:p>
        </w:tc>
        <w:tc>
          <w:tcPr>
            <w:tcW w:type="dxa" w:w="18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Interoperability semantics</w:t>
            </w:r>
          </w:p>
        </w:tc>
      </w:tr>
      <w:tr>
        <w:trPr>
          <w:cantSplit/>
        </w:trPr>
        <w:tc>
          <w:tcPr>
            <w:tcW w:type="dxa" w:w="21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Racket languages [9]</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Racket</w:t>
            </w:r>
          </w:p>
        </w:tc>
        <w:tc>
          <w:tcPr>
            <w:tcW w:type="dxa" w:w="2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Macros, languages as libraries</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Host-specific</w:t>
            </w:r>
          </w:p>
        </w:tc>
        <w:tc>
          <w:tcPr>
            <w:tcW w:type="dxa" w:w="18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w:t>
            </w:r>
          </w:p>
        </w:tc>
      </w:tr>
      <w:tr>
        <w:trPr>
          <w:cantSplit/>
        </w:trPr>
        <w:tc>
          <w:tcPr>
            <w:tcW w:type="dxa" w:w="21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SugarJ [8]</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Java</w:t>
            </w:r>
          </w:p>
        </w:tc>
        <w:tc>
          <w:tcPr>
            <w:tcW w:type="dxa" w:w="2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Library-based syntax extension</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Yes</w:t>
            </w:r>
          </w:p>
        </w:tc>
        <w:tc>
          <w:tcPr>
            <w:tcW w:type="dxa" w:w="18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w:t>
            </w:r>
          </w:p>
        </w:tc>
      </w:tr>
      <w:tr>
        <w:trPr>
          <w:cantSplit/>
        </w:trPr>
        <w:tc>
          <w:tcPr>
            <w:tcW w:type="dxa" w:w="21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Spoofax, Rascal [10,14]</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User-defined</w:t>
            </w:r>
          </w:p>
        </w:tc>
        <w:tc>
          <w:tcPr>
            <w:tcW w:type="dxa" w:w="2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Language workbench</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Not applicable</w:t>
            </w:r>
          </w:p>
        </w:tc>
        <w:tc>
          <w:tcPr>
            <w:tcW w:type="dxa" w:w="18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w:t>
            </w:r>
          </w:p>
        </w:tc>
      </w:tr>
      <w:tr>
        <w:trPr>
          <w:cantSplit/>
        </w:trPr>
        <w:tc>
          <w:tcPr>
            <w:tcW w:type="dxa" w:w="21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XGo (Go+) [28]</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Go toolchain</w:t>
            </w:r>
          </w:p>
        </w:tc>
        <w:tc>
          <w:tcPr>
            <w:tcW w:type="dxa" w:w="2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Separate Go-compatible language</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Partially</w:t>
            </w:r>
          </w:p>
        </w:tc>
        <w:tc>
          <w:tcPr>
            <w:tcW w:type="dxa" w:w="18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w:t>
            </w:r>
          </w:p>
        </w:tc>
      </w:tr>
      <w:tr>
        <w:trPr>
          <w:cantSplit/>
        </w:trPr>
        <w:tc>
          <w:tcPr>
            <w:tcW w:type="dxa" w:w="21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Borgo [29]</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Go</w:t>
            </w:r>
          </w:p>
        </w:tc>
        <w:tc>
          <w:tcPr>
            <w:tcW w:type="dxa" w:w="25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Separate language compiled to Go</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w:t>
            </w:r>
          </w:p>
        </w:tc>
        <w:tc>
          <w:tcPr>
            <w:tcW w:type="dxa" w:w="1838"/>
            <w:tcBorders>
              <w:top w:val="none" w:color="FFFFFF" w:sz="0"/>
              <w:left w:val="none" w:color="FFFFFF" w:sz="0"/>
              <w:bottom w:val="none" w:color="FFFFFF" w:sz="0"/>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No</w:t>
            </w:r>
          </w:p>
        </w:tc>
      </w:tr>
      <w:tr>
        <w:trPr>
          <w:cantSplit/>
        </w:trPr>
        <w:tc>
          <w:tcPr>
            <w:tcW w:type="dxa" w:w="21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GoNext (this work)</w:t>
            </w:r>
          </w:p>
        </w:tc>
        <w:tc>
          <w:tcPr>
            <w:tcW w:type="dxa" w:w="14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Go</w:t>
            </w:r>
          </w:p>
        </w:tc>
        <w:tc>
          <w:tcPr>
            <w:tcW w:type="dxa" w:w="25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Dialect of Go, six-stage transpiler</w:t>
            </w:r>
          </w:p>
        </w:tc>
        <w:tc>
          <w:tcPr>
            <w:tcW w:type="dxa" w:w="1800"/>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Yes (superset)</w:t>
            </w:r>
          </w:p>
        </w:tc>
        <w:tc>
          <w:tcPr>
            <w:tcW w:type="dxa" w:w="1838"/>
            <w:tcBorders>
              <w:top w:val="none" w:color="FFFFFF" w:sz="0"/>
              <w:left w:val="none" w:color="FFFFFF" w:sz="0"/>
              <w:bottom w:val="single" w:color="000000" w:sz="4"/>
              <w:right w:val="none" w:color="FFFFFF" w:sz="0"/>
            </w:tcBorders>
            <w:tcMar>
              <w:top w:type="dxa" w:w="30"/>
              <w:left w:type="dxa" w:w="80"/>
              <w:bottom w:type="dxa" w:w="30"/>
              <w:right w:type="dxa" w:w="80"/>
            </w:tcMar>
          </w:tcPr>
          <w:p>
            <w:pPr>
              <w:spacing w:after="0"/>
            </w:pPr>
            <w:r>
              <w:rPr>
                <w:rFonts w:ascii="Palatino Linotype" w:cs="Palatino Linotype" w:eastAsia="Palatino Linotype" w:hAnsi="Palatino Linotype"/>
                <w:b w:val="false"/>
                <w:bCs w:val="false"/>
                <w:sz w:val="17"/>
                <w:szCs w:val="17"/>
              </w:rPr>
              <w:t xml:space="preserve">Three classes, measured</w:t>
            </w:r>
          </w:p>
        </w:tc>
      </w:tr>
    </w:tbl>
    <w:p>
      <w:pPr>
        <w:spacing w:after="60"/>
      </w:pPr>
    </w:p>
    <w:p>
      <w:pPr>
        <w:keepNext/>
        <w:spacing w:after="60" w:before="200"/>
      </w:pPr>
      <w:r>
        <w:rPr>
          <w:rFonts w:ascii="Palatino Linotype" w:cs="Palatino Linotype" w:eastAsia="Palatino Linotype" w:hAnsi="Palatino Linotype"/>
          <w:b/>
          <w:bCs/>
          <w:sz w:val="20"/>
          <w:szCs w:val="20"/>
        </w:rPr>
        <w:t xml:space="preserve">4. Discussion</w:t>
      </w:r>
    </w:p>
    <w:p>
      <w:pPr>
        <w:keepNext/>
        <w:spacing w:after="40" w:before="120"/>
      </w:pPr>
      <w:r>
        <w:rPr>
          <w:rFonts w:ascii="Palatino Linotype" w:cs="Palatino Linotype" w:eastAsia="Palatino Linotype" w:hAnsi="Palatino Linotype"/>
          <w:i/>
          <w:iCs/>
          <w:sz w:val="20"/>
          <w:szCs w:val="20"/>
        </w:rPr>
        <w:t xml:space="preserve">4.1. Interpretation of the Results</w:t>
      </w:r>
    </w:p>
    <w:p>
      <w:pPr>
        <w:spacing w:after="0" w:line="240"/>
        <w:ind w:firstLine="425"/>
        <w:jc w:val="both"/>
      </w:pPr>
      <w:r>
        <w:rPr>
          <w:rFonts w:ascii="Palatino Linotype" w:cs="Palatino Linotype" w:eastAsia="Palatino Linotype" w:hAnsi="Palatino Linotype"/>
        </w:rPr>
        <w:t xml:space="preserve">The results support the working hypothesis that Go can serve as a host platform for high-level language extensions without changes to its compiler, but they also show that the answer depends on the class of the extension. For syntactic extensions the question is settled by construction: the generated code is the code a programmer would write, and Experiment 2 shows that a GoNext call with named and default arguments costs the same as a plain call and less than one fifth of the time of the functional-options idiom that Go programmers use to approximate the feature. The practical benefit of such extensions is therefore not speed but the removal of boilerplate without the hidden allocation of the idiomatic workaround.</w:t>
      </w:r>
    </w:p>
    <w:p>
      <w:pPr>
        <w:spacing w:after="0" w:line="240"/>
        <w:ind w:firstLine="425"/>
        <w:jc w:val="both"/>
      </w:pPr>
      <w:r>
        <w:rPr>
          <w:rFonts w:ascii="Palatino Linotype" w:cs="Palatino Linotype" w:eastAsia="Palatino Linotype" w:hAnsi="Palatino Linotype"/>
        </w:rPr>
        <w:t xml:space="preserve">Structural extensions occupy the middle ground. Lifting generic methods to top-level functions works because Go's generic functions are a complete substitute at the call site; what is lost is the ability of such methods to satisfy interfaces, which follows from Go's design choice to keep method sets free of type parameters [25,45]. The cost of helper functions and closures depends on inlining by the Go compiler, which in our experiments removed it entirely. The real limit of the structural class lies in type inference: the transpiler must infer types that Go itself does not infer, and it can do so reliably only in the bidirectional form described in Section 3.3.2. This is consistent with the general experience that local, bidirectional inference scales well and global inference does not [49,50].</w:t>
      </w:r>
    </w:p>
    <w:p>
      <w:pPr>
        <w:spacing w:after="0" w:line="240"/>
        <w:ind w:firstLine="425"/>
        <w:jc w:val="both"/>
      </w:pPr>
      <w:r>
        <w:rPr>
          <w:rFonts w:ascii="Palatino Linotype" w:cs="Palatino Linotype" w:eastAsia="Palatino Linotype" w:hAnsi="Palatino Linotype"/>
        </w:rPr>
        <w:t xml:space="preserve">Representational extensions are where Go's restrictions are felt most directly, and where the generated code must be designed with knowledge of the runtime. The interface representation is the most natural lowering and integrates best with Go tooling, but it allocates on every construction; the tagged representations avoid allocations and reduce construction time by a factor of 3.3 to 3.7, and the compact layout further reduces memory by one third. The pointer-visibility experiment shows that the most compact layouts are unsafe in a precise, concurrent collector. These observations are consistent with empirical findings that uses of the </w:t>
      </w:r>
      <w:r>
        <w:rPr>
          <w:rFonts w:ascii="Courier New" w:cs="Courier New" w:eastAsia="Courier New" w:hAnsi="Courier New"/>
          <w:sz w:val="18"/>
          <w:szCs w:val="18"/>
        </w:rPr>
        <w:t xml:space="preserve">unsafe</w:t>
      </w:r>
      <w:r>
        <w:rPr>
          <w:rFonts w:ascii="Palatino Linotype" w:cs="Palatino Linotype" w:eastAsia="Palatino Linotype" w:hAnsi="Palatino Linotype"/>
        </w:rPr>
        <w:t xml:space="preserve"> package in Go projects are a frequent source of subtle errors [52], and they suggest that representation selection should be an explicit, checked decision of the transpiler rather than a fixed scheme.</w:t>
      </w:r>
    </w:p>
    <w:p>
      <w:pPr>
        <w:keepNext/>
        <w:spacing w:after="40" w:before="120"/>
      </w:pPr>
      <w:r>
        <w:rPr>
          <w:rFonts w:ascii="Palatino Linotype" w:cs="Palatino Linotype" w:eastAsia="Palatino Linotype" w:hAnsi="Palatino Linotype"/>
          <w:i/>
          <w:iCs/>
          <w:sz w:val="20"/>
          <w:szCs w:val="20"/>
        </w:rPr>
        <w:t xml:space="preserve">4.2. Domains of Applicability</w:t>
      </w:r>
    </w:p>
    <w:p>
      <w:pPr>
        <w:spacing w:after="0" w:line="240"/>
        <w:ind w:firstLine="425"/>
        <w:jc w:val="both"/>
      </w:pPr>
      <w:r>
        <w:rPr>
          <w:rFonts w:ascii="Palatino Linotype" w:cs="Palatino Linotype" w:eastAsia="Palatino Linotype" w:hAnsi="Palatino Linotype"/>
        </w:rPr>
        <w:t xml:space="preserve">The approach is best suited to dialects of Go and to DSLs whose semantics can be aligned with Go's models of types, memory and execution: configuration and policy languages, service-definition languages, data-processing DSLs and languages for describing infrastructure. In these domains the semantic gap to Go is small, and the advantages measured in the platform comparison (native deployment, garbage collection, goroutines, interoperability with existing Go packages, standard tooling) are fully inherited. The approach also supports incremental adoption: because GoNext is a superset of Go and its output is ordinary Go, a team can introduce it into one package of an existing module without affecting the others. Program-analysis tools developed for Go, such as detectors of concurrency bugs [53,54], apply to the generated code without adaptation, which is an advantage that a separate runtime would not offer. It is less suited to languages whose semantics conflict with Go's runtime model, such as languages requiring guaranteed tail calls, first-class continuations, precise control over memory reclamation or a different concurrency model; these would need emulation layers whose overhead falls into the representational class or beyond.</w:t>
      </w:r>
    </w:p>
    <w:p>
      <w:pPr>
        <w:keepNext/>
        <w:spacing w:after="40" w:before="120"/>
      </w:pPr>
      <w:r>
        <w:rPr>
          <w:rFonts w:ascii="Palatino Linotype" w:cs="Palatino Linotype" w:eastAsia="Palatino Linotype" w:hAnsi="Palatino Linotype"/>
          <w:i/>
          <w:iCs/>
          <w:sz w:val="20"/>
          <w:szCs w:val="20"/>
        </w:rPr>
        <w:t xml:space="preserve">4.3. Limitations and Threats to Validity</w:t>
      </w:r>
    </w:p>
    <w:p>
      <w:pPr>
        <w:spacing w:after="0" w:line="240"/>
        <w:ind w:firstLine="425"/>
        <w:jc w:val="both"/>
      </w:pPr>
      <w:r>
        <w:rPr>
          <w:rFonts w:ascii="Palatino Linotype" w:cs="Palatino Linotype" w:eastAsia="Palatino Linotype" w:hAnsi="Palatino Linotype"/>
          <w:i/>
          <w:iCs/>
        </w:rPr>
        <w:t xml:space="preserve">Construct validity.</w:t>
      </w:r>
      <w:r>
        <w:rPr>
          <w:rFonts w:ascii="Palatino Linotype" w:cs="Palatino Linotype" w:eastAsia="Palatino Linotype" w:hAnsi="Palatino Linotype"/>
        </w:rPr>
        <w:t xml:space="preserve"> The platform assessment uses ordinal scores assigned by the authors for a specific scenario. Different scenarios, such as browser applications or embedded systems, would justify different criteria and scores. The sensitivity analysis protects the ranking against the choice of weights, but not against the scores themselves; for this reason the scores are published as data so that other researchers can revise them.</w:t>
      </w:r>
    </w:p>
    <w:p>
      <w:pPr>
        <w:spacing w:after="0" w:line="240"/>
        <w:ind w:firstLine="425"/>
        <w:jc w:val="both"/>
      </w:pPr>
      <w:r>
        <w:rPr>
          <w:rFonts w:ascii="Palatino Linotype" w:cs="Palatino Linotype" w:eastAsia="Palatino Linotype" w:hAnsi="Palatino Linotype"/>
          <w:i/>
          <w:iCs/>
        </w:rPr>
        <w:t xml:space="preserve">Internal validity.</w:t>
      </w:r>
      <w:r>
        <w:rPr>
          <w:rFonts w:ascii="Palatino Linotype" w:cs="Palatino Linotype" w:eastAsia="Palatino Linotype" w:hAnsi="Palatino Linotype"/>
        </w:rPr>
        <w:t xml:space="preserve"> The micro-experiments measure lowering patterns in isolation. Micro-benchmarks are sensitive to code placement, inlining decisions and processor frequency scaling; we mitigated this with ten repetitions, medians and interquartile ranges and with equivalence tests, but the small differences observed for matching, for the configuration-struct idiom and for the generic-method and extension-method benchmarks should not be interpreted as systematic.</w:t>
      </w:r>
    </w:p>
    <w:p>
      <w:pPr>
        <w:spacing w:after="0" w:line="240"/>
        <w:ind w:firstLine="425"/>
        <w:jc w:val="both"/>
      </w:pPr>
      <w:r>
        <w:rPr>
          <w:rFonts w:ascii="Palatino Linotype" w:cs="Palatino Linotype" w:eastAsia="Palatino Linotype" w:hAnsi="Palatino Linotype"/>
          <w:i/>
          <w:iCs/>
        </w:rPr>
        <w:t xml:space="preserve">External validity.</w:t>
      </w:r>
      <w:r>
        <w:rPr>
          <w:rFonts w:ascii="Palatino Linotype" w:cs="Palatino Linotype" w:eastAsia="Palatino Linotype" w:hAnsi="Palatino Linotype"/>
        </w:rPr>
        <w:t xml:space="preserve"> All measurements were taken on one virtualized x86-64 machine with one Go version. Results on other architectures and with future versions of the Go compiler may differ, in particular for inlining-dependent results. The study does not evaluate GoNext on application workloads, compilation time or memory of complete programs; such a quantitative evaluation requires a separate comparative benchmark study and is part of milestone M3 of the software project.</w:t>
      </w:r>
    </w:p>
    <w:p>
      <w:pPr>
        <w:spacing w:after="0" w:line="240"/>
        <w:ind w:firstLine="425"/>
        <w:jc w:val="both"/>
      </w:pPr>
      <w:r>
        <w:rPr>
          <w:rFonts w:ascii="Palatino Linotype" w:cs="Palatino Linotype" w:eastAsia="Palatino Linotype" w:hAnsi="Palatino Linotype"/>
          <w:i/>
          <w:iCs/>
        </w:rPr>
        <w:t xml:space="preserve">Scope of the implementation.</w:t>
      </w:r>
      <w:r>
        <w:rPr>
          <w:rFonts w:ascii="Palatino Linotype" w:cs="Palatino Linotype" w:eastAsia="Palatino Linotype" w:hAnsi="Palatino Linotype"/>
        </w:rPr>
        <w:t xml:space="preserve"> The listings of Section 3.3 are produced by GoNext version 1.0.0; they are part of the golden tests of the software project (Section 2.7), shown with minor formatting abbreviations. The micro-experiments use stand-alone reproductions of the same lowering schemes, so that the compared variants can be measured in isolation. Version 1.0.0 is a research prototype: for example, a </w:t>
      </w:r>
      <w:r>
        <w:rPr>
          <w:rFonts w:ascii="Courier New" w:cs="Courier New" w:eastAsia="Courier New" w:hAnsi="Courier New"/>
          <w:sz w:val="18"/>
          <w:szCs w:val="18"/>
        </w:rPr>
        <w:t xml:space="preserve">match</w:t>
      </w:r>
      <w:r>
        <w:rPr>
          <w:rFonts w:ascii="Palatino Linotype" w:cs="Palatino Linotype" w:eastAsia="Palatino Linotype" w:hAnsi="Palatino Linotype"/>
        </w:rPr>
        <w:t xml:space="preserve"> over an enum must be written in the package that declares the enum, and patterns are not nested; these limitations are documented in the language reference.</w:t>
      </w:r>
    </w:p>
    <w:p>
      <w:pPr>
        <w:keepNext/>
        <w:spacing w:after="40" w:before="120"/>
      </w:pPr>
      <w:r>
        <w:rPr>
          <w:rFonts w:ascii="Palatino Linotype" w:cs="Palatino Linotype" w:eastAsia="Palatino Linotype" w:hAnsi="Palatino Linotype"/>
          <w:i/>
          <w:iCs/>
          <w:sz w:val="20"/>
          <w:szCs w:val="20"/>
        </w:rPr>
        <w:t xml:space="preserve">4.4. Future Work</w:t>
      </w:r>
    </w:p>
    <w:p>
      <w:pPr>
        <w:spacing w:after="0" w:line="240"/>
        <w:ind w:firstLine="425"/>
        <w:jc w:val="both"/>
      </w:pPr>
      <w:r>
        <w:rPr>
          <w:rFonts w:ascii="Palatino Linotype" w:cs="Palatino Linotype" w:eastAsia="Palatino Linotype" w:hAnsi="Palatino Linotype"/>
        </w:rPr>
        <w:t xml:space="preserve">Three directions follow from the results. The first is an application-level evaluation that compares GoNext programs with idiomatic Go programs on services and DSL workloads, including compilation time and binary size. The second is automatic selection of enum representations from usage profiles, with the invariant (4) enforced by construction and verified by tests that stress the garbage collector. The third is deeper tool integration, in particular source-level debugging and editor support that present GoNext constructs rather than their lowered form, building on resugaring techniques [55].</w:t>
      </w:r>
    </w:p>
    <w:p>
      <w:pPr>
        <w:keepNext/>
        <w:spacing w:after="60" w:before="200"/>
      </w:pPr>
      <w:r>
        <w:rPr>
          <w:rFonts w:ascii="Palatino Linotype" w:cs="Palatino Linotype" w:eastAsia="Palatino Linotype" w:hAnsi="Palatino Linotype"/>
          <w:b/>
          <w:bCs/>
          <w:sz w:val="20"/>
          <w:szCs w:val="20"/>
        </w:rPr>
        <w:t xml:space="preserve">5. Conclusions</w:t>
      </w:r>
    </w:p>
    <w:p>
      <w:pPr>
        <w:spacing w:after="0"/>
        <w:ind w:firstLine="425"/>
        <w:jc w:val="both"/>
      </w:pPr>
      <w:r>
        <w:rPr>
          <w:rFonts w:ascii="Palatino Linotype" w:cs="Palatino Linotype" w:eastAsia="Palatino Linotype" w:hAnsi="Palatino Linotype"/>
        </w:rPr>
        <w:t xml:space="preserve">This article presented GoNext, a dialect of Go, and a transpiler architecture that implements high-level language extensions while preserving compatibility with the Go compiler, runtime and ecosystem. A rubric of twenty criteria in five groups placed Go source code first among eight host platforms for statically typed server-side extensions, with a ranking that held for 98.4% of randomly sampled weightings; its weakest group, expressiveness, is the one that the extensions address. A classification of transformations into syntactic, structural and representational classes explained the cost of each extension: syntactic extensions disappeared during translation, structural extensions relied on helper functions that the compiler inlined, and the representation of enums determined allocation, construction time and memory. The experiments also showed that a compact enum layout must keep pointer payloads visible to the garbage collector; storing them in integer words led to the reclamation of all referenced objects in every trial. The approach is applicable to Go dialects and to DSLs for server-side and infrastructure software whose semantics agree with Go's models of types, memory and execution, and it allows a new language to be introduced into existing Go projects step by step. The GoNext software project (version 1.0.0, </w:t>
      </w:r>
      <w:hyperlink w:history="1" r:id="rIdv4gmj9_rjenewhkf-ynax">
        <w:r>
          <w:rPr>
            <w:rStyle w:val="Hyperlink"/>
            <w:rFonts w:ascii="Palatino Linotype" w:cs="Palatino Linotype" w:eastAsia="Palatino Linotype" w:hAnsi="Palatino Linotype"/>
          </w:rPr>
          <w:t xml:space="preserve">https://doi.org/10.5281/zenodo.23490820</w:t>
        </w:r>
      </w:hyperlink>
      <w:r>
        <w:rPr>
          <w:rFonts w:ascii="Palatino Linotype" w:cs="Palatino Linotype" w:eastAsia="Palatino Linotype" w:hAnsi="Palatino Linotype"/>
        </w:rPr>
        <w:t xml:space="preserve">) and the archived reproducibility package provide the basis for the application-level evaluation that remains to be done.</w:t>
      </w:r>
    </w:p>
    <w:p>
      <w:pPr>
        <w:spacing w:after="0" w:before="80"/>
        <w:jc w:val="both"/>
      </w:pPr>
      <w:r>
        <w:rPr>
          <w:rFonts w:ascii="Palatino Linotype" w:cs="Palatino Linotype" w:eastAsia="Palatino Linotype" w:hAnsi="Palatino Linotype"/>
          <w:b/>
          <w:bCs/>
          <w:sz w:val="16"/>
          <w:szCs w:val="16"/>
        </w:rPr>
        <w:t xml:space="preserve">Author Contributions:</w:t>
      </w:r>
      <w:r>
        <w:rPr>
          <w:rFonts w:ascii="Palatino Linotype" w:cs="Palatino Linotype" w:eastAsia="Palatino Linotype" w:hAnsi="Palatino Linotype"/>
          <w:sz w:val="16"/>
          <w:szCs w:val="16"/>
        </w:rPr>
        <w:t xml:space="preserve"> Conceptualization, P.F.; methodology, P.F. and </w:t>
      </w:r>
      <w:r>
        <w:rPr>
          <w:rFonts w:ascii="Palatino Linotype" w:cs="Palatino Linotype" w:eastAsia="Palatino Linotype" w:hAnsi="Palatino Linotype"/>
          <w:sz w:val="16"/>
          <w:szCs w:val="16"/>
          <w:highlight w:val="yellow"/>
          <w:highlightCs w:val="yellow"/>
        </w:rPr>
        <w:t xml:space="preserve">X.X.</w:t>
      </w:r>
      <w:r>
        <w:rPr>
          <w:rFonts w:ascii="Palatino Linotype" w:cs="Palatino Linotype" w:eastAsia="Palatino Linotype" w:hAnsi="Palatino Linotype"/>
          <w:sz w:val="16"/>
          <w:szCs w:val="16"/>
        </w:rPr>
        <w:t xml:space="preserve">; software, P.F.; validation, P.F. and </w:t>
      </w:r>
      <w:r>
        <w:rPr>
          <w:rFonts w:ascii="Palatino Linotype" w:cs="Palatino Linotype" w:eastAsia="Palatino Linotype" w:hAnsi="Palatino Linotype"/>
          <w:sz w:val="16"/>
          <w:szCs w:val="16"/>
          <w:highlight w:val="yellow"/>
          <w:highlightCs w:val="yellow"/>
        </w:rPr>
        <w:t xml:space="preserve">X.X.</w:t>
      </w:r>
      <w:r>
        <w:rPr>
          <w:rFonts w:ascii="Palatino Linotype" w:cs="Palatino Linotype" w:eastAsia="Palatino Linotype" w:hAnsi="Palatino Linotype"/>
          <w:sz w:val="16"/>
          <w:szCs w:val="16"/>
        </w:rPr>
        <w:t xml:space="preserve">; formal analysis, P.F.; investigation, P.F.; resources, </w:t>
      </w:r>
      <w:r>
        <w:rPr>
          <w:rFonts w:ascii="Palatino Linotype" w:cs="Palatino Linotype" w:eastAsia="Palatino Linotype" w:hAnsi="Palatino Linotype"/>
          <w:sz w:val="16"/>
          <w:szCs w:val="16"/>
          <w:highlight w:val="yellow"/>
          <w:highlightCs w:val="yellow"/>
        </w:rPr>
        <w:t xml:space="preserve">X.X.</w:t>
      </w:r>
      <w:r>
        <w:rPr>
          <w:rFonts w:ascii="Palatino Linotype" w:cs="Palatino Linotype" w:eastAsia="Palatino Linotype" w:hAnsi="Palatino Linotype"/>
          <w:sz w:val="16"/>
          <w:szCs w:val="16"/>
        </w:rPr>
        <w:t xml:space="preserve">; data curation, P.F.; writing—original draft preparation, P.F.; writing—review and editing, P.F. and </w:t>
      </w:r>
      <w:r>
        <w:rPr>
          <w:rFonts w:ascii="Palatino Linotype" w:cs="Palatino Linotype" w:eastAsia="Palatino Linotype" w:hAnsi="Palatino Linotype"/>
          <w:sz w:val="16"/>
          <w:szCs w:val="16"/>
          <w:highlight w:val="yellow"/>
          <w:highlightCs w:val="yellow"/>
        </w:rPr>
        <w:t xml:space="preserve">X.X.</w:t>
      </w:r>
      <w:r>
        <w:rPr>
          <w:rFonts w:ascii="Palatino Linotype" w:cs="Palatino Linotype" w:eastAsia="Palatino Linotype" w:hAnsi="Palatino Linotype"/>
          <w:sz w:val="16"/>
          <w:szCs w:val="16"/>
        </w:rPr>
        <w:t xml:space="preserve">; visualization, P.F.; supervision, </w:t>
      </w:r>
      <w:r>
        <w:rPr>
          <w:rFonts w:ascii="Palatino Linotype" w:cs="Palatino Linotype" w:eastAsia="Palatino Linotype" w:hAnsi="Palatino Linotype"/>
          <w:sz w:val="16"/>
          <w:szCs w:val="16"/>
          <w:highlight w:val="yellow"/>
          <w:highlightCs w:val="yellow"/>
        </w:rPr>
        <w:t xml:space="preserve">X.X.</w:t>
      </w:r>
      <w:r>
        <w:rPr>
          <w:rFonts w:ascii="Palatino Linotype" w:cs="Palatino Linotype" w:eastAsia="Palatino Linotype" w:hAnsi="Palatino Linotype"/>
          <w:sz w:val="16"/>
          <w:szCs w:val="16"/>
        </w:rPr>
        <w:t xml:space="preserve">; project administration, </w:t>
      </w:r>
      <w:r>
        <w:rPr>
          <w:rFonts w:ascii="Palatino Linotype" w:cs="Palatino Linotype" w:eastAsia="Palatino Linotype" w:hAnsi="Palatino Linotype"/>
          <w:sz w:val="16"/>
          <w:szCs w:val="16"/>
          <w:highlight w:val="yellow"/>
          <w:highlightCs w:val="yellow"/>
        </w:rPr>
        <w:t xml:space="preserve">X.X.</w:t>
      </w:r>
      <w:r>
        <w:rPr>
          <w:rFonts w:ascii="Palatino Linotype" w:cs="Palatino Linotype" w:eastAsia="Palatino Linotype" w:hAnsi="Palatino Linotype"/>
          <w:sz w:val="16"/>
          <w:szCs w:val="16"/>
        </w:rPr>
        <w:t xml:space="preserve">. All authors have read and agreed to the published version of the manuscript.</w:t>
      </w:r>
    </w:p>
    <w:p>
      <w:pPr>
        <w:spacing w:after="0" w:before="80"/>
        <w:jc w:val="both"/>
      </w:pPr>
      <w:r>
        <w:rPr>
          <w:rFonts w:ascii="Palatino Linotype" w:cs="Palatino Linotype" w:eastAsia="Palatino Linotype" w:hAnsi="Palatino Linotype"/>
          <w:b/>
          <w:bCs/>
          <w:sz w:val="16"/>
          <w:szCs w:val="16"/>
        </w:rPr>
        <w:t xml:space="preserve">Funding:</w:t>
      </w:r>
      <w:r>
        <w:rPr>
          <w:rFonts w:ascii="Palatino Linotype" w:cs="Palatino Linotype" w:eastAsia="Palatino Linotype" w:hAnsi="Palatino Linotype"/>
          <w:sz w:val="16"/>
          <w:szCs w:val="16"/>
        </w:rPr>
        <w:t xml:space="preserve"> This research received no external funding.</w:t>
      </w:r>
    </w:p>
    <w:p>
      <w:pPr>
        <w:spacing w:after="0" w:before="80"/>
        <w:jc w:val="both"/>
      </w:pPr>
      <w:r>
        <w:rPr>
          <w:rFonts w:ascii="Palatino Linotype" w:cs="Palatino Linotype" w:eastAsia="Palatino Linotype" w:hAnsi="Palatino Linotype"/>
          <w:b/>
          <w:bCs/>
          <w:sz w:val="16"/>
          <w:szCs w:val="16"/>
        </w:rPr>
        <w:t xml:space="preserve">Institutional Review Board Statement:</w:t>
      </w:r>
      <w:r>
        <w:rPr>
          <w:rFonts w:ascii="Palatino Linotype" w:cs="Palatino Linotype" w:eastAsia="Palatino Linotype" w:hAnsi="Palatino Linotype"/>
          <w:sz w:val="16"/>
          <w:szCs w:val="16"/>
        </w:rPr>
        <w:t xml:space="preserve"> Not applicable.</w:t>
      </w:r>
    </w:p>
    <w:p>
      <w:pPr>
        <w:spacing w:after="0" w:before="80"/>
        <w:jc w:val="both"/>
      </w:pPr>
      <w:r>
        <w:rPr>
          <w:rFonts w:ascii="Palatino Linotype" w:cs="Palatino Linotype" w:eastAsia="Palatino Linotype" w:hAnsi="Palatino Linotype"/>
          <w:b/>
          <w:bCs/>
          <w:sz w:val="16"/>
          <w:szCs w:val="16"/>
        </w:rPr>
        <w:t xml:space="preserve">Informed Consent Statement:</w:t>
      </w:r>
      <w:r>
        <w:rPr>
          <w:rFonts w:ascii="Palatino Linotype" w:cs="Palatino Linotype" w:eastAsia="Palatino Linotype" w:hAnsi="Palatino Linotype"/>
          <w:sz w:val="16"/>
          <w:szCs w:val="16"/>
        </w:rPr>
        <w:t xml:space="preserve"> Not applicable.</w:t>
      </w:r>
    </w:p>
    <w:p>
      <w:pPr>
        <w:spacing w:before="80"/>
        <w:jc w:val="both"/>
      </w:pPr>
      <w:r>
        <w:rPr>
          <w:rFonts w:ascii="Palatino Linotype" w:cs="Palatino Linotype" w:eastAsia="Palatino Linotype" w:hAnsi="Palatino Linotype"/>
          <w:b/>
          <w:bCs/>
          <w:sz w:val="16"/>
          <w:szCs w:val="16"/>
        </w:rPr>
        <w:t xml:space="preserve">Data Availability Statement:</w:t>
      </w:r>
      <w:r>
        <w:rPr>
          <w:rFonts w:ascii="Palatino Linotype" w:cs="Palatino Linotype" w:eastAsia="Palatino Linotype" w:hAnsi="Palatino Linotype"/>
          <w:sz w:val="16"/>
          <w:szCs w:val="16"/>
        </w:rPr>
        <w:t xml:space="preserve"> The GoNext software (transpiler source code, test suites, examples and documentation) and the reproducibility package of this study (micro-benchmark programs, lowered listings, criterion scores, raw benchmark output and analysis scripts) are openly available in Zenodo at </w:t>
      </w:r>
      <w:hyperlink w:history="1" r:id="rId2nhrcv3brf-bcyvjbis-c">
        <w:r>
          <w:rPr>
            <w:rStyle w:val="Hyperlink"/>
            <w:rFonts w:ascii="Palatino Linotype" w:cs="Palatino Linotype" w:eastAsia="Palatino Linotype" w:hAnsi="Palatino Linotype"/>
            <w:sz w:val="16"/>
            <w:szCs w:val="16"/>
          </w:rPr>
          <w:t xml:space="preserve">https://doi.org/10.5281/zenodo.23490820</w:t>
        </w:r>
      </w:hyperlink>
      <w:r>
        <w:rPr>
          <w:rFonts w:ascii="Palatino Linotype" w:cs="Palatino Linotype" w:eastAsia="Palatino Linotype" w:hAnsi="Palatino Linotype"/>
          <w:sz w:val="16"/>
          <w:szCs w:val="16"/>
        </w:rPr>
        <w:t xml:space="preserve"> (version 1.0.0) under the Apache License 2.0.</w:t>
      </w:r>
    </w:p>
    <w:p>
      <w:pPr>
        <w:spacing w:after="0" w:before="80"/>
        <w:jc w:val="both"/>
      </w:pPr>
      <w:r>
        <w:rPr>
          <w:rFonts w:ascii="Palatino Linotype" w:cs="Palatino Linotype" w:eastAsia="Palatino Linotype" w:hAnsi="Palatino Linotype"/>
          <w:b/>
          <w:bCs/>
          <w:sz w:val="16"/>
          <w:szCs w:val="16"/>
        </w:rPr>
        <w:t xml:space="preserve">Acknowledgments:</w:t>
      </w:r>
      <w:r>
        <w:rPr>
          <w:rFonts w:ascii="Palatino Linotype" w:cs="Palatino Linotype" w:eastAsia="Palatino Linotype" w:hAnsi="Palatino Linotype"/>
          <w:sz w:val="16"/>
          <w:szCs w:val="16"/>
        </w:rPr>
        <w:t xml:space="preserve"> During the preparation of this manuscript/study, the authors used Claude (Anthropic, Claude Opus 5.5) for the purposes of drafting and editing the text, writing the transpiler and the benchmark, analysis and plotting scripts, and formatting the manuscript. The authors have reviewed and edited the output and take full responsibility for the content of this publication.</w:t>
      </w:r>
    </w:p>
    <w:p>
      <w:pPr>
        <w:spacing w:after="0" w:before="80"/>
        <w:jc w:val="both"/>
      </w:pPr>
      <w:r>
        <w:rPr>
          <w:rFonts w:ascii="Palatino Linotype" w:cs="Palatino Linotype" w:eastAsia="Palatino Linotype" w:hAnsi="Palatino Linotype"/>
          <w:b/>
          <w:bCs/>
          <w:sz w:val="16"/>
          <w:szCs w:val="16"/>
        </w:rPr>
        <w:t xml:space="preserve">Conflicts of Interest:</w:t>
      </w:r>
      <w:r>
        <w:rPr>
          <w:rFonts w:ascii="Palatino Linotype" w:cs="Palatino Linotype" w:eastAsia="Palatino Linotype" w:hAnsi="Palatino Linotype"/>
          <w:sz w:val="16"/>
          <w:szCs w:val="16"/>
        </w:rPr>
        <w:t xml:space="preserve"> The authors declare no conflicts of interest.</w:t>
      </w:r>
    </w:p>
    <w:p>
      <w:pPr>
        <w:spacing w:before="120"/>
      </w:pPr>
      <w:r>
        <w:rPr>
          <w:rFonts w:ascii="Palatino Linotype" w:cs="Palatino Linotype" w:eastAsia="Palatino Linotype" w:hAnsi="Palatino Linotype"/>
          <w:b/>
          <w:bCs/>
          <w:sz w:val="16"/>
          <w:szCs w:val="16"/>
        </w:rPr>
        <w:t xml:space="preserve">Abbreviations</w:t>
      </w:r>
    </w:p>
    <w:p>
      <w:r>
        <w:rPr>
          <w:rFonts w:ascii="Palatino Linotype" w:cs="Palatino Linotype" w:eastAsia="Palatino Linotype" w:hAnsi="Palatino Linotype"/>
          <w:sz w:val="16"/>
          <w:szCs w:val="16"/>
        </w:rPr>
        <w:t xml:space="preserve">The following abbreviations are used in this manuscript:</w:t>
      </w:r>
    </w:p>
    <w:p>
      <w:pPr>
        <w:tabs>
          <w:tab w:val="left" w:pos="1400"/>
        </w:tabs>
        <w:spacing w:after="0"/>
      </w:pPr>
      <w:r>
        <w:rPr>
          <w:rFonts w:ascii="Palatino Linotype" w:cs="Palatino Linotype" w:eastAsia="Palatino Linotype" w:hAnsi="Palatino Linotype"/>
          <w:sz w:val="16"/>
          <w:szCs w:val="16"/>
        </w:rPr>
        <w:t xml:space="preserve">AST	Abstract syntax tree</w:t>
      </w:r>
    </w:p>
    <w:p>
      <w:pPr>
        <w:tabs>
          <w:tab w:val="left" w:pos="1400"/>
        </w:tabs>
        <w:spacing w:after="0"/>
      </w:pPr>
      <w:r>
        <w:rPr>
          <w:rFonts w:ascii="Palatino Linotype" w:cs="Palatino Linotype" w:eastAsia="Palatino Linotype" w:hAnsi="Palatino Linotype"/>
          <w:sz w:val="16"/>
          <w:szCs w:val="16"/>
        </w:rPr>
        <w:t xml:space="preserve">CIL	Common Intermediate Language</w:t>
      </w:r>
    </w:p>
    <w:p>
      <w:pPr>
        <w:tabs>
          <w:tab w:val="left" w:pos="1400"/>
        </w:tabs>
        <w:spacing w:after="0"/>
      </w:pPr>
      <w:r>
        <w:rPr>
          <w:rFonts w:ascii="Palatino Linotype" w:cs="Palatino Linotype" w:eastAsia="Palatino Linotype" w:hAnsi="Palatino Linotype"/>
          <w:sz w:val="16"/>
          <w:szCs w:val="16"/>
        </w:rPr>
        <w:t xml:space="preserve">DOI	Digital Object Identifier</w:t>
      </w:r>
    </w:p>
    <w:p>
      <w:pPr>
        <w:tabs>
          <w:tab w:val="left" w:pos="1400"/>
        </w:tabs>
        <w:spacing w:after="0"/>
      </w:pPr>
      <w:r>
        <w:rPr>
          <w:rFonts w:ascii="Palatino Linotype" w:cs="Palatino Linotype" w:eastAsia="Palatino Linotype" w:hAnsi="Palatino Linotype"/>
          <w:sz w:val="16"/>
          <w:szCs w:val="16"/>
        </w:rPr>
        <w:t xml:space="preserve">DSL	Domain-specific language</w:t>
      </w:r>
    </w:p>
    <w:p>
      <w:pPr>
        <w:tabs>
          <w:tab w:val="left" w:pos="1400"/>
        </w:tabs>
        <w:spacing w:after="0"/>
      </w:pPr>
      <w:r>
        <w:rPr>
          <w:rFonts w:ascii="Palatino Linotype" w:cs="Palatino Linotype" w:eastAsia="Palatino Linotype" w:hAnsi="Palatino Linotype"/>
          <w:sz w:val="16"/>
          <w:szCs w:val="16"/>
        </w:rPr>
        <w:t xml:space="preserve">GC	Garbage collector</w:t>
      </w:r>
    </w:p>
    <w:p>
      <w:pPr>
        <w:tabs>
          <w:tab w:val="left" w:pos="1400"/>
        </w:tabs>
        <w:spacing w:after="0"/>
      </w:pPr>
      <w:r>
        <w:rPr>
          <w:rFonts w:ascii="Palatino Linotype" w:cs="Palatino Linotype" w:eastAsia="Palatino Linotype" w:hAnsi="Palatino Linotype"/>
          <w:sz w:val="16"/>
          <w:szCs w:val="16"/>
        </w:rPr>
        <w:t xml:space="preserve">GenAI	Generative artificial intelligence</w:t>
      </w:r>
    </w:p>
    <w:p>
      <w:pPr>
        <w:tabs>
          <w:tab w:val="left" w:pos="1400"/>
        </w:tabs>
        <w:spacing w:after="0"/>
      </w:pPr>
      <w:r>
        <w:rPr>
          <w:rFonts w:ascii="Palatino Linotype" w:cs="Palatino Linotype" w:eastAsia="Palatino Linotype" w:hAnsi="Palatino Linotype"/>
          <w:sz w:val="16"/>
          <w:szCs w:val="16"/>
        </w:rPr>
        <w:t xml:space="preserve">IAST	Internal abstract syntax tree</w:t>
      </w:r>
    </w:p>
    <w:p>
      <w:pPr>
        <w:tabs>
          <w:tab w:val="left" w:pos="1400"/>
        </w:tabs>
        <w:spacing w:after="0"/>
      </w:pPr>
      <w:r>
        <w:rPr>
          <w:rFonts w:ascii="Palatino Linotype" w:cs="Palatino Linotype" w:eastAsia="Palatino Linotype" w:hAnsi="Palatino Linotype"/>
          <w:sz w:val="16"/>
          <w:szCs w:val="16"/>
        </w:rPr>
        <w:t xml:space="preserve">IQR	Interquartile range</w:t>
      </w:r>
    </w:p>
    <w:p>
      <w:pPr>
        <w:tabs>
          <w:tab w:val="left" w:pos="1400"/>
        </w:tabs>
        <w:spacing w:after="0"/>
      </w:pPr>
      <w:r>
        <w:rPr>
          <w:rFonts w:ascii="Palatino Linotype" w:cs="Palatino Linotype" w:eastAsia="Palatino Linotype" w:hAnsi="Palatino Linotype"/>
          <w:sz w:val="16"/>
          <w:szCs w:val="16"/>
        </w:rPr>
        <w:t xml:space="preserve">IR	Intermediate representation</w:t>
      </w:r>
    </w:p>
    <w:p>
      <w:pPr>
        <w:tabs>
          <w:tab w:val="left" w:pos="1400"/>
        </w:tabs>
        <w:spacing w:after="0"/>
      </w:pPr>
      <w:r>
        <w:rPr>
          <w:rFonts w:ascii="Palatino Linotype" w:cs="Palatino Linotype" w:eastAsia="Palatino Linotype" w:hAnsi="Palatino Linotype"/>
          <w:sz w:val="16"/>
          <w:szCs w:val="16"/>
        </w:rPr>
        <w:t xml:space="preserve">JVM	Java Virtual Machine</w:t>
      </w:r>
    </w:p>
    <w:p>
      <w:pPr>
        <w:tabs>
          <w:tab w:val="left" w:pos="1400"/>
        </w:tabs>
        <w:spacing w:after="0"/>
      </w:pPr>
      <w:r>
        <w:rPr>
          <w:rFonts w:ascii="Palatino Linotype" w:cs="Palatino Linotype" w:eastAsia="Palatino Linotype" w:hAnsi="Palatino Linotype"/>
          <w:sz w:val="16"/>
          <w:szCs w:val="16"/>
        </w:rPr>
        <w:t xml:space="preserve">UFCS	Uniform function call syntax</w:t>
      </w:r>
    </w:p>
    <w:p>
      <w:pPr>
        <w:spacing w:after="60" w:before="200"/>
      </w:pPr>
      <w:r>
        <w:rPr>
          <w:rFonts w:ascii="Palatino Linotype" w:cs="Palatino Linotype" w:eastAsia="Palatino Linotype" w:hAnsi="Palatino Linotype"/>
          <w:b/>
          <w:bCs/>
          <w:sz w:val="18"/>
          <w:szCs w:val="18"/>
        </w:rPr>
        <w:t xml:space="preserve">References</w:t>
      </w:r>
    </w:p>
    <w:p>
      <w:pPr>
        <w:pStyle w:val="ListParagraph"/>
        <w:numPr>
          <w:ilvl w:val="0"/>
          <w:numId w:val="3"/>
        </w:numPr>
        <w:spacing w:after="20"/>
        <w:jc w:val="left"/>
      </w:pPr>
      <w:r>
        <w:rPr>
          <w:rFonts w:ascii="Palatino Linotype" w:cs="Palatino Linotype" w:eastAsia="Palatino Linotype" w:hAnsi="Palatino Linotype"/>
          <w:sz w:val="16"/>
          <w:szCs w:val="16"/>
        </w:rPr>
        <w:t xml:space="preserve">Lattner, C.; Adve, V. LLVM: A Compilation Framework for Lifelong Program Analysis &amp; Transformation. In Proceedings of the International Symposium on Code Generation and Optimization (CGO 2004), San Jose, CA, USA, 20–24 March 2004; pp. 75–86. https://doi.org/10.1109/CGO.2004.1281665</w:t>
      </w:r>
    </w:p>
    <w:p>
      <w:pPr>
        <w:pStyle w:val="ListParagraph"/>
        <w:numPr>
          <w:ilvl w:val="0"/>
          <w:numId w:val="3"/>
        </w:numPr>
        <w:spacing w:after="20"/>
        <w:jc w:val="left"/>
      </w:pPr>
      <w:r>
        <w:rPr>
          <w:rFonts w:ascii="Palatino Linotype" w:cs="Palatino Linotype" w:eastAsia="Palatino Linotype" w:hAnsi="Palatino Linotype"/>
          <w:sz w:val="16"/>
          <w:szCs w:val="16"/>
        </w:rPr>
        <w:t xml:space="preserve">Würthinger, T.; Wimmer, C.; Wöß, A.; Stadler, L.; Duboscq, G.; Humer, C.; Richards, G.; Simon, D.; Wolczko, M. One VM to Rule Them All. In Proceedings of the 2013 ACM International Symposium on New Ideas, New Paradigms, and Reflections on Programming &amp; Software (Onward! 2013), Indianapolis, IN, USA, 2013; pp. 187–204. https://doi.org/10.1145/2509578.2509581</w:t>
      </w:r>
    </w:p>
    <w:p>
      <w:pPr>
        <w:pStyle w:val="ListParagraph"/>
        <w:numPr>
          <w:ilvl w:val="0"/>
          <w:numId w:val="3"/>
        </w:numPr>
        <w:spacing w:after="20"/>
        <w:jc w:val="left"/>
      </w:pPr>
      <w:r>
        <w:rPr>
          <w:rFonts w:ascii="Palatino Linotype" w:cs="Palatino Linotype" w:eastAsia="Palatino Linotype" w:hAnsi="Palatino Linotype"/>
          <w:sz w:val="16"/>
          <w:szCs w:val="16"/>
        </w:rPr>
        <w:t xml:space="preserve">Bastidas Fuertes, A.; Pérez, M.; Meza Hormaza, J. Transpilers: A Systematic Mapping Review of Their Usage in Research and Industry. </w:t>
      </w:r>
      <w:r>
        <w:rPr>
          <w:rFonts w:ascii="Palatino Linotype" w:cs="Palatino Linotype" w:eastAsia="Palatino Linotype" w:hAnsi="Palatino Linotype"/>
          <w:i/>
          <w:iCs/>
          <w:sz w:val="16"/>
          <w:szCs w:val="16"/>
        </w:rPr>
        <w:t xml:space="preserve">Appl. Sci.</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2023</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13</w:t>
      </w:r>
      <w:r>
        <w:rPr>
          <w:rFonts w:ascii="Palatino Linotype" w:cs="Palatino Linotype" w:eastAsia="Palatino Linotype" w:hAnsi="Palatino Linotype"/>
          <w:sz w:val="16"/>
          <w:szCs w:val="16"/>
        </w:rPr>
        <w:t xml:space="preserve">, 3667. https://doi.org/10.3390/app13063667</w:t>
      </w:r>
    </w:p>
    <w:p>
      <w:pPr>
        <w:pStyle w:val="ListParagraph"/>
        <w:numPr>
          <w:ilvl w:val="0"/>
          <w:numId w:val="3"/>
        </w:numPr>
        <w:spacing w:after="20"/>
        <w:jc w:val="left"/>
      </w:pPr>
      <w:r>
        <w:rPr>
          <w:rFonts w:ascii="Palatino Linotype" w:cs="Palatino Linotype" w:eastAsia="Palatino Linotype" w:hAnsi="Palatino Linotype"/>
          <w:sz w:val="16"/>
          <w:szCs w:val="16"/>
        </w:rPr>
        <w:t xml:space="preserve">Bastidas Fuertes, A.; Pérez, M.; Meza, J. Transpiler-Based Architecture Design Model for Back-End Layers in Software Development. </w:t>
      </w:r>
      <w:r>
        <w:rPr>
          <w:rFonts w:ascii="Palatino Linotype" w:cs="Palatino Linotype" w:eastAsia="Palatino Linotype" w:hAnsi="Palatino Linotype"/>
          <w:i/>
          <w:iCs/>
          <w:sz w:val="16"/>
          <w:szCs w:val="16"/>
        </w:rPr>
        <w:t xml:space="preserve">Appl. Sci.</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2023</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13</w:t>
      </w:r>
      <w:r>
        <w:rPr>
          <w:rFonts w:ascii="Palatino Linotype" w:cs="Palatino Linotype" w:eastAsia="Palatino Linotype" w:hAnsi="Palatino Linotype"/>
          <w:sz w:val="16"/>
          <w:szCs w:val="16"/>
        </w:rPr>
        <w:t xml:space="preserve">, 11371. https://doi.org/10.3390/app132011371</w:t>
      </w:r>
    </w:p>
    <w:p>
      <w:pPr>
        <w:pStyle w:val="ListParagraph"/>
        <w:numPr>
          <w:ilvl w:val="0"/>
          <w:numId w:val="3"/>
        </w:numPr>
        <w:spacing w:after="20"/>
        <w:jc w:val="left"/>
      </w:pPr>
      <w:r>
        <w:rPr>
          <w:rFonts w:ascii="Palatino Linotype" w:cs="Palatino Linotype" w:eastAsia="Palatino Linotype" w:hAnsi="Palatino Linotype"/>
          <w:sz w:val="16"/>
          <w:szCs w:val="16"/>
        </w:rPr>
        <w:t xml:space="preserve">Bierman, G.; Abadi, M.; Torgersen, M. Understanding TypeScript. In </w:t>
      </w:r>
      <w:r>
        <w:rPr>
          <w:rFonts w:ascii="Palatino Linotype" w:cs="Palatino Linotype" w:eastAsia="Palatino Linotype" w:hAnsi="Palatino Linotype"/>
          <w:i/>
          <w:iCs/>
          <w:sz w:val="16"/>
          <w:szCs w:val="16"/>
        </w:rPr>
        <w:t xml:space="preserve">ECOOP 2014—Object-Oriented Programming</w:t>
      </w:r>
      <w:r>
        <w:rPr>
          <w:rFonts w:ascii="Palatino Linotype" w:cs="Palatino Linotype" w:eastAsia="Palatino Linotype" w:hAnsi="Palatino Linotype"/>
          <w:sz w:val="16"/>
          <w:szCs w:val="16"/>
        </w:rPr>
        <w:t xml:space="preserve">, Proceedings of the 28th European Conference, Uppsala, Sweden, 28 July–1 August 2014; Jones, R., Ed.; Lecture Notes in Computer Science; Springer: Berlin/Heidelberg, Germany, 2014; Volume 8586, pp. 257–281. https://doi.org/10.1007/978-3-662-44202-9_11</w:t>
      </w:r>
    </w:p>
    <w:p>
      <w:pPr>
        <w:pStyle w:val="ListParagraph"/>
        <w:numPr>
          <w:ilvl w:val="0"/>
          <w:numId w:val="3"/>
        </w:numPr>
        <w:spacing w:after="20"/>
        <w:jc w:val="left"/>
      </w:pPr>
      <w:r>
        <w:rPr>
          <w:rFonts w:ascii="Palatino Linotype" w:cs="Palatino Linotype" w:eastAsia="Palatino Linotype" w:hAnsi="Palatino Linotype"/>
          <w:sz w:val="16"/>
          <w:szCs w:val="16"/>
        </w:rPr>
        <w:t xml:space="preserve">Gao, Z.; Bird, C.; Barr, E.T. To Type or Not to Type: Quantifying Detectable Bugs in JavaScript. In Proceedings of the 39th International Conference on Software Engineering (ICSE 2017), Buenos Aires, Argentina, 20–28 May 2017; pp. 758–769. https://doi.org/10.1109/ICSE.2017.75</w:t>
      </w:r>
    </w:p>
    <w:p>
      <w:pPr>
        <w:pStyle w:val="ListParagraph"/>
        <w:numPr>
          <w:ilvl w:val="0"/>
          <w:numId w:val="3"/>
        </w:numPr>
        <w:spacing w:after="20"/>
        <w:jc w:val="left"/>
      </w:pPr>
      <w:r>
        <w:rPr>
          <w:rFonts w:ascii="Palatino Linotype" w:cs="Palatino Linotype" w:eastAsia="Palatino Linotype" w:hAnsi="Palatino Linotype"/>
          <w:sz w:val="16"/>
          <w:szCs w:val="16"/>
        </w:rPr>
        <w:t xml:space="preserve">Doeraene, S.; Schlatter, T.; Stucki, N. Semantics-Driven Interoperability between Scala.js and JavaScript. In Proceedings of the 7th ACM SIGPLAN Symposium on Scala (SCALA 2016), Amsterdam, The Netherlands, 2016; pp. 85–94. https://doi.org/10.1145/2998392.2998404</w:t>
      </w:r>
    </w:p>
    <w:p>
      <w:pPr>
        <w:pStyle w:val="ListParagraph"/>
        <w:numPr>
          <w:ilvl w:val="0"/>
          <w:numId w:val="3"/>
        </w:numPr>
        <w:spacing w:after="20"/>
        <w:jc w:val="left"/>
      </w:pPr>
      <w:r>
        <w:rPr>
          <w:rFonts w:ascii="Palatino Linotype" w:cs="Palatino Linotype" w:eastAsia="Palatino Linotype" w:hAnsi="Palatino Linotype"/>
          <w:sz w:val="16"/>
          <w:szCs w:val="16"/>
        </w:rPr>
        <w:t xml:space="preserve">Erdweg, S.; Rendel, T.; Kästner, C.; Ostermann, K. SugarJ: Library-Based Syntactic Language Extensibility. In Proceedings of the 2011 ACM International Conference on Object Oriented Programming Systems Languages and Applications (OOPSLA 2011), Portland, OR, USA, 2011; pp. 391–406. https://doi.org/10.1145/2048066.2048099</w:t>
      </w:r>
    </w:p>
    <w:p>
      <w:pPr>
        <w:pStyle w:val="ListParagraph"/>
        <w:numPr>
          <w:ilvl w:val="0"/>
          <w:numId w:val="3"/>
        </w:numPr>
        <w:spacing w:after="20"/>
        <w:jc w:val="left"/>
      </w:pPr>
      <w:r>
        <w:rPr>
          <w:rFonts w:ascii="Palatino Linotype" w:cs="Palatino Linotype" w:eastAsia="Palatino Linotype" w:hAnsi="Palatino Linotype"/>
          <w:sz w:val="16"/>
          <w:szCs w:val="16"/>
        </w:rPr>
        <w:t xml:space="preserve">Tobin-Hochstadt, S.; St-Amour, V.; Culpepper, R.; Flatt, M.; Felleisen, M. Languages as Libraries. In Proceedings of the 32nd ACM SIGPLAN Conference on Programming Language Design and Implementation (PLDI 2011), San Jose, CA, USA, 2011; pp. 132–141. https://doi.org/10.1145/1993498.1993514</w:t>
      </w:r>
    </w:p>
    <w:p>
      <w:pPr>
        <w:pStyle w:val="ListParagraph"/>
        <w:numPr>
          <w:ilvl w:val="0"/>
          <w:numId w:val="3"/>
        </w:numPr>
        <w:spacing w:after="20"/>
        <w:jc w:val="left"/>
      </w:pPr>
      <w:r>
        <w:rPr>
          <w:rFonts w:ascii="Palatino Linotype" w:cs="Palatino Linotype" w:eastAsia="Palatino Linotype" w:hAnsi="Palatino Linotype"/>
          <w:sz w:val="16"/>
          <w:szCs w:val="16"/>
        </w:rPr>
        <w:t xml:space="preserve">Kats, L.C.L.; Visser, E. The Spoofax Language Workbench: Rules for Declarative Specification of Languages and IDEs. In Proceedings of the ACM International Conference on Object Oriented Programming Systems Languages and Applications (OOPSLA 2010), Reno/Tahoe, NV, USA, 2010; pp. 444–463. https://doi.org/10.1145/1869459.1869497</w:t>
      </w:r>
    </w:p>
    <w:p>
      <w:pPr>
        <w:pStyle w:val="ListParagraph"/>
        <w:numPr>
          <w:ilvl w:val="0"/>
          <w:numId w:val="3"/>
        </w:numPr>
        <w:spacing w:after="20"/>
        <w:jc w:val="left"/>
      </w:pPr>
      <w:r>
        <w:rPr>
          <w:rFonts w:ascii="Palatino Linotype" w:cs="Palatino Linotype" w:eastAsia="Palatino Linotype" w:hAnsi="Palatino Linotype"/>
          <w:sz w:val="16"/>
          <w:szCs w:val="16"/>
        </w:rPr>
        <w:t xml:space="preserve">Erdweg, S.; van der Storm, T.; Völter, M.; Tratt, L.; Bosman, R.; Cook, W.R.; Gerritsen, A.; Hulshout, A.; Kelly, S.; Loh, A.; Konat, G.; Molina, P.J.; Palatnik, M.; Pohjonen, R.; Schindler, E.; Schindler, K.; Solmi, R.; Vergu, V.; Visser, E.; van der Vlist, K.; Wachsmuth, G.; van der Woning, J. Evaluating and Comparing Language Workbenches: Existing Results and Benchmarks for the Future. </w:t>
      </w:r>
      <w:r>
        <w:rPr>
          <w:rFonts w:ascii="Palatino Linotype" w:cs="Palatino Linotype" w:eastAsia="Palatino Linotype" w:hAnsi="Palatino Linotype"/>
          <w:i/>
          <w:iCs/>
          <w:sz w:val="16"/>
          <w:szCs w:val="16"/>
        </w:rPr>
        <w:t xml:space="preserve">Comput. Lang. Syst. Struct.</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2015</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44</w:t>
      </w:r>
      <w:r>
        <w:rPr>
          <w:rFonts w:ascii="Palatino Linotype" w:cs="Palatino Linotype" w:eastAsia="Palatino Linotype" w:hAnsi="Palatino Linotype"/>
          <w:sz w:val="16"/>
          <w:szCs w:val="16"/>
        </w:rPr>
        <w:t xml:space="preserve">, 24–47. https://doi.org/10.1016/j.cl.2015.08.007</w:t>
      </w:r>
    </w:p>
    <w:p>
      <w:pPr>
        <w:pStyle w:val="ListParagraph"/>
        <w:numPr>
          <w:ilvl w:val="0"/>
          <w:numId w:val="3"/>
        </w:numPr>
        <w:spacing w:after="20"/>
        <w:jc w:val="left"/>
      </w:pPr>
      <w:r>
        <w:rPr>
          <w:rFonts w:ascii="Palatino Linotype" w:cs="Palatino Linotype" w:eastAsia="Palatino Linotype" w:hAnsi="Palatino Linotype"/>
          <w:sz w:val="16"/>
          <w:szCs w:val="16"/>
        </w:rPr>
        <w:t xml:space="preserve">Visser, E. Program Transformation with Stratego/XT. In </w:t>
      </w:r>
      <w:r>
        <w:rPr>
          <w:rFonts w:ascii="Palatino Linotype" w:cs="Palatino Linotype" w:eastAsia="Palatino Linotype" w:hAnsi="Palatino Linotype"/>
          <w:i/>
          <w:iCs/>
          <w:sz w:val="16"/>
          <w:szCs w:val="16"/>
        </w:rPr>
        <w:t xml:space="preserve">Domain-Specific Program Generation</w:t>
      </w:r>
      <w:r>
        <w:rPr>
          <w:rFonts w:ascii="Palatino Linotype" w:cs="Palatino Linotype" w:eastAsia="Palatino Linotype" w:hAnsi="Palatino Linotype"/>
          <w:sz w:val="16"/>
          <w:szCs w:val="16"/>
        </w:rPr>
        <w:t xml:space="preserve">; Lengauer, C., Batory, D., Consel, C., Odersky, M., Eds.; Lecture Notes in Computer Science; Springer: Berlin/Heidelberg, Germany, 2004; Volume 3016, pp. 216–238. https://doi.org/10.1007/978-3-540-25935-0_13</w:t>
      </w:r>
    </w:p>
    <w:p>
      <w:pPr>
        <w:pStyle w:val="ListParagraph"/>
        <w:numPr>
          <w:ilvl w:val="0"/>
          <w:numId w:val="3"/>
        </w:numPr>
        <w:spacing w:after="20"/>
        <w:jc w:val="left"/>
      </w:pPr>
      <w:r>
        <w:rPr>
          <w:rFonts w:ascii="Palatino Linotype" w:cs="Palatino Linotype" w:eastAsia="Palatino Linotype" w:hAnsi="Palatino Linotype"/>
          <w:sz w:val="16"/>
          <w:szCs w:val="16"/>
        </w:rPr>
        <w:t xml:space="preserve">Cordy, J.R. The TXL Source Transformation Language. </w:t>
      </w:r>
      <w:r>
        <w:rPr>
          <w:rFonts w:ascii="Palatino Linotype" w:cs="Palatino Linotype" w:eastAsia="Palatino Linotype" w:hAnsi="Palatino Linotype"/>
          <w:i/>
          <w:iCs/>
          <w:sz w:val="16"/>
          <w:szCs w:val="16"/>
        </w:rPr>
        <w:t xml:space="preserve">Sci. Comput. Program.</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2006</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61</w:t>
      </w:r>
      <w:r>
        <w:rPr>
          <w:rFonts w:ascii="Palatino Linotype" w:cs="Palatino Linotype" w:eastAsia="Palatino Linotype" w:hAnsi="Palatino Linotype"/>
          <w:sz w:val="16"/>
          <w:szCs w:val="16"/>
        </w:rPr>
        <w:t xml:space="preserve">, 190–210. https://doi.org/10.1016/j.scico.2006.04.002</w:t>
      </w:r>
    </w:p>
    <w:p>
      <w:pPr>
        <w:pStyle w:val="ListParagraph"/>
        <w:numPr>
          <w:ilvl w:val="0"/>
          <w:numId w:val="3"/>
        </w:numPr>
        <w:spacing w:after="20"/>
        <w:jc w:val="left"/>
      </w:pPr>
      <w:r>
        <w:rPr>
          <w:rFonts w:ascii="Palatino Linotype" w:cs="Palatino Linotype" w:eastAsia="Palatino Linotype" w:hAnsi="Palatino Linotype"/>
          <w:sz w:val="16"/>
          <w:szCs w:val="16"/>
        </w:rPr>
        <w:t xml:space="preserve">Klint, P.; van der Storm, T.; Vinju, J. RASCAL: A Domain Specific Language for Source Code Analysis and Manipulation. In Proceedings of the Ninth IEEE International Working Conference on Source Code Analysis and Manipulation (SCAM 2009), Edmonton, AB, Canada, 20–21 September 2009; pp. 168–177. https://doi.org/10.1109/SCAM.2009.28</w:t>
      </w:r>
    </w:p>
    <w:p>
      <w:pPr>
        <w:pStyle w:val="ListParagraph"/>
        <w:numPr>
          <w:ilvl w:val="0"/>
          <w:numId w:val="3"/>
        </w:numPr>
        <w:spacing w:after="20"/>
        <w:jc w:val="left"/>
      </w:pPr>
      <w:r>
        <w:rPr>
          <w:rFonts w:ascii="Palatino Linotype" w:cs="Palatino Linotype" w:eastAsia="Palatino Linotype" w:hAnsi="Palatino Linotype"/>
          <w:sz w:val="16"/>
          <w:szCs w:val="16"/>
        </w:rPr>
        <w:t xml:space="preserve">Mernik, M.; Heering, J.; Sloane, A.M. When and How to Develop Domain-Specific Languages. </w:t>
      </w:r>
      <w:r>
        <w:rPr>
          <w:rFonts w:ascii="Palatino Linotype" w:cs="Palatino Linotype" w:eastAsia="Palatino Linotype" w:hAnsi="Palatino Linotype"/>
          <w:i/>
          <w:iCs/>
          <w:sz w:val="16"/>
          <w:szCs w:val="16"/>
        </w:rPr>
        <w:t xml:space="preserve">ACM Comput. Surv.</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2005</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37</w:t>
      </w:r>
      <w:r>
        <w:rPr>
          <w:rFonts w:ascii="Palatino Linotype" w:cs="Palatino Linotype" w:eastAsia="Palatino Linotype" w:hAnsi="Palatino Linotype"/>
          <w:sz w:val="16"/>
          <w:szCs w:val="16"/>
        </w:rPr>
        <w:t xml:space="preserve">, 316–344. https://doi.org/10.1145/1118890.1118892</w:t>
      </w:r>
    </w:p>
    <w:p>
      <w:pPr>
        <w:pStyle w:val="ListParagraph"/>
        <w:numPr>
          <w:ilvl w:val="0"/>
          <w:numId w:val="3"/>
        </w:numPr>
        <w:spacing w:after="20"/>
        <w:jc w:val="left"/>
      </w:pPr>
      <w:r>
        <w:rPr>
          <w:rFonts w:ascii="Palatino Linotype" w:cs="Palatino Linotype" w:eastAsia="Palatino Linotype" w:hAnsi="Palatino Linotype"/>
          <w:sz w:val="16"/>
          <w:szCs w:val="16"/>
        </w:rPr>
        <w:t xml:space="preserve">Cox, R.; Griesemer, R.; Pike, R.; Taylor, I.L.; Thompson, K. The Go Programming Language and Environment. </w:t>
      </w:r>
      <w:r>
        <w:rPr>
          <w:rFonts w:ascii="Palatino Linotype" w:cs="Palatino Linotype" w:eastAsia="Palatino Linotype" w:hAnsi="Palatino Linotype"/>
          <w:i/>
          <w:iCs/>
          <w:sz w:val="16"/>
          <w:szCs w:val="16"/>
        </w:rPr>
        <w:t xml:space="preserve">Commun. ACM</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2022</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65</w:t>
      </w:r>
      <w:r>
        <w:rPr>
          <w:rFonts w:ascii="Palatino Linotype" w:cs="Palatino Linotype" w:eastAsia="Palatino Linotype" w:hAnsi="Palatino Linotype"/>
          <w:sz w:val="16"/>
          <w:szCs w:val="16"/>
        </w:rPr>
        <w:t xml:space="preserve">, 70–78. https://doi.org/10.1145/3488716</w:t>
      </w:r>
    </w:p>
    <w:p>
      <w:pPr>
        <w:pStyle w:val="ListParagraph"/>
        <w:numPr>
          <w:ilvl w:val="0"/>
          <w:numId w:val="3"/>
        </w:numPr>
        <w:spacing w:after="20"/>
        <w:jc w:val="left"/>
      </w:pPr>
      <w:r>
        <w:rPr>
          <w:rFonts w:ascii="Palatino Linotype" w:cs="Palatino Linotype" w:eastAsia="Palatino Linotype" w:hAnsi="Palatino Linotype"/>
          <w:sz w:val="16"/>
          <w:szCs w:val="16"/>
        </w:rPr>
        <w:t xml:space="preserve">Go 1 and the Future of Go Programs. Available online: https://go.dev/doc/go1compat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Clements, A. Go Turns 15. The Go Blog, 11 November 2024. Available online: https://go.dev/blog/15years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Burns, B.; Grant, B.; Oppenheimer, D.; Brewer, E.; Wilkes, J. Borg, Omega, and Kubernetes. </w:t>
      </w:r>
      <w:r>
        <w:rPr>
          <w:rFonts w:ascii="Palatino Linotype" w:cs="Palatino Linotype" w:eastAsia="Palatino Linotype" w:hAnsi="Palatino Linotype"/>
          <w:i/>
          <w:iCs/>
          <w:sz w:val="16"/>
          <w:szCs w:val="16"/>
        </w:rPr>
        <w:t xml:space="preserve">Commun. ACM</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2016</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59</w:t>
      </w:r>
      <w:r>
        <w:rPr>
          <w:rFonts w:ascii="Palatino Linotype" w:cs="Palatino Linotype" w:eastAsia="Palatino Linotype" w:hAnsi="Palatino Linotype"/>
          <w:sz w:val="16"/>
          <w:szCs w:val="16"/>
        </w:rPr>
        <w:t xml:space="preserve">, 50–57. https://doi.org/10.1145/2890784</w:t>
      </w:r>
    </w:p>
    <w:p>
      <w:pPr>
        <w:pStyle w:val="ListParagraph"/>
        <w:numPr>
          <w:ilvl w:val="0"/>
          <w:numId w:val="3"/>
        </w:numPr>
        <w:spacing w:after="20"/>
        <w:jc w:val="left"/>
      </w:pPr>
      <w:r>
        <w:rPr>
          <w:rFonts w:ascii="Palatino Linotype" w:cs="Palatino Linotype" w:eastAsia="Palatino Linotype" w:hAnsi="Palatino Linotype"/>
          <w:sz w:val="16"/>
          <w:szCs w:val="16"/>
        </w:rPr>
        <w:t xml:space="preserve">Bocci, A.; Forti, S.; Ferrari, G.-L.; Brogi, A. Declarative Secure Placement of FaaS Orchestrations in the Cloud-Edge Continuum. </w:t>
      </w:r>
      <w:r>
        <w:rPr>
          <w:rFonts w:ascii="Palatino Linotype" w:cs="Palatino Linotype" w:eastAsia="Palatino Linotype" w:hAnsi="Palatino Linotype"/>
          <w:i/>
          <w:iCs/>
          <w:sz w:val="16"/>
          <w:szCs w:val="16"/>
        </w:rPr>
        <w:t xml:space="preserve">Electronics</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2023</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12</w:t>
      </w:r>
      <w:r>
        <w:rPr>
          <w:rFonts w:ascii="Palatino Linotype" w:cs="Palatino Linotype" w:eastAsia="Palatino Linotype" w:hAnsi="Palatino Linotype"/>
          <w:sz w:val="16"/>
          <w:szCs w:val="16"/>
        </w:rPr>
        <w:t xml:space="preserve">, 1332. https://doi.org/10.3390/electronics12061332</w:t>
      </w:r>
    </w:p>
    <w:p>
      <w:pPr>
        <w:pStyle w:val="ListParagraph"/>
        <w:numPr>
          <w:ilvl w:val="0"/>
          <w:numId w:val="3"/>
        </w:numPr>
        <w:spacing w:after="20"/>
        <w:jc w:val="left"/>
      </w:pPr>
      <w:r>
        <w:rPr>
          <w:rFonts w:ascii="Palatino Linotype" w:cs="Palatino Linotype" w:eastAsia="Palatino Linotype" w:hAnsi="Palatino Linotype"/>
          <w:sz w:val="16"/>
          <w:szCs w:val="16"/>
        </w:rPr>
        <w:t xml:space="preserve">Fett, M.; Kraft, M.; Wilking, F.; Goetz, S.; Wartzack, S.; Kirchner, E. Medium-Level Architectures for Digital Twins: Bridging Conceptual Reference Architectures to Practical Implementation in Cloud, Edge and Cloud–Edge Deployments. </w:t>
      </w:r>
      <w:r>
        <w:rPr>
          <w:rFonts w:ascii="Palatino Linotype" w:cs="Palatino Linotype" w:eastAsia="Palatino Linotype" w:hAnsi="Palatino Linotype"/>
          <w:i/>
          <w:iCs/>
          <w:sz w:val="16"/>
          <w:szCs w:val="16"/>
        </w:rPr>
        <w:t xml:space="preserve">Electronics</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2024</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13</w:t>
      </w:r>
      <w:r>
        <w:rPr>
          <w:rFonts w:ascii="Palatino Linotype" w:cs="Palatino Linotype" w:eastAsia="Palatino Linotype" w:hAnsi="Palatino Linotype"/>
          <w:sz w:val="16"/>
          <w:szCs w:val="16"/>
        </w:rPr>
        <w:t xml:space="preserve">, 1373. https://doi.org/10.3390/electronics13071373</w:t>
      </w:r>
    </w:p>
    <w:p>
      <w:pPr>
        <w:pStyle w:val="ListParagraph"/>
        <w:numPr>
          <w:ilvl w:val="0"/>
          <w:numId w:val="3"/>
        </w:numPr>
        <w:spacing w:after="20"/>
        <w:jc w:val="left"/>
      </w:pPr>
      <w:r>
        <w:rPr>
          <w:rFonts w:ascii="Palatino Linotype" w:cs="Palatino Linotype" w:eastAsia="Palatino Linotype" w:hAnsi="Palatino Linotype"/>
          <w:sz w:val="16"/>
          <w:szCs w:val="16"/>
        </w:rPr>
        <w:t xml:space="preserve">golang/go Issue #19412. Proposal: Spec: Add Sum Types/Discriminated Unions. Available online: https://github.com/golang/go/issues/19412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Kohn, T.; van Rossum, G.; Bucher II, G.B.; Talin; Levkivskyi, I. Dynamic Pattern Matching with Python. In Proceedings of the 16th ACM SIGPLAN International Symposium on Dynamic Languages (DLS 2020), Virtual, USA, 2020; pp. 85–98. https://doi.org/10.1145/3426422.3426983</w:t>
      </w:r>
    </w:p>
    <w:p>
      <w:pPr>
        <w:pStyle w:val="ListParagraph"/>
        <w:numPr>
          <w:ilvl w:val="0"/>
          <w:numId w:val="3"/>
        </w:numPr>
        <w:spacing w:after="20"/>
        <w:jc w:val="left"/>
      </w:pPr>
      <w:r>
        <w:rPr>
          <w:rFonts w:ascii="Palatino Linotype" w:cs="Palatino Linotype" w:eastAsia="Palatino Linotype" w:hAnsi="Palatino Linotype"/>
          <w:sz w:val="16"/>
          <w:szCs w:val="16"/>
        </w:rPr>
        <w:t xml:space="preserve">golang/go Issue #21498. Proposal: Spec: Short Function Literals. Available online: https://github.com/golang/go/issues/21498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Taylor, I.L.; Griesemer, R. Type Parameters Proposal. Available online: https://go.googlesource.com/proposal/+/refs/heads/master/design/43651-type-parameters.md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Go 1.18 Release Notes. Available online: https://go.dev/doc/go1.18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The Go Programming Language Specification. Available online: https://go.dev/ref/spec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XGo. Available online: https://github.com/goplus/xgo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Borgo Programming Language. Available online: https://github.com/borgo-lang/borgo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Emre, M.; Schroeder, R.; Dewey, K.; Hardekopf, B. Translating C to Safer Rust. </w:t>
      </w:r>
      <w:r>
        <w:rPr>
          <w:rFonts w:ascii="Palatino Linotype" w:cs="Palatino Linotype" w:eastAsia="Palatino Linotype" w:hAnsi="Palatino Linotype"/>
          <w:i/>
          <w:iCs/>
          <w:sz w:val="16"/>
          <w:szCs w:val="16"/>
        </w:rPr>
        <w:t xml:space="preserve">Proc. ACM Program. Lang.</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2021</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5</w:t>
      </w:r>
      <w:r>
        <w:rPr>
          <w:rFonts w:ascii="Palatino Linotype" w:cs="Palatino Linotype" w:eastAsia="Palatino Linotype" w:hAnsi="Palatino Linotype"/>
          <w:sz w:val="16"/>
          <w:szCs w:val="16"/>
        </w:rPr>
        <w:t xml:space="preserve">, 1–29. https://doi.org/10.1145/3485498</w:t>
      </w:r>
    </w:p>
    <w:p>
      <w:pPr>
        <w:pStyle w:val="ListParagraph"/>
        <w:numPr>
          <w:ilvl w:val="0"/>
          <w:numId w:val="3"/>
        </w:numPr>
        <w:spacing w:after="20"/>
        <w:jc w:val="left"/>
      </w:pPr>
      <w:r>
        <w:rPr>
          <w:rFonts w:ascii="Palatino Linotype" w:cs="Palatino Linotype" w:eastAsia="Palatino Linotype" w:hAnsi="Palatino Linotype"/>
          <w:sz w:val="16"/>
          <w:szCs w:val="16"/>
        </w:rPr>
        <w:t xml:space="preserve">Emre, M.; Boyland, P.; Parekh, A.; Schroeder, R.; Dewey, K.; Hardekopf, B. Aliasing Limits on Translating C to Safe Rust. </w:t>
      </w:r>
      <w:r>
        <w:rPr>
          <w:rFonts w:ascii="Palatino Linotype" w:cs="Palatino Linotype" w:eastAsia="Palatino Linotype" w:hAnsi="Palatino Linotype"/>
          <w:i/>
          <w:iCs/>
          <w:sz w:val="16"/>
          <w:szCs w:val="16"/>
        </w:rPr>
        <w:t xml:space="preserve">Proc. ACM Program. Lang.</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2023</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7</w:t>
      </w:r>
      <w:r>
        <w:rPr>
          <w:rFonts w:ascii="Palatino Linotype" w:cs="Palatino Linotype" w:eastAsia="Palatino Linotype" w:hAnsi="Palatino Linotype"/>
          <w:sz w:val="16"/>
          <w:szCs w:val="16"/>
        </w:rPr>
        <w:t xml:space="preserve">, 94. https://doi.org/10.1145/3586046</w:t>
      </w:r>
    </w:p>
    <w:p>
      <w:pPr>
        <w:pStyle w:val="ListParagraph"/>
        <w:numPr>
          <w:ilvl w:val="0"/>
          <w:numId w:val="3"/>
        </w:numPr>
        <w:spacing w:after="20"/>
        <w:jc w:val="left"/>
      </w:pPr>
      <w:r>
        <w:rPr>
          <w:rFonts w:ascii="Palatino Linotype" w:cs="Palatino Linotype" w:eastAsia="Palatino Linotype" w:hAnsi="Palatino Linotype"/>
          <w:sz w:val="16"/>
          <w:szCs w:val="16"/>
        </w:rPr>
        <w:t xml:space="preserve">Pan, R.; Ibrahimzada, A.R.; Krishna, R.; Sankar, D.; Wassi, L.P.; Merler, M.; Sobolev, B.; Pavuluri, R.; Sinha, S.; Jabbarvand, R. Lost in Translation: A Study of Bugs Introduced by Large Language Models while Translating Code. In Proceedings of the IEEE/ACM 46th International Conference on Software Engineering (ICSE 2024), Lisbon, Portugal, 2024; pp. 1–13. https://doi.org/10.1145/3597503.3639226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Forkert, P. </w:t>
      </w:r>
      <w:r>
        <w:rPr>
          <w:rFonts w:ascii="Palatino Linotype" w:cs="Palatino Linotype" w:eastAsia="Palatino Linotype" w:hAnsi="Palatino Linotype"/>
          <w:sz w:val="16"/>
          <w:szCs w:val="16"/>
          <w:highlight w:val="yellow"/>
          <w:highlightCs w:val="yellow"/>
        </w:rPr>
        <w:t xml:space="preserve">Title of the Doctoral Dissertation</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sz w:val="16"/>
          <w:szCs w:val="16"/>
          <w:highlight w:val="yellow"/>
          <w:highlightCs w:val="yellow"/>
        </w:rPr>
        <w:t xml:space="preserve">Doctor of Philosophy Thesis</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sz w:val="16"/>
          <w:szCs w:val="16"/>
          <w:highlight w:val="yellow"/>
          <w:highlightCs w:val="yellow"/>
        </w:rPr>
        <w:t xml:space="preserve">University</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sz w:val="16"/>
          <w:szCs w:val="16"/>
          <w:highlight w:val="yellow"/>
          <w:highlightCs w:val="yellow"/>
        </w:rPr>
        <w:t xml:space="preserve">City</w:t>
      </w:r>
      <w:r>
        <w:rPr>
          <w:rFonts w:ascii="Palatino Linotype" w:cs="Palatino Linotype" w:eastAsia="Palatino Linotype" w:hAnsi="Palatino Linotype"/>
          <w:sz w:val="16"/>
          <w:szCs w:val="16"/>
        </w:rPr>
        <w:t xml:space="preserve">, Ukraine, </w:t>
      </w:r>
      <w:r>
        <w:rPr>
          <w:rFonts w:ascii="Palatino Linotype" w:cs="Palatino Linotype" w:eastAsia="Palatino Linotype" w:hAnsi="Palatino Linotype"/>
          <w:sz w:val="16"/>
          <w:szCs w:val="16"/>
          <w:highlight w:val="yellow"/>
          <w:highlightCs w:val="yellow"/>
        </w:rPr>
        <w:t xml:space="preserve">2026</w:t>
      </w:r>
      <w:r>
        <w:rPr>
          <w:rFonts w:ascii="Palatino Linotype" w:cs="Palatino Linotype" w:eastAsia="Palatino Linotype" w:hAnsi="Palatino Linotype"/>
          <w:sz w:val="16"/>
          <w:szCs w:val="16"/>
        </w:rPr>
        <w:t xml:space="preserve">.</w:t>
      </w:r>
    </w:p>
    <w:p>
      <w:pPr>
        <w:pStyle w:val="ListParagraph"/>
        <w:numPr>
          <w:ilvl w:val="0"/>
          <w:numId w:val="3"/>
        </w:numPr>
        <w:spacing w:after="20"/>
        <w:jc w:val="left"/>
      </w:pPr>
      <w:r>
        <w:rPr>
          <w:rFonts w:ascii="Palatino Linotype" w:cs="Palatino Linotype" w:eastAsia="Palatino Linotype" w:hAnsi="Palatino Linotype"/>
          <w:sz w:val="16"/>
          <w:szCs w:val="16"/>
        </w:rPr>
        <w:t xml:space="preserve">Package unsafe—Go Standard Library Documentation. Available online: https://pkg.go.dev/unsafe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Hudson, R. Getting to Go: The Journey of Go's Garbage Collector. The Go Blog, 12 July 2018. Available online: https://go.dev/blog/ismmkeynote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Jones, R.; Hosking, A.; Moss, E. </w:t>
      </w:r>
      <w:r>
        <w:rPr>
          <w:rFonts w:ascii="Palatino Linotype" w:cs="Palatino Linotype" w:eastAsia="Palatino Linotype" w:hAnsi="Palatino Linotype"/>
          <w:i/>
          <w:iCs/>
          <w:sz w:val="16"/>
          <w:szCs w:val="16"/>
        </w:rPr>
        <w:t xml:space="preserve">The Garbage Collection Handbook: The Art of Automatic Memory Management</w:t>
      </w:r>
      <w:r>
        <w:rPr>
          <w:rFonts w:ascii="Palatino Linotype" w:cs="Palatino Linotype" w:eastAsia="Palatino Linotype" w:hAnsi="Palatino Linotype"/>
          <w:sz w:val="16"/>
          <w:szCs w:val="16"/>
        </w:rPr>
        <w:t xml:space="preserve">, 2nd ed.; Chapman and Hall/CRC: New York, NY, USA, 2023. https://doi.org/10.1201/9781003276142</w:t>
      </w:r>
    </w:p>
    <w:p>
      <w:pPr>
        <w:pStyle w:val="ListParagraph"/>
        <w:numPr>
          <w:ilvl w:val="0"/>
          <w:numId w:val="3"/>
        </w:numPr>
        <w:spacing w:after="20"/>
        <w:jc w:val="left"/>
      </w:pPr>
      <w:r>
        <w:rPr>
          <w:rFonts w:ascii="Palatino Linotype" w:cs="Palatino Linotype" w:eastAsia="Palatino Linotype" w:hAnsi="Palatino Linotype"/>
          <w:sz w:val="16"/>
          <w:szCs w:val="16"/>
        </w:rPr>
        <w:t xml:space="preserve">Package ast—Go Standard Library Documentation. Available online: https://pkg.go.dev/go/ast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Maranget, L. Compiling Pattern Matching to Good Decision Trees. In Proceedings of the 2008 ACM SIGPLAN Workshop on ML (ML 2008), Victoria, BC, Canada, 2008; pp. 35–46. https://doi.org/10.1145/1411304.1411311</w:t>
      </w:r>
    </w:p>
    <w:p>
      <w:pPr>
        <w:pStyle w:val="ListParagraph"/>
        <w:numPr>
          <w:ilvl w:val="0"/>
          <w:numId w:val="3"/>
        </w:numPr>
        <w:spacing w:after="20"/>
        <w:jc w:val="left"/>
      </w:pPr>
      <w:r>
        <w:rPr>
          <w:rFonts w:ascii="Palatino Linotype" w:cs="Palatino Linotype" w:eastAsia="Palatino Linotype" w:hAnsi="Palatino Linotype"/>
          <w:sz w:val="16"/>
          <w:szCs w:val="16"/>
        </w:rPr>
        <w:t xml:space="preserve">Command compile: Compiler Directives—Go Documentation. Available online: https://pkg.go.dev/cmd/compile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gopls: The Language Server for Go. Available online: https://go.dev/gopls/ (accessed on 20 October 2026).</w:t>
      </w:r>
    </w:p>
    <w:p>
      <w:pPr>
        <w:pStyle w:val="ListParagraph"/>
        <w:numPr>
          <w:ilvl w:val="0"/>
          <w:numId w:val="3"/>
        </w:numPr>
        <w:spacing w:after="20"/>
        <w:jc w:val="left"/>
      </w:pPr>
      <w:r>
        <w:rPr>
          <w:rFonts w:ascii="Palatino Linotype" w:cs="Palatino Linotype" w:eastAsia="Palatino Linotype" w:hAnsi="Palatino Linotype"/>
          <w:sz w:val="16"/>
          <w:szCs w:val="16"/>
        </w:rPr>
        <w:t xml:space="preserve">Georges, A.; Buytaert, D.; Eeckhout, L. Statistically Rigorous Java Performance Evaluation. In Proceedings of the 22nd Annual ACM SIGPLAN Conference on Object-Oriented Programming Systems, Languages and Applications (OOPSLA 2007), Montreal, QC, Canada, 2007; pp. 57–76. https://doi.org/10.1145/1297027.1297033</w:t>
      </w:r>
    </w:p>
    <w:p>
      <w:pPr>
        <w:pStyle w:val="ListParagraph"/>
        <w:numPr>
          <w:ilvl w:val="0"/>
          <w:numId w:val="3"/>
        </w:numPr>
        <w:spacing w:after="20"/>
        <w:jc w:val="left"/>
      </w:pPr>
      <w:r>
        <w:rPr>
          <w:rFonts w:ascii="Palatino Linotype" w:cs="Palatino Linotype" w:eastAsia="Palatino Linotype" w:hAnsi="Palatino Linotype"/>
          <w:sz w:val="16"/>
          <w:szCs w:val="16"/>
        </w:rPr>
        <w:t xml:space="preserve">Kalibera, T.; Jones, R. Rigorous Benchmarking in Reasonable Time. In Proceedings of the 2013 International Symposium on Memory Management (ISMM 2013), Seattle, WA, USA, 2013; pp. 63–74. https://doi.org/10.1145/2464157.2464160</w:t>
      </w:r>
    </w:p>
    <w:p>
      <w:pPr>
        <w:pStyle w:val="ListParagraph"/>
        <w:numPr>
          <w:ilvl w:val="0"/>
          <w:numId w:val="3"/>
        </w:numPr>
        <w:spacing w:after="20"/>
        <w:jc w:val="left"/>
      </w:pPr>
      <w:r>
        <w:rPr>
          <w:rFonts w:ascii="Palatino Linotype" w:cs="Palatino Linotype" w:eastAsia="Palatino Linotype" w:hAnsi="Palatino Linotype"/>
          <w:sz w:val="16"/>
          <w:szCs w:val="16"/>
        </w:rPr>
        <w:t xml:space="preserve">Forkert, P. GoNext: Transpiler and Reproducibility Package, Version 1.0.0; Zenodo: Geneva, Switzerland, 2026. https://doi.org/10.5281/zenodo.23490820</w:t>
      </w:r>
    </w:p>
    <w:p>
      <w:pPr>
        <w:pStyle w:val="ListParagraph"/>
        <w:numPr>
          <w:ilvl w:val="0"/>
          <w:numId w:val="3"/>
        </w:numPr>
        <w:spacing w:after="20"/>
        <w:jc w:val="left"/>
      </w:pPr>
      <w:r>
        <w:rPr>
          <w:rFonts w:ascii="Palatino Linotype" w:cs="Palatino Linotype" w:eastAsia="Palatino Linotype" w:hAnsi="Palatino Linotype"/>
          <w:sz w:val="16"/>
          <w:szCs w:val="16"/>
        </w:rPr>
        <w:t xml:space="preserve">Haas, A.; Rossberg, A.; Schuff, D.L.; Titzer, B.L.; Holman, M.; Gohman, D.; Wagner, L.; Zakai, A.; Bastien, J.F. Bringing the Web up to Speed with WebAssembly. In Proceedings of the 38th ACM SIGPLAN Conference on Programming Language Design and Implementation (PLDI 2017), Barcelona, Spain, 2017; pp. 185–200. https://doi.org/10.1145/3062341.3062363</w:t>
      </w:r>
    </w:p>
    <w:p>
      <w:pPr>
        <w:pStyle w:val="ListParagraph"/>
        <w:numPr>
          <w:ilvl w:val="0"/>
          <w:numId w:val="3"/>
        </w:numPr>
        <w:spacing w:after="20"/>
        <w:jc w:val="left"/>
      </w:pPr>
      <w:r>
        <w:rPr>
          <w:rFonts w:ascii="Palatino Linotype" w:cs="Palatino Linotype" w:eastAsia="Palatino Linotype" w:hAnsi="Palatino Linotype"/>
          <w:sz w:val="16"/>
          <w:szCs w:val="16"/>
        </w:rPr>
        <w:t xml:space="preserve">Griesemer, R.; Hu, R.; Kokke, W.; Lange, J.; Taylor, I.L.; Toninho, B.; Wadler, P.; Yoshida, N. Featherweight Go. </w:t>
      </w:r>
      <w:r>
        <w:rPr>
          <w:rFonts w:ascii="Palatino Linotype" w:cs="Palatino Linotype" w:eastAsia="Palatino Linotype" w:hAnsi="Palatino Linotype"/>
          <w:i/>
          <w:iCs/>
          <w:sz w:val="16"/>
          <w:szCs w:val="16"/>
        </w:rPr>
        <w:t xml:space="preserve">Proc. ACM Program. Lang.</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2020</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4</w:t>
      </w:r>
      <w:r>
        <w:rPr>
          <w:rFonts w:ascii="Palatino Linotype" w:cs="Palatino Linotype" w:eastAsia="Palatino Linotype" w:hAnsi="Palatino Linotype"/>
          <w:sz w:val="16"/>
          <w:szCs w:val="16"/>
        </w:rPr>
        <w:t xml:space="preserve">, 149. https://doi.org/10.1145/3428217</w:t>
      </w:r>
    </w:p>
    <w:p>
      <w:pPr>
        <w:pStyle w:val="ListParagraph"/>
        <w:numPr>
          <w:ilvl w:val="0"/>
          <w:numId w:val="3"/>
        </w:numPr>
        <w:spacing w:after="20"/>
        <w:jc w:val="left"/>
      </w:pPr>
      <w:r>
        <w:rPr>
          <w:rFonts w:ascii="Palatino Linotype" w:cs="Palatino Linotype" w:eastAsia="Palatino Linotype" w:hAnsi="Palatino Linotype"/>
          <w:sz w:val="16"/>
          <w:szCs w:val="16"/>
        </w:rPr>
        <w:t xml:space="preserve">Ellis, S.; Zhu, S.; Yoshida, N.; Song, L. Generic Go to Go: Dictionary-Passing, Monomorphisation, and Hybrid. </w:t>
      </w:r>
      <w:r>
        <w:rPr>
          <w:rFonts w:ascii="Palatino Linotype" w:cs="Palatino Linotype" w:eastAsia="Palatino Linotype" w:hAnsi="Palatino Linotype"/>
          <w:i/>
          <w:iCs/>
          <w:sz w:val="16"/>
          <w:szCs w:val="16"/>
        </w:rPr>
        <w:t xml:space="preserve">Proc. ACM Program. Lang.</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2022</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6</w:t>
      </w:r>
      <w:r>
        <w:rPr>
          <w:rFonts w:ascii="Palatino Linotype" w:cs="Palatino Linotype" w:eastAsia="Palatino Linotype" w:hAnsi="Palatino Linotype"/>
          <w:sz w:val="16"/>
          <w:szCs w:val="16"/>
        </w:rPr>
        <w:t xml:space="preserve">, 168. https://doi.org/10.1145/3563331</w:t>
      </w:r>
    </w:p>
    <w:p>
      <w:pPr>
        <w:pStyle w:val="ListParagraph"/>
        <w:numPr>
          <w:ilvl w:val="0"/>
          <w:numId w:val="3"/>
        </w:numPr>
        <w:spacing w:after="20"/>
        <w:jc w:val="left"/>
      </w:pPr>
      <w:r>
        <w:rPr>
          <w:rFonts w:ascii="Palatino Linotype" w:cs="Palatino Linotype" w:eastAsia="Palatino Linotype" w:hAnsi="Palatino Linotype"/>
          <w:sz w:val="16"/>
          <w:szCs w:val="16"/>
        </w:rPr>
        <w:t xml:space="preserve">Sulzmann, M.; Wehr, S. A Dictionary-Passing Translation of Featherweight Go. In </w:t>
      </w:r>
      <w:r>
        <w:rPr>
          <w:rFonts w:ascii="Palatino Linotype" w:cs="Palatino Linotype" w:eastAsia="Palatino Linotype" w:hAnsi="Palatino Linotype"/>
          <w:i/>
          <w:iCs/>
          <w:sz w:val="16"/>
          <w:szCs w:val="16"/>
        </w:rPr>
        <w:t xml:space="preserve">Programming Languages and Systems</w:t>
      </w:r>
      <w:r>
        <w:rPr>
          <w:rFonts w:ascii="Palatino Linotype" w:cs="Palatino Linotype" w:eastAsia="Palatino Linotype" w:hAnsi="Palatino Linotype"/>
          <w:sz w:val="16"/>
          <w:szCs w:val="16"/>
        </w:rPr>
        <w:t xml:space="preserve"> (APLAS 2021), Chicago, IL, USA, 2021; Lecture Notes in Computer Science, Volume 13008; Springer: Cham, Switzerland, 2021; pp. 102–120. https://doi.org/10.1007/978-3-030-89051-3_7</w:t>
      </w:r>
    </w:p>
    <w:p>
      <w:pPr>
        <w:pStyle w:val="ListParagraph"/>
        <w:numPr>
          <w:ilvl w:val="0"/>
          <w:numId w:val="3"/>
        </w:numPr>
        <w:spacing w:after="20"/>
        <w:jc w:val="left"/>
      </w:pPr>
      <w:r>
        <w:rPr>
          <w:rFonts w:ascii="Palatino Linotype" w:cs="Palatino Linotype" w:eastAsia="Palatino Linotype" w:hAnsi="Palatino Linotype"/>
          <w:sz w:val="16"/>
          <w:szCs w:val="16"/>
        </w:rPr>
        <w:t xml:space="preserve">Sulzmann, M.; Wehr, S. A Type-Directed, Dictionary-Passing Translation of Method Overloading and Structural Subtyping in Featherweight Generic Go. </w:t>
      </w:r>
      <w:r>
        <w:rPr>
          <w:rFonts w:ascii="Palatino Linotype" w:cs="Palatino Linotype" w:eastAsia="Palatino Linotype" w:hAnsi="Palatino Linotype"/>
          <w:i/>
          <w:iCs/>
          <w:sz w:val="16"/>
          <w:szCs w:val="16"/>
        </w:rPr>
        <w:t xml:space="preserve">J. Funct. Program.</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2023</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33</w:t>
      </w:r>
      <w:r>
        <w:rPr>
          <w:rFonts w:ascii="Palatino Linotype" w:cs="Palatino Linotype" w:eastAsia="Palatino Linotype" w:hAnsi="Palatino Linotype"/>
          <w:sz w:val="16"/>
          <w:szCs w:val="16"/>
        </w:rPr>
        <w:t xml:space="preserve">, e8. https://doi.org/10.1017/S0956796823000047</w:t>
      </w:r>
    </w:p>
    <w:p>
      <w:pPr>
        <w:pStyle w:val="ListParagraph"/>
        <w:numPr>
          <w:ilvl w:val="0"/>
          <w:numId w:val="3"/>
        </w:numPr>
        <w:spacing w:after="20"/>
        <w:jc w:val="left"/>
      </w:pPr>
      <w:r>
        <w:rPr>
          <w:rFonts w:ascii="Palatino Linotype" w:cs="Palatino Linotype" w:eastAsia="Palatino Linotype" w:hAnsi="Palatino Linotype"/>
          <w:sz w:val="16"/>
          <w:szCs w:val="16"/>
        </w:rPr>
        <w:t xml:space="preserve">Dunfield, J.; Krishnaswami, N. Bidirectional Typing. </w:t>
      </w:r>
      <w:r>
        <w:rPr>
          <w:rFonts w:ascii="Palatino Linotype" w:cs="Palatino Linotype" w:eastAsia="Palatino Linotype" w:hAnsi="Palatino Linotype"/>
          <w:i/>
          <w:iCs/>
          <w:sz w:val="16"/>
          <w:szCs w:val="16"/>
        </w:rPr>
        <w:t xml:space="preserve">ACM Comput. Surv.</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2021</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54</w:t>
      </w:r>
      <w:r>
        <w:rPr>
          <w:rFonts w:ascii="Palatino Linotype" w:cs="Palatino Linotype" w:eastAsia="Palatino Linotype" w:hAnsi="Palatino Linotype"/>
          <w:sz w:val="16"/>
          <w:szCs w:val="16"/>
        </w:rPr>
        <w:t xml:space="preserve">, 1–38. https://doi.org/10.1145/3450952</w:t>
      </w:r>
    </w:p>
    <w:p>
      <w:pPr>
        <w:pStyle w:val="ListParagraph"/>
        <w:numPr>
          <w:ilvl w:val="0"/>
          <w:numId w:val="3"/>
        </w:numPr>
        <w:spacing w:after="20"/>
        <w:jc w:val="left"/>
      </w:pPr>
      <w:r>
        <w:rPr>
          <w:rFonts w:ascii="Palatino Linotype" w:cs="Palatino Linotype" w:eastAsia="Palatino Linotype" w:hAnsi="Palatino Linotype"/>
          <w:sz w:val="16"/>
          <w:szCs w:val="16"/>
        </w:rPr>
        <w:t xml:space="preserve">Pierce, B.C.; Turner, D.N. Local Type Inference. </w:t>
      </w:r>
      <w:r>
        <w:rPr>
          <w:rFonts w:ascii="Palatino Linotype" w:cs="Palatino Linotype" w:eastAsia="Palatino Linotype" w:hAnsi="Palatino Linotype"/>
          <w:i/>
          <w:iCs/>
          <w:sz w:val="16"/>
          <w:szCs w:val="16"/>
        </w:rPr>
        <w:t xml:space="preserve">ACM Trans. Program. Lang. Syst.</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2000</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22</w:t>
      </w:r>
      <w:r>
        <w:rPr>
          <w:rFonts w:ascii="Palatino Linotype" w:cs="Palatino Linotype" w:eastAsia="Palatino Linotype" w:hAnsi="Palatino Linotype"/>
          <w:sz w:val="16"/>
          <w:szCs w:val="16"/>
        </w:rPr>
        <w:t xml:space="preserve">, 1–44. https://doi.org/10.1145/345099.345100</w:t>
      </w:r>
    </w:p>
    <w:p>
      <w:pPr>
        <w:pStyle w:val="ListParagraph"/>
        <w:numPr>
          <w:ilvl w:val="0"/>
          <w:numId w:val="3"/>
        </w:numPr>
        <w:spacing w:after="20"/>
        <w:jc w:val="left"/>
      </w:pPr>
      <w:r>
        <w:rPr>
          <w:rFonts w:ascii="Palatino Linotype" w:cs="Palatino Linotype" w:eastAsia="Palatino Linotype" w:hAnsi="Palatino Linotype"/>
          <w:sz w:val="16"/>
          <w:szCs w:val="16"/>
        </w:rPr>
        <w:t xml:space="preserve">Emir, B.; Odersky, M.; Williams, J. Matching Objects with Patterns. In </w:t>
      </w:r>
      <w:r>
        <w:rPr>
          <w:rFonts w:ascii="Palatino Linotype" w:cs="Palatino Linotype" w:eastAsia="Palatino Linotype" w:hAnsi="Palatino Linotype"/>
          <w:i/>
          <w:iCs/>
          <w:sz w:val="16"/>
          <w:szCs w:val="16"/>
        </w:rPr>
        <w:t xml:space="preserve">ECOOP 2007—Object-Oriented Programming</w:t>
      </w:r>
      <w:r>
        <w:rPr>
          <w:rFonts w:ascii="Palatino Linotype" w:cs="Palatino Linotype" w:eastAsia="Palatino Linotype" w:hAnsi="Palatino Linotype"/>
          <w:sz w:val="16"/>
          <w:szCs w:val="16"/>
        </w:rPr>
        <w:t xml:space="preserve">, Proceedings of the 21st European Conference, Berlin, Germany, 30 July–3 August 2007; Ernst, E., Ed.; Lecture Notes in Computer Science; Springer: Berlin/Heidelberg, Germany, 2007; Volume 4609, pp. 273–298. https://doi.org/10.1007/978-3-540-73589-2_14</w:t>
      </w:r>
    </w:p>
    <w:p>
      <w:pPr>
        <w:pStyle w:val="ListParagraph"/>
        <w:numPr>
          <w:ilvl w:val="0"/>
          <w:numId w:val="3"/>
        </w:numPr>
        <w:spacing w:after="20"/>
        <w:jc w:val="left"/>
      </w:pPr>
      <w:r>
        <w:rPr>
          <w:rFonts w:ascii="Palatino Linotype" w:cs="Palatino Linotype" w:eastAsia="Palatino Linotype" w:hAnsi="Palatino Linotype"/>
          <w:sz w:val="16"/>
          <w:szCs w:val="16"/>
        </w:rPr>
        <w:t xml:space="preserve">Costa, D.E.; Mujahid, S.; Abdalkareem, R.; Shihab, E. Breaking Type Safety in Go: An Empirical Study on the Usage of the unsafe Package. </w:t>
      </w:r>
      <w:r>
        <w:rPr>
          <w:rFonts w:ascii="Palatino Linotype" w:cs="Palatino Linotype" w:eastAsia="Palatino Linotype" w:hAnsi="Palatino Linotype"/>
          <w:i/>
          <w:iCs/>
          <w:sz w:val="16"/>
          <w:szCs w:val="16"/>
        </w:rPr>
        <w:t xml:space="preserve">IEEE Trans. Softw. Eng.</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b/>
          <w:bCs/>
          <w:sz w:val="16"/>
          <w:szCs w:val="16"/>
        </w:rPr>
        <w:t xml:space="preserve">2022</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48</w:t>
      </w:r>
      <w:r>
        <w:rPr>
          <w:rFonts w:ascii="Palatino Linotype" w:cs="Palatino Linotype" w:eastAsia="Palatino Linotype" w:hAnsi="Palatino Linotype"/>
          <w:sz w:val="16"/>
          <w:szCs w:val="16"/>
        </w:rPr>
        <w:t xml:space="preserve">, 2277–2294. https://doi.org/10.1109/TSE.2021.3057720</w:t>
      </w:r>
    </w:p>
    <w:p>
      <w:pPr>
        <w:pStyle w:val="ListParagraph"/>
        <w:numPr>
          <w:ilvl w:val="0"/>
          <w:numId w:val="3"/>
        </w:numPr>
        <w:spacing w:after="20"/>
        <w:jc w:val="left"/>
      </w:pPr>
      <w:r>
        <w:rPr>
          <w:rFonts w:ascii="Palatino Linotype" w:cs="Palatino Linotype" w:eastAsia="Palatino Linotype" w:hAnsi="Palatino Linotype"/>
          <w:sz w:val="16"/>
          <w:szCs w:val="16"/>
        </w:rPr>
        <w:t xml:space="preserve">Liu, Z.; Zhu, S.; Qin, B.; Chen, H.; Song, L. Automatically Detecting and Fixing Concurrency Bugs in Go Software Systems. In Proceedings of the 26th ACM International Conference on Architectural Support for Programming Languages and Operating Systems (ASPLOS 2021), Virtual, USA, 2021; pp. 616–629. https://doi.org/10.1145/3445814.3446756</w:t>
      </w:r>
    </w:p>
    <w:p>
      <w:pPr>
        <w:pStyle w:val="ListParagraph"/>
        <w:numPr>
          <w:ilvl w:val="0"/>
          <w:numId w:val="3"/>
        </w:numPr>
        <w:spacing w:after="20"/>
        <w:jc w:val="left"/>
      </w:pPr>
      <w:r>
        <w:rPr>
          <w:rFonts w:ascii="Palatino Linotype" w:cs="Palatino Linotype" w:eastAsia="Palatino Linotype" w:hAnsi="Palatino Linotype"/>
          <w:sz w:val="16"/>
          <w:szCs w:val="16"/>
        </w:rPr>
        <w:t xml:space="preserve">Liu, Z.; Xia, S.; Liang, Y.; Song, L.; Hu, H. Who Goes First? Detecting Go Concurrency Bugs via Message Reordering. In Proceedings of the 27th ACM International Conference on Architectural Support for Programming Languages and Operating Systems (ASPLOS 2022), Lausanne, Switzerland, 2022; pp. 888–902. https://doi.org/10.1145/3503222.3507753</w:t>
      </w:r>
    </w:p>
    <w:p>
      <w:pPr>
        <w:pStyle w:val="ListParagraph"/>
        <w:numPr>
          <w:ilvl w:val="0"/>
          <w:numId w:val="3"/>
        </w:numPr>
        <w:spacing w:after="20"/>
        <w:jc w:val="left"/>
      </w:pPr>
      <w:r>
        <w:rPr>
          <w:rFonts w:ascii="Palatino Linotype" w:cs="Palatino Linotype" w:eastAsia="Palatino Linotype" w:hAnsi="Palatino Linotype"/>
          <w:sz w:val="16"/>
          <w:szCs w:val="16"/>
        </w:rPr>
        <w:t xml:space="preserve">Pombrio, J.; Krishnamurthi, S. Resugaring: Lifting Evaluation Sequences through Syntactic Sugar. In Proceedings of the 35th ACM SIGPLAN Conference on Programming Language Design and Implementation (PLDI 2014), Edinburgh, UK, 2014; pp. 361–371. https://doi.org/10.1145/2594291.2594319</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Palatino Linotype" w:cs="Palatino Linotype" w:eastAsia="Palatino Linotype" w:hAnsi="Palatino Linotype"/>
        <w:i/>
        <w:iCs/>
        <w:sz w:val="16"/>
        <w:szCs w:val="16"/>
      </w:rPr>
      <w:t xml:space="preserve">Electronics</w:t>
    </w:r>
    <w:r>
      <w:rPr>
        <w:rFonts w:ascii="Palatino Linotype" w:cs="Palatino Linotype" w:eastAsia="Palatino Linotype" w:hAnsi="Palatino Linotype"/>
        <w:b/>
        <w:bCs/>
        <w:sz w:val="16"/>
        <w:szCs w:val="16"/>
      </w:rPr>
      <w:t xml:space="preserve"> 2026</w:t>
    </w:r>
    <w:r>
      <w:rPr>
        <w:rFonts w:ascii="Palatino Linotype" w:cs="Palatino Linotype" w:eastAsia="Palatino Linotype" w:hAnsi="Palatino Linotype"/>
        <w:sz w:val="16"/>
        <w:szCs w:val="16"/>
      </w:rPr>
      <w:t xml:space="preserve">, </w:t>
    </w:r>
    <w:r>
      <w:rPr>
        <w:rFonts w:ascii="Palatino Linotype" w:cs="Palatino Linotype" w:eastAsia="Palatino Linotype" w:hAnsi="Palatino Linotype"/>
        <w:i/>
        <w:iCs/>
        <w:sz w:val="16"/>
        <w:szCs w:val="16"/>
      </w:rPr>
      <w:t xml:space="preserve">15</w:t>
    </w:r>
    <w:r>
      <w:rPr>
        <w:rFonts w:ascii="Palatino Linotype" w:cs="Palatino Linotype" w:eastAsia="Palatino Linotype" w:hAnsi="Palatino Linotype"/>
        <w:sz w:val="16"/>
        <w:szCs w:val="16"/>
      </w:rPr>
      <w:t xml:space="preserve">, x FOR PEER REVIEW	</w:t>
    </w:r>
    <w:r>
      <w:rPr>
        <w:rFonts w:ascii="Palatino Linotype" w:cs="Palatino Linotype" w:eastAsia="Palatino Linotype" w:hAnsi="Palatino Linotype"/>
        <w:sz w:val="16"/>
        <w:szCs w:val="16"/>
      </w:rPr>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84"/>
      </w:pPr>
    </w:lvl>
  </w:abstractNum>
  <w:abstractNum w:abstractNumId="3" w15:restartNumberingAfterBreak="0">
    <w:multiLevelType w:val="hybridMultilevel"/>
    <w:lvl w:ilvl="0" w15:tentative="1">
      <w:start w:val="1"/>
      <w:numFmt w:val="decimal"/>
      <w:lvlText w:val="%1."/>
      <w:lvlJc w:val="left"/>
      <w:pPr>
        <w:ind w:left="425" w:hanging="425"/>
      </w:pPr>
      <w:rPr>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amkit5oghdlzov3spag3d" Type="http://schemas.openxmlformats.org/officeDocument/2006/relationships/hyperlink" Target="https://doi.org/10.5281/zenodo.23490820" TargetMode="External"/><Relationship Id="rIduxlmd3r0neemudpnzt35v" Type="http://schemas.openxmlformats.org/officeDocument/2006/relationships/hyperlink" Target="https://doi.org/10.5281/zenodo.23490820" TargetMode="External"/><Relationship Id="rId-etjcoq1gcg2yk2rrwrrn" Type="http://schemas.openxmlformats.org/officeDocument/2006/relationships/hyperlink" Target="https://doi.org/10.5281/zenodo.23490820" TargetMode="External"/><Relationship Id="rIdv4gmj9_rjenewhkf-ynax" Type="http://schemas.openxmlformats.org/officeDocument/2006/relationships/hyperlink" Target="https://doi.org/10.5281/zenodo.23490820" TargetMode="External"/><Relationship Id="rId2nhrcv3brf-bcyvjbis-c" Type="http://schemas.openxmlformats.org/officeDocument/2006/relationships/hyperlink" Target="https://doi.org/10.5281/zenodo.23490820" TargetMode="External"/><Relationship Id="rId8" Type="http://schemas.openxmlformats.org/officeDocument/2006/relationships/image" Target="media/427a78dc05116202949db6f4f4361908af61ee0c.png"/><Relationship Id="rId9" Type="http://schemas.openxmlformats.org/officeDocument/2006/relationships/image" Target="media/89554388590dd6bb0449ac984f1e9aec827d018e.png"/><Relationship Id="rId10" Type="http://schemas.openxmlformats.org/officeDocument/2006/relationships/image" Target="media/5b65ddacb563dcdeeb0248a37457d16e8fcd83bf.png"/><Relationship Id="rId11" Type="http://schemas.openxmlformats.org/officeDocument/2006/relationships/image" Target="media/30477d7eb6313663bed5359b3e73b400955aae3b.png"/><Relationship Id="rId12" Type="http://schemas.openxmlformats.org/officeDocument/2006/relationships/image" Target="media/56de5399601662fdf6f656b95743b231fba17cc0.png"/><Relationship Id="rId13" Type="http://schemas.openxmlformats.org/officeDocument/2006/relationships/image" Target="media/4088fcde9b9a17478044ab126081769495cb9bd1.png"/><Relationship Id="rId14" Type="http://schemas.openxmlformats.org/officeDocument/2006/relationships/image" Target="media/53ebe7080742c5e8c78533c187356211f68aced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2026-10-20T05:41:31.020Z</dcterms:created>
  <dcterms:modified xsi:type="dcterms:W3CDTF">2026-10-20T05:41:31.021Z</dcterms:modified>
</cp:coreProperties>
</file>

<file path=docProps/custom.xml><?xml version="1.0" encoding="utf-8"?>
<Properties xmlns="http://schemas.openxmlformats.org/officeDocument/2006/custom-properties" xmlns:vt="http://schemas.openxmlformats.org/officeDocument/2006/docPropsVTypes"/>
</file>