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feature set additions and bug fixes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 summaries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reorganization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Automatically 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when user saves/persists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issue – changing between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now updates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 UI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(before, changing did not update)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Improvements to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general readability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issue – automatically load the first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 visualization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 default (before, the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was always loaded, even if the user shouldn’t have had access)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Persist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 Details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when Navigating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issue, Data is now persisted within a session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(Before, data wasn’t properly being stored across page navigations)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Apply Role Based access to extra dropdown menus in the primary Navigation bar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certain classes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Certain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 have a limited amount of access based on their role (before, they would be able to see the navigation items for more of the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work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Progress – The goal of this page is to allow users to modify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the initial upload, so far (as of Apr 7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Initial Landing Page of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4 options for one-click navigation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the visual and design aesthetic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Determined usability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started with introductory conversations, but plan to continue working towards goals as we modernize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technical debt of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(Angular 1), specifically the monolithic architecture, limits the integration – we’ve decided that the main path forward is to modernize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Implementing in an iFrame is not a good idea, especially since there are ways of deploying the entire monolith into the new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