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Continued/finished development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 data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display and visualize information about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the ability to switch between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visualization, as well as interact (zoom and hover) 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like in the old 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development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included on this page as a button, although the API call is only stubbed (the backend endpoint is in-progress).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 team’s design decisions, the feature implementation looks different from the old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Import button and functionality for loading data (feature parity with old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XLSX files (Excel) in the proper format interface with backend server and this allows for uploads for a given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based on name (similar to the old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– the end user chooses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empty scoresheets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toggle and is able to upload a file if there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browser UI dialog window allows an end user to import an XLSX file as an alternative workflow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Multipage support in 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WebComponents, resembling each individual page, in the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 be configured based on the size (height/width) as well as the layout.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Alternatively, the entire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UI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Web Component and resembles the entire UI (as if it were deployed as a single UI instance on a server)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