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GET call for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platform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JavaScript dispatchEvent() and a JavaScript CustomEvent called ‘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customName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to interface with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Dynamically loads the context from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defaults to standalone environment ID when calling the CustomEvent called ‘onSharedRequestCallback’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API call with UI button on the (1)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page and (2)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features allows users to complete the MVP lifecycle and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generate summaries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additionally for all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(in the case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page)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GET call for user information from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Information is available from the ‘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customName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CustomEvent (referenced in the first bullet point)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user information provides basic role based access when in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 features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are only accessible for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admin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Bug Fixes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a production only UI scaling issue due to integration of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application with the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prevented data entry on pages.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Switching pages persists the selected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when navigating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 errors with better error messages – e.g. if the API is providing a good error message (like for uploading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scoresheet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then the UI propagates the error message to the user.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editing input fields, pressing enter saves the input, and pressing the escape key cancels the save process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Changed the text of a warning message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to the specific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context for the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scoresheet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production properly (correctly managed the asynchronous call to the production API).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Sorted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scoresheets names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alphabetically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Changed the hover text to be a better UX message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Other Enhancements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a help page with user interface interaction descriptions, and a template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instructions on how to fill it out properly.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a warning dialog when deleting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CSS styles to indicate alternating rows (banding) in presenting a set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under a single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ability to modify the standard completion amount percentage for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GET request to load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based on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the Landing Page (Home Page) with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branding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