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Tableau compact des décisions métier à valider</w:t>
      </w:r>
    </w:p>
    <w:p>
      <w:pPr>
        <w:pStyle w:val="Heading2"/>
      </w:pPr>
      <w:r>
        <w:t xml:space="preserve">Mode d'emploi</w:t>
      </w:r>
    </w:p>
    <w:p>
      <w:r>
        <w:t xml:space="preserve">Ce tableau sert de support court pour la réunion de cadrage. Il ne remplace pas le dossier détaillé, mais permet de suivre rapidement les arbitrages à prendre.</w:t>
      </w:r>
    </w:p>
    <w:p>
      <w:r>
        <w:t xml:space="preserve">Statuts recommandés :</w:t>
      </w:r>
    </w:p>
    <w:p>
      <w:pPr>
        <w:pStyle w:val="ListParagraph"/>
      </w:pPr>
      <w:r>
        <w:t xml:space="preserve">• À décider</w:t>
      </w:r>
    </w:p>
    <w:p>
      <w:pPr>
        <w:pStyle w:val="ListParagraph"/>
      </w:pPr>
      <w:r>
        <w:t xml:space="preserve">• Décidé</w:t>
      </w:r>
    </w:p>
    <w:p>
      <w:pPr>
        <w:pStyle w:val="ListParagraph"/>
      </w:pPr>
      <w:r>
        <w:t xml:space="preserve">• À confirmer</w:t>
      </w:r>
    </w:p>
    <w:p>
      <w:pPr>
        <w:pStyle w:val="ListParagraph"/>
      </w:pPr>
      <w:r>
        <w:t xml:space="preserve">• Reporté</w:t>
      </w:r>
    </w:p>
    <w:p>
      <w:pPr>
        <w:pStyle w:val="Heading2"/>
      </w:pPr>
      <w:r>
        <w:t xml:space="preserve">Tableau</w:t>
      </w:r>
    </w:p>
    <w:tbl>
      <w:tblPr>
        <w:tblStyle w:val="TableGrid"/>
        <w:tblW w:w="0" w:type="auto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w="0" w:type="auto"/>
          </w:tcPr>
          <w:p>
            <w:pPr>
              <w:pStyle w:val="TableHeader"/>
            </w:pPr>
            <w:r>
              <w:t xml:space="preserve">ID</w:t>
            </w:r>
          </w:p>
        </w:tc>
        <w:tc>
          <w:tcPr>
            <w:tcW w:w="0" w:type="auto"/>
          </w:tcPr>
          <w:p>
            <w:pPr>
              <w:pStyle w:val="TableHeader"/>
            </w:pPr>
            <w:r>
              <w:t xml:space="preserve">Thème</w:t>
            </w:r>
          </w:p>
        </w:tc>
        <w:tc>
          <w:tcPr>
            <w:tcW w:w="0" w:type="auto"/>
          </w:tcPr>
          <w:p>
            <w:pPr>
              <w:pStyle w:val="TableHeader"/>
            </w:pPr>
            <w:r>
              <w:t xml:space="preserve">Décision attendue</w:t>
            </w:r>
          </w:p>
        </w:tc>
        <w:tc>
          <w:tcPr>
            <w:tcW w:w="0" w:type="auto"/>
          </w:tcPr>
          <w:p>
            <w:pPr>
              <w:pStyle w:val="TableHeader"/>
            </w:pPr>
            <w:r>
              <w:t xml:space="preserve">Options / points à arbitrer</w:t>
            </w:r>
          </w:p>
        </w:tc>
        <w:tc>
          <w:tcPr>
            <w:tcW w:w="0" w:type="auto"/>
          </w:tcPr>
          <w:p>
            <w:pPr>
              <w:pStyle w:val="TableHeader"/>
            </w:pPr>
            <w:r>
              <w:t xml:space="preserve">Décision métier</w:t>
            </w:r>
          </w:p>
        </w:tc>
        <w:tc>
          <w:tcPr>
            <w:tcW w:w="0" w:type="auto"/>
          </w:tcPr>
          <w:p>
            <w:pPr>
              <w:pStyle w:val="TableHeader"/>
            </w:pPr>
            <w:r>
              <w:t xml:space="preserve">Responsable</w:t>
            </w:r>
          </w:p>
        </w:tc>
        <w:tc>
          <w:tcPr>
            <w:tcW w:w="0" w:type="auto"/>
          </w:tcPr>
          <w:p>
            <w:pPr>
              <w:pStyle w:val="TableHeader"/>
            </w:pPr>
            <w:r>
              <w:t xml:space="preserve">Échéance</w:t>
            </w:r>
          </w:p>
        </w:tc>
        <w:tc>
          <w:tcPr>
            <w:tcW w:w="0" w:type="auto"/>
          </w:tcPr>
          <w:p>
            <w:pPr>
              <w:pStyle w:val="TableHeader"/>
            </w:pPr>
            <w:r>
              <w:t xml:space="preserve">Statut</w:t>
            </w:r>
          </w:p>
        </w:tc>
      </w:tr>
      <w:tr>
        <w:tc>
          <w:tcPr>
            <w:tcW w:w="0" w:type="auto"/>
          </w:tcPr>
          <w:p>
            <w:r>
              <w:t xml:space="preserve">DM-REF-01</w:t>
            </w:r>
          </w:p>
        </w:tc>
        <w:tc>
          <w:tcPr>
            <w:tcW w:w="0" w:type="auto"/>
          </w:tcPr>
          <w:p>
            <w:r>
              <w:t xml:space="preserve">Référentiel</w:t>
            </w:r>
          </w:p>
        </w:tc>
        <w:tc>
          <w:tcPr>
            <w:tcW w:w="0" w:type="auto"/>
          </w:tcPr>
          <w:p>
            <w:r>
              <w:t xml:space="preserve">Définir le document de référence officiel</w:t>
            </w:r>
          </w:p>
        </w:tc>
        <w:tc>
          <w:tcPr>
            <w:tcW w:w="0" w:type="auto"/>
          </w:tcPr>
          <w:p>
            <w:r>
              <w:t xml:space="preserve">Word / Excel / référentiel consolidé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>À décider</w:t>
            </w:r>
          </w:p>
        </w:tc>
      </w:tr>
      <w:tr>
        <w:tc>
          <w:tcPr>
            <w:tcW w:w="0" w:type="auto"/>
          </w:tcPr>
          <w:p>
            <w:r>
              <w:t xml:space="preserve">DM-REF-02</w:t>
            </w:r>
          </w:p>
        </w:tc>
        <w:tc>
          <w:tcPr>
            <w:tcW w:w="0" w:type="auto"/>
          </w:tcPr>
          <w:p>
            <w:r>
              <w:t xml:space="preserve">Référentiel</w:t>
            </w:r>
          </w:p>
        </w:tc>
        <w:tc>
          <w:tcPr>
            <w:tcW w:w="0" w:type="auto"/>
          </w:tcPr>
          <w:p>
            <w:r>
              <w:t xml:space="preserve">Confirmer le total du cycle</w:t>
            </w:r>
          </w:p>
        </w:tc>
        <w:tc>
          <w:tcPr>
            <w:tcW w:w="0" w:type="auto"/>
          </w:tcPr>
          <w:p>
            <w:r>
              <w:t xml:space="preserve">180 crédits ou autre valeur officielle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>À décider</w:t>
            </w:r>
          </w:p>
        </w:tc>
      </w:tr>
      <w:tr>
        <w:tc>
          <w:tcPr>
            <w:tcW w:w="0" w:type="auto"/>
          </w:tcPr>
          <w:p>
            <w:r>
              <w:t xml:space="preserve">DM-REF-03</w:t>
            </w:r>
          </w:p>
        </w:tc>
        <w:tc>
          <w:tcPr>
            <w:tcW w:w="0" w:type="auto"/>
          </w:tcPr>
          <w:p>
            <w:r>
              <w:t xml:space="preserve">Référentiel</w:t>
            </w:r>
          </w:p>
        </w:tc>
        <w:tc>
          <w:tcPr>
            <w:tcW w:w="0" w:type="auto"/>
          </w:tcPr>
          <w:p>
            <w:r>
              <w:t xml:space="preserve">Confirmer les crédits par semestre</w:t>
            </w:r>
          </w:p>
        </w:tc>
        <w:tc>
          <w:tcPr>
            <w:tcW w:w="0" w:type="auto"/>
          </w:tcPr>
          <w:p>
            <w:r>
              <w:t xml:space="preserve">Arbitrer S1 et S4 en priorité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>À décider</w:t>
            </w:r>
          </w:p>
        </w:tc>
      </w:tr>
      <w:tr>
        <w:tc>
          <w:tcPr>
            <w:tcW w:w="0" w:type="auto"/>
          </w:tcPr>
          <w:p>
            <w:r>
              <w:t xml:space="preserve">DM-REF-04</w:t>
            </w:r>
          </w:p>
        </w:tc>
        <w:tc>
          <w:tcPr>
            <w:tcW w:w="0" w:type="auto"/>
          </w:tcPr>
          <w:p>
            <w:r>
              <w:t xml:space="preserve">Référentiel</w:t>
            </w:r>
          </w:p>
        </w:tc>
        <w:tc>
          <w:tcPr>
            <w:tcW w:w="0" w:type="auto"/>
          </w:tcPr>
          <w:p>
            <w:r>
              <w:t xml:space="preserve">Stabiliser les codes de typologie</w:t>
            </w:r>
          </w:p>
        </w:tc>
        <w:tc>
          <w:tcPr>
            <w:tcW w:w="0" w:type="auto"/>
          </w:tcPr>
          <w:p>
            <w:r>
              <w:t xml:space="preserve">MPF, MPOC, MCO, LOS, MOP ou autre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>À décider</w:t>
            </w:r>
          </w:p>
        </w:tc>
      </w:tr>
      <w:tr>
        <w:tc>
          <w:tcPr>
            <w:tcW w:w="0" w:type="auto"/>
          </w:tcPr>
          <w:p>
            <w:r>
              <w:t xml:space="preserve">DM-REF-05</w:t>
            </w:r>
          </w:p>
        </w:tc>
        <w:tc>
          <w:tcPr>
            <w:tcW w:w="0" w:type="auto"/>
          </w:tcPr>
          <w:p>
            <w:r>
              <w:t xml:space="preserve">Référentiel</w:t>
            </w:r>
          </w:p>
        </w:tc>
        <w:tc>
          <w:tcPr>
            <w:tcW w:w="0" w:type="auto"/>
          </w:tcPr>
          <w:p>
            <w:r>
              <w:t xml:space="preserve">Statut des matières à 0 crédit</w:t>
            </w:r>
          </w:p>
        </w:tc>
        <w:tc>
          <w:tcPr>
            <w:tcW w:w="0" w:type="auto"/>
          </w:tcPr>
          <w:p>
            <w:r>
              <w:t xml:space="preserve">Informatives / comptées / exclues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>À décider</w:t>
            </w:r>
          </w:p>
        </w:tc>
      </w:tr>
      <w:tr>
        <w:tc>
          <w:tcPr>
            <w:tcW w:w="0" w:type="auto"/>
          </w:tcPr>
          <w:p>
            <w:r>
              <w:t xml:space="preserve">DM-REF-06</w:t>
            </w:r>
          </w:p>
        </w:tc>
        <w:tc>
          <w:tcPr>
            <w:tcW w:w="0" w:type="auto"/>
          </w:tcPr>
          <w:p>
            <w:r>
              <w:t xml:space="preserve">Référentiel</w:t>
            </w:r>
          </w:p>
        </w:tc>
        <w:tc>
          <w:tcPr>
            <w:tcW w:w="0" w:type="auto"/>
          </w:tcPr>
          <w:p>
            <w:r>
              <w:t xml:space="preserve">Définir la codification matière</w:t>
            </w:r>
          </w:p>
        </w:tc>
        <w:tc>
          <w:tcPr>
            <w:tcW w:w="0" w:type="auto"/>
          </w:tcPr>
          <w:p>
            <w:r>
              <w:t xml:space="preserve">code unique / code composé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>À décider</w:t>
            </w:r>
          </w:p>
        </w:tc>
      </w:tr>
      <w:tr>
        <w:tc>
          <w:tcPr>
            <w:tcW w:w="0" w:type="auto"/>
          </w:tcPr>
          <w:p>
            <w:r>
              <w:t xml:space="preserve">DM-NOT-01</w:t>
            </w:r>
          </w:p>
        </w:tc>
        <w:tc>
          <w:tcPr>
            <w:tcW w:w="0" w:type="auto"/>
          </w:tcPr>
          <w:p>
            <w:r>
              <w:t xml:space="preserve">Notes</w:t>
            </w:r>
          </w:p>
        </w:tc>
        <w:tc>
          <w:tcPr>
            <w:tcW w:w="0" w:type="auto"/>
          </w:tcPr>
          <w:p>
            <w:r>
              <w:t xml:space="preserve">Valider les types d'évaluation v1</w:t>
            </w:r>
          </w:p>
        </w:tc>
        <w:tc>
          <w:tcPr>
            <w:tcW w:w="0" w:type="auto"/>
          </w:tcPr>
          <w:p>
            <w:r>
              <w:t xml:space="preserve">devoir / examen / rattrapage / oral / autre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>À décider</w:t>
            </w:r>
          </w:p>
        </w:tc>
      </w:tr>
      <w:tr>
        <w:tc>
          <w:tcPr>
            <w:tcW w:w="0" w:type="auto"/>
          </w:tcPr>
          <w:p>
            <w:r>
              <w:t xml:space="preserve">DM-NOT-02</w:t>
            </w:r>
          </w:p>
        </w:tc>
        <w:tc>
          <w:tcPr>
            <w:tcW w:w="0" w:type="auto"/>
          </w:tcPr>
          <w:p>
            <w:r>
              <w:t xml:space="preserve">Notes</w:t>
            </w:r>
          </w:p>
        </w:tc>
        <w:tc>
          <w:tcPr>
            <w:tcW w:w="0" w:type="auto"/>
          </w:tcPr>
          <w:p>
            <w:r>
              <w:t xml:space="preserve">Fixer le nombre d'évaluations par matière</w:t>
            </w:r>
          </w:p>
        </w:tc>
        <w:tc>
          <w:tcPr>
            <w:tcW w:w="0" w:type="auto"/>
          </w:tcPr>
          <w:p>
            <w:r>
              <w:t xml:space="preserve">1 devoir + 1 examen / multiple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>À décider</w:t>
            </w:r>
          </w:p>
        </w:tc>
      </w:tr>
      <w:tr>
        <w:tc>
          <w:tcPr>
            <w:tcW w:w="0" w:type="auto"/>
          </w:tcPr>
          <w:p>
            <w:r>
              <w:t xml:space="preserve">DM-NOT-03</w:t>
            </w:r>
          </w:p>
        </w:tc>
        <w:tc>
          <w:tcPr>
            <w:tcW w:w="0" w:type="auto"/>
          </w:tcPr>
          <w:p>
            <w:r>
              <w:t xml:space="preserve">Notes</w:t>
            </w:r>
          </w:p>
        </w:tc>
        <w:tc>
          <w:tcPr>
            <w:tcW w:w="0" w:type="auto"/>
          </w:tcPr>
          <w:p>
            <w:r>
              <w:t xml:space="preserve">Gérer les absences et notes manquantes</w:t>
            </w:r>
          </w:p>
        </w:tc>
        <w:tc>
          <w:tcPr>
            <w:tcW w:w="0" w:type="auto"/>
          </w:tcPr>
          <w:p>
            <w:r>
              <w:t xml:space="preserve">non saisi / absent / justifié / non justifié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>À décider</w:t>
            </w:r>
          </w:p>
        </w:tc>
      </w:tr>
      <w:tr>
        <w:tc>
          <w:tcPr>
            <w:tcW w:w="0" w:type="auto"/>
          </w:tcPr>
          <w:p>
            <w:r>
              <w:t xml:space="preserve">DM-NOT-05</w:t>
            </w:r>
          </w:p>
        </w:tc>
        <w:tc>
          <w:tcPr>
            <w:tcW w:w="0" w:type="auto"/>
          </w:tcPr>
          <w:p>
            <w:r>
              <w:t xml:space="preserve">Notes</w:t>
            </w:r>
          </w:p>
        </w:tc>
        <w:tc>
          <w:tcPr>
            <w:tcW w:w="0" w:type="auto"/>
          </w:tcPr>
          <w:p>
            <w:r>
              <w:t xml:space="preserve">Valider les règles d'arrondi</w:t>
            </w:r>
          </w:p>
        </w:tc>
        <w:tc>
          <w:tcPr>
            <w:tcW w:w="0" w:type="auto"/>
          </w:tcPr>
          <w:p>
            <w:r>
              <w:t xml:space="preserve">saisie / calcul / affichage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>À décider</w:t>
            </w:r>
          </w:p>
        </w:tc>
      </w:tr>
      <w:tr>
        <w:tc>
          <w:tcPr>
            <w:tcW w:w="0" w:type="auto"/>
          </w:tcPr>
          <w:p>
            <w:r>
              <w:t xml:space="preserve">DM-CAL-01</w:t>
            </w:r>
          </w:p>
        </w:tc>
        <w:tc>
          <w:tcPr>
            <w:tcW w:w="0" w:type="auto"/>
          </w:tcPr>
          <w:p>
            <w:r>
              <w:t xml:space="preserve">Calcul</w:t>
            </w:r>
          </w:p>
        </w:tc>
        <w:tc>
          <w:tcPr>
            <w:tcW w:w="0" w:type="auto"/>
          </w:tcPr>
          <w:p>
            <w:r>
              <w:t xml:space="preserve">Valider la formule de moyenne matière</w:t>
            </w:r>
          </w:p>
        </w:tc>
        <w:tc>
          <w:tcPr>
            <w:tcW w:w="0" w:type="auto"/>
          </w:tcPr>
          <w:p>
            <w:r>
              <w:t xml:space="preserve">formule Excel / pondération explicite / autre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>À décider</w:t>
            </w:r>
          </w:p>
        </w:tc>
      </w:tr>
      <w:tr>
        <w:tc>
          <w:tcPr>
            <w:tcW w:w="0" w:type="auto"/>
          </w:tcPr>
          <w:p>
            <w:r>
              <w:t xml:space="preserve">DM-CAL-02</w:t>
            </w:r>
          </w:p>
        </w:tc>
        <w:tc>
          <w:tcPr>
            <w:tcW w:w="0" w:type="auto"/>
          </w:tcPr>
          <w:p>
            <w:r>
              <w:t xml:space="preserve">Calcul</w:t>
            </w:r>
          </w:p>
        </w:tc>
        <w:tc>
          <w:tcPr>
            <w:tcW w:w="0" w:type="auto"/>
          </w:tcPr>
          <w:p>
            <w:r>
              <w:t xml:space="preserve">Définir le rôle du coefficient</w:t>
            </w:r>
          </w:p>
        </w:tc>
        <w:tc>
          <w:tcPr>
            <w:tcW w:w="0" w:type="auto"/>
          </w:tcPr>
          <w:p>
            <w:r>
              <w:t xml:space="preserve">semestre seul / examen + semestre / autre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>À décider</w:t>
            </w:r>
          </w:p>
        </w:tc>
      </w:tr>
      <w:tr>
        <w:tc>
          <w:tcPr>
            <w:tcW w:w="0" w:type="auto"/>
          </w:tcPr>
          <w:p>
            <w:r>
              <w:t xml:space="preserve">DM-CAL-03</w:t>
            </w:r>
          </w:p>
        </w:tc>
        <w:tc>
          <w:tcPr>
            <w:tcW w:w="0" w:type="auto"/>
          </w:tcPr>
          <w:p>
            <w:r>
              <w:t xml:space="preserve">Calcul</w:t>
            </w:r>
          </w:p>
        </w:tc>
        <w:tc>
          <w:tcPr>
            <w:tcW w:w="0" w:type="auto"/>
          </w:tcPr>
          <w:p>
            <w:r>
              <w:t xml:space="preserve">Gérer l'absence de devoir</w:t>
            </w:r>
          </w:p>
        </w:tc>
        <w:tc>
          <w:tcPr>
            <w:tcW w:w="0" w:type="auto"/>
          </w:tcPr>
          <w:p>
            <w:r>
              <w:t xml:space="preserve">reprendre examen / zéro / non calculable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>À décider</w:t>
            </w:r>
          </w:p>
        </w:tc>
      </w:tr>
      <w:tr>
        <w:tc>
          <w:tcPr>
            <w:tcW w:w="0" w:type="auto"/>
          </w:tcPr>
          <w:p>
            <w:r>
              <w:t xml:space="preserve">DM-CAL-07</w:t>
            </w:r>
          </w:p>
        </w:tc>
        <w:tc>
          <w:tcPr>
            <w:tcW w:w="0" w:type="auto"/>
          </w:tcPr>
          <w:p>
            <w:r>
              <w:t xml:space="preserve">Calcul</w:t>
            </w:r>
          </w:p>
        </w:tc>
        <w:tc>
          <w:tcPr>
            <w:tcW w:w="0" w:type="auto"/>
          </w:tcPr>
          <w:p>
            <w:r>
              <w:t xml:space="preserve">Définir l'acquisition des crédits</w:t>
            </w:r>
          </w:p>
        </w:tc>
        <w:tc>
          <w:tcPr>
            <w:tcW w:w="0" w:type="auto"/>
          </w:tcPr>
          <w:p>
            <w:r>
              <w:t xml:space="preserve">par matière / compensation / autre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>À décider</w:t>
            </w:r>
          </w:p>
        </w:tc>
      </w:tr>
      <w:tr>
        <w:tc>
          <w:tcPr>
            <w:tcW w:w="0" w:type="auto"/>
          </w:tcPr>
          <w:p>
            <w:r>
              <w:t xml:space="preserve">DM-CAL-08</w:t>
            </w:r>
          </w:p>
        </w:tc>
        <w:tc>
          <w:tcPr>
            <w:tcW w:w="0" w:type="auto"/>
          </w:tcPr>
          <w:p>
            <w:r>
              <w:t xml:space="preserve">Calcul</w:t>
            </w:r>
          </w:p>
        </w:tc>
        <w:tc>
          <w:tcPr>
            <w:tcW w:w="0" w:type="auto"/>
          </w:tcPr>
          <w:p>
            <w:r>
              <w:t xml:space="preserve">Définir l'impact des matières à 0 crédit</w:t>
            </w:r>
          </w:p>
        </w:tc>
        <w:tc>
          <w:tcPr>
            <w:tcW w:w="0" w:type="auto"/>
          </w:tcPr>
          <w:p>
            <w:r>
              <w:t xml:space="preserve">moyenne / décision / information seule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>À décider</w:t>
            </w:r>
          </w:p>
        </w:tc>
      </w:tr>
      <w:tr>
        <w:tc>
          <w:tcPr>
            <w:tcW w:w="0" w:type="auto"/>
          </w:tcPr>
          <w:p>
            <w:r>
              <w:t xml:space="preserve">DM-CAL-09</w:t>
            </w:r>
          </w:p>
        </w:tc>
        <w:tc>
          <w:tcPr>
            <w:tcW w:w="0" w:type="auto"/>
          </w:tcPr>
          <w:p>
            <w:r>
              <w:t xml:space="preserve">Calcul</w:t>
            </w:r>
          </w:p>
        </w:tc>
        <w:tc>
          <w:tcPr>
            <w:tcW w:w="0" w:type="auto"/>
          </w:tcPr>
          <w:p>
            <w:r>
              <w:t xml:space="preserve">Valider la compensation</w:t>
            </w:r>
          </w:p>
        </w:tc>
        <w:tc>
          <w:tcPr>
            <w:tcW w:w="0" w:type="auto"/>
          </w:tcPr>
          <w:p>
            <w:r>
              <w:t xml:space="preserve">aucune / matière / typologie / semestre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>À décider</w:t>
            </w:r>
          </w:p>
        </w:tc>
      </w:tr>
      <w:tr>
        <w:tc>
          <w:tcPr>
            <w:tcW w:w="0" w:type="auto"/>
          </w:tcPr>
          <w:p>
            <w:r>
              <w:t xml:space="preserve">DM-CAL-10</w:t>
            </w:r>
          </w:p>
        </w:tc>
        <w:tc>
          <w:tcPr>
            <w:tcW w:w="0" w:type="auto"/>
          </w:tcPr>
          <w:p>
            <w:r>
              <w:t xml:space="preserve">Calcul</w:t>
            </w:r>
          </w:p>
        </w:tc>
        <w:tc>
          <w:tcPr>
            <w:tcW w:w="0" w:type="auto"/>
          </w:tcPr>
          <w:p>
            <w:r>
              <w:t xml:space="preserve">Valider les mentions</w:t>
            </w:r>
          </w:p>
        </w:tc>
        <w:tc>
          <w:tcPr>
            <w:tcW w:w="0" w:type="auto"/>
          </w:tcPr>
          <w:p>
            <w:r>
              <w:t xml:space="preserve">oui / non + seuils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>À décider</w:t>
            </w:r>
          </w:p>
        </w:tc>
      </w:tr>
      <w:tr>
        <w:tc>
          <w:tcPr>
            <w:tcW w:w="0" w:type="auto"/>
          </w:tcPr>
          <w:p>
            <w:r>
              <w:t xml:space="preserve">DM-CAL-11</w:t>
            </w:r>
          </w:p>
        </w:tc>
        <w:tc>
          <w:tcPr>
            <w:tcW w:w="0" w:type="auto"/>
          </w:tcPr>
          <w:p>
            <w:r>
              <w:t xml:space="preserve">Calcul</w:t>
            </w:r>
          </w:p>
        </w:tc>
        <w:tc>
          <w:tcPr>
            <w:tcW w:w="0" w:type="auto"/>
          </w:tcPr>
          <w:p>
            <w:r>
              <w:t xml:space="preserve">Décider du classement</w:t>
            </w:r>
          </w:p>
        </w:tc>
        <w:tc>
          <w:tcPr>
            <w:tcW w:w="0" w:type="auto"/>
          </w:tcPr>
          <w:p>
            <w:r>
              <w:t xml:space="preserve">oui / non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>À décider</w:t>
            </w:r>
          </w:p>
        </w:tc>
      </w:tr>
      <w:tr>
        <w:tc>
          <w:tcPr>
            <w:tcW w:w="0" w:type="auto"/>
          </w:tcPr>
          <w:p>
            <w:r>
              <w:t xml:space="preserve">DM-RAT-01</w:t>
            </w:r>
          </w:p>
        </w:tc>
        <w:tc>
          <w:tcPr>
            <w:tcW w:w="0" w:type="auto"/>
          </w:tcPr>
          <w:p>
            <w:r>
              <w:t xml:space="preserve">Rattrapage</w:t>
            </w:r>
          </w:p>
        </w:tc>
        <w:tc>
          <w:tcPr>
            <w:tcW w:w="0" w:type="auto"/>
          </w:tcPr>
          <w:p>
            <w:r>
              <w:t xml:space="preserve">Définir le périmètre du rattrapage</w:t>
            </w:r>
          </w:p>
        </w:tc>
        <w:tc>
          <w:tcPr>
            <w:tcW w:w="0" w:type="auto"/>
          </w:tcPr>
          <w:p>
            <w:r>
              <w:t xml:space="preserve">toutes matières / certaines matières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>À décider</w:t>
            </w:r>
          </w:p>
        </w:tc>
      </w:tr>
      <w:tr>
        <w:tc>
          <w:tcPr>
            <w:tcW w:w="0" w:type="auto"/>
          </w:tcPr>
          <w:p>
            <w:r>
              <w:t xml:space="preserve">DM-RAT-02</w:t>
            </w:r>
          </w:p>
        </w:tc>
        <w:tc>
          <w:tcPr>
            <w:tcW w:w="0" w:type="auto"/>
          </w:tcPr>
          <w:p>
            <w:r>
              <w:t xml:space="preserve">Rattrapage</w:t>
            </w:r>
          </w:p>
        </w:tc>
        <w:tc>
          <w:tcPr>
            <w:tcW w:w="0" w:type="auto"/>
          </w:tcPr>
          <w:p>
            <w:r>
              <w:t xml:space="preserve">Définir la règle de remplacement</w:t>
            </w:r>
          </w:p>
        </w:tc>
        <w:tc>
          <w:tcPr>
            <w:tcW w:w="0" w:type="auto"/>
          </w:tcPr>
          <w:p>
            <w:r>
              <w:t xml:space="preserve">remplace examen / remplace moyenne / meilleure note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>À décider</w:t>
            </w:r>
          </w:p>
        </w:tc>
      </w:tr>
      <w:tr>
        <w:tc>
          <w:tcPr>
            <w:tcW w:w="0" w:type="auto"/>
          </w:tcPr>
          <w:p>
            <w:r>
              <w:t xml:space="preserve">DM-VAL-01</w:t>
            </w:r>
          </w:p>
        </w:tc>
        <w:tc>
          <w:tcPr>
            <w:tcW w:w="0" w:type="auto"/>
          </w:tcPr>
          <w:p>
            <w:r>
              <w:t xml:space="preserve">Validation</w:t>
            </w:r>
          </w:p>
        </w:tc>
        <w:tc>
          <w:tcPr>
            <w:tcW w:w="0" w:type="auto"/>
          </w:tcPr>
          <w:p>
            <w:r>
              <w:t xml:space="preserve">Définir le valideur officiel</w:t>
            </w:r>
          </w:p>
        </w:tc>
        <w:tc>
          <w:tcPr>
            <w:tcW w:w="0" w:type="auto"/>
          </w:tcPr>
          <w:p>
            <w:r>
              <w:t xml:space="preserve">enseignant / direction / double validation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>À décider</w:t>
            </w:r>
          </w:p>
        </w:tc>
      </w:tr>
      <w:tr>
        <w:tc>
          <w:tcPr>
            <w:tcW w:w="0" w:type="auto"/>
          </w:tcPr>
          <w:p>
            <w:r>
              <w:t xml:space="preserve">DM-VAL-02</w:t>
            </w:r>
          </w:p>
        </w:tc>
        <w:tc>
          <w:tcPr>
            <w:tcW w:w="0" w:type="auto"/>
          </w:tcPr>
          <w:p>
            <w:r>
              <w:t xml:space="preserve">Publication</w:t>
            </w:r>
          </w:p>
        </w:tc>
        <w:tc>
          <w:tcPr>
            <w:tcW w:w="0" w:type="auto"/>
          </w:tcPr>
          <w:p>
            <w:r>
              <w:t xml:space="preserve">Définir le moment de visibilité</w:t>
            </w:r>
          </w:p>
        </w:tc>
        <w:tc>
          <w:tcPr>
            <w:tcW w:w="0" w:type="auto"/>
          </w:tcPr>
          <w:p>
            <w:r>
              <w:t xml:space="preserve">après saisie / après validation / après clôture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>À décider</w:t>
            </w:r>
          </w:p>
        </w:tc>
      </w:tr>
      <w:tr>
        <w:tc>
          <w:tcPr>
            <w:tcW w:w="0" w:type="auto"/>
          </w:tcPr>
          <w:p>
            <w:r>
              <w:t xml:space="preserve">DM-VAL-05</w:t>
            </w:r>
          </w:p>
        </w:tc>
        <w:tc>
          <w:tcPr>
            <w:tcW w:w="0" w:type="auto"/>
          </w:tcPr>
          <w:p>
            <w:r>
              <w:t xml:space="preserve">Publication</w:t>
            </w:r>
          </w:p>
        </w:tc>
        <w:tc>
          <w:tcPr>
            <w:tcW w:w="0" w:type="auto"/>
          </w:tcPr>
          <w:p>
            <w:r>
              <w:t xml:space="preserve">Définir le versionnement du bulletin</w:t>
            </w:r>
          </w:p>
        </w:tc>
        <w:tc>
          <w:tcPr>
            <w:tcW w:w="0" w:type="auto"/>
          </w:tcPr>
          <w:p>
            <w:r>
              <w:t xml:space="preserve">oui / non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>À décider</w:t>
            </w:r>
          </w:p>
        </w:tc>
      </w:tr>
      <w:tr>
        <w:tc>
          <w:tcPr>
            <w:tcW w:w="0" w:type="auto"/>
          </w:tcPr>
          <w:p>
            <w:r>
              <w:t xml:space="preserve">DM-ACC-01</w:t>
            </w:r>
          </w:p>
        </w:tc>
        <w:tc>
          <w:tcPr>
            <w:tcW w:w="0" w:type="auto"/>
          </w:tcPr>
          <w:p>
            <w:r>
              <w:t xml:space="preserve">Portail</w:t>
            </w:r>
          </w:p>
        </w:tc>
        <w:tc>
          <w:tcPr>
            <w:tcW w:w="0" w:type="auto"/>
          </w:tcPr>
          <w:p>
            <w:r>
              <w:t xml:space="preserve">Définir les conditions de téléchargement</w:t>
            </w:r>
          </w:p>
        </w:tc>
        <w:tc>
          <w:tcPr>
            <w:tcW w:w="0" w:type="auto"/>
          </w:tcPr>
          <w:p>
            <w:r>
              <w:t xml:space="preserve">libre / publié / publié + payé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>À décider</w:t>
            </w:r>
          </w:p>
        </w:tc>
      </w:tr>
      <w:tr>
        <w:tc>
          <w:tcPr>
            <w:tcW w:w="0" w:type="auto"/>
          </w:tcPr>
          <w:p>
            <w:r>
              <w:t xml:space="preserve">DM-ACC-02</w:t>
            </w:r>
          </w:p>
        </w:tc>
        <w:tc>
          <w:tcPr>
            <w:tcW w:w="0" w:type="auto"/>
          </w:tcPr>
          <w:p>
            <w:r>
              <w:t xml:space="preserve">Portail</w:t>
            </w:r>
          </w:p>
        </w:tc>
        <w:tc>
          <w:tcPr>
            <w:tcW w:w="0" w:type="auto"/>
          </w:tcPr>
          <w:p>
            <w:r>
              <w:t xml:space="preserve">Définir les cas de gratuité</w:t>
            </w:r>
          </w:p>
        </w:tc>
        <w:tc>
          <w:tcPr>
            <w:tcW w:w="0" w:type="auto"/>
          </w:tcPr>
          <w:p>
            <w:r>
              <w:t xml:space="preserve">toujours / selon cas / selon profil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>À décider</w:t>
            </w:r>
          </w:p>
        </w:tc>
      </w:tr>
      <w:tr>
        <w:tc>
          <w:tcPr>
            <w:tcW w:w="0" w:type="auto"/>
          </w:tcPr>
          <w:p>
            <w:r>
              <w:t xml:space="preserve">DM-SEC-01</w:t>
            </w:r>
          </w:p>
        </w:tc>
        <w:tc>
          <w:tcPr>
            <w:tcW w:w="0" w:type="auto"/>
          </w:tcPr>
          <w:p>
            <w:r>
              <w:t xml:space="preserve">Sécurité</w:t>
            </w:r>
          </w:p>
        </w:tc>
        <w:tc>
          <w:tcPr>
            <w:tcW w:w="0" w:type="auto"/>
          </w:tcPr>
          <w:p>
            <w:r>
              <w:t xml:space="preserve">Définir le périmètre de saisie enseignant</w:t>
            </w:r>
          </w:p>
        </w:tc>
        <w:tc>
          <w:tcPr>
            <w:tcW w:w="0" w:type="auto"/>
          </w:tcPr>
          <w:p>
            <w:r>
              <w:t xml:space="preserve">matière / typologie / niveau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>À décider</w:t>
            </w:r>
          </w:p>
        </w:tc>
      </w:tr>
      <w:tr>
        <w:tc>
          <w:tcPr>
            <w:tcW w:w="0" w:type="auto"/>
          </w:tcPr>
          <w:p>
            <w:r>
              <w:t xml:space="preserve">DM-SEC-02</w:t>
            </w:r>
          </w:p>
        </w:tc>
        <w:tc>
          <w:tcPr>
            <w:tcW w:w="0" w:type="auto"/>
          </w:tcPr>
          <w:p>
            <w:r>
              <w:t xml:space="preserve">Sécurité</w:t>
            </w:r>
          </w:p>
        </w:tc>
        <w:tc>
          <w:tcPr>
            <w:tcW w:w="0" w:type="auto"/>
          </w:tcPr>
          <w:p>
            <w:r>
              <w:t xml:space="preserve">Valider la séparation des rôles</w:t>
            </w:r>
          </w:p>
        </w:tc>
        <w:tc>
          <w:tcPr>
            <w:tcW w:w="0" w:type="auto"/>
          </w:tcPr>
          <w:p>
            <w:r>
              <w:t xml:space="preserve">saisie / validation / publication / admin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>À décider</w:t>
            </w:r>
          </w:p>
        </w:tc>
      </w:tr>
      <w:tr>
        <w:tc>
          <w:tcPr>
            <w:tcW w:w="0" w:type="auto"/>
          </w:tcPr>
          <w:p>
            <w:r>
              <w:t xml:space="preserve">DM-DOC-01</w:t>
            </w:r>
          </w:p>
        </w:tc>
        <w:tc>
          <w:tcPr>
            <w:tcW w:w="0" w:type="auto"/>
          </w:tcPr>
          <w:p>
            <w:r>
              <w:t xml:space="preserve">Bulletin</w:t>
            </w:r>
          </w:p>
        </w:tc>
        <w:tc>
          <w:tcPr>
            <w:tcW w:w="0" w:type="auto"/>
          </w:tcPr>
          <w:p>
            <w:r>
              <w:t xml:space="preserve">Définir le modèle officiel du bulletin</w:t>
            </w:r>
          </w:p>
        </w:tc>
        <w:tc>
          <w:tcPr>
            <w:tcW w:w="0" w:type="auto"/>
          </w:tcPr>
          <w:p>
            <w:r>
              <w:t xml:space="preserve">Excel actuel / modèle à corriger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>À décider</w:t>
            </w:r>
          </w:p>
        </w:tc>
      </w:tr>
      <w:tr>
        <w:tc>
          <w:tcPr>
            <w:tcW w:w="0" w:type="auto"/>
          </w:tcPr>
          <w:p>
            <w:r>
              <w:t xml:space="preserve">DM-DOC-03</w:t>
            </w:r>
          </w:p>
        </w:tc>
        <w:tc>
          <w:tcPr>
            <w:tcW w:w="0" w:type="auto"/>
          </w:tcPr>
          <w:p>
            <w:r>
              <w:t xml:space="preserve">Bulletin</w:t>
            </w:r>
          </w:p>
        </w:tc>
        <w:tc>
          <w:tcPr>
            <w:tcW w:w="0" w:type="auto"/>
          </w:tcPr>
          <w:p>
            <w:r>
              <w:t xml:space="preserve">Définir la signature / visa</w:t>
            </w:r>
          </w:p>
        </w:tc>
        <w:tc>
          <w:tcPr>
            <w:tcW w:w="0" w:type="auto"/>
          </w:tcPr>
          <w:p>
            <w:r>
              <w:t xml:space="preserve">signature / cachet / nom-fonction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>À décider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Décisions bloquantes avant reprise du développement</w:t>
      </w:r>
    </w:p>
    <w:p>
      <w:r>
        <w:t xml:space="preserve">Les décisions ci-dessous sont bloquantes et doivent être arbitrées en priorité :</w:t>
      </w:r>
    </w:p>
    <w:p>
      <w:pPr>
        <w:pStyle w:val="ListParagraph"/>
      </w:pPr>
      <w:r>
        <w:t xml:space="preserve">• DM-REF-01</w:t>
      </w:r>
    </w:p>
    <w:p>
      <w:pPr>
        <w:pStyle w:val="ListParagraph"/>
      </w:pPr>
      <w:r>
        <w:t xml:space="preserve">• DM-REF-02</w:t>
      </w:r>
    </w:p>
    <w:p>
      <w:pPr>
        <w:pStyle w:val="ListParagraph"/>
      </w:pPr>
      <w:r>
        <w:t xml:space="preserve">• DM-REF-03</w:t>
      </w:r>
    </w:p>
    <w:p>
      <w:pPr>
        <w:pStyle w:val="ListParagraph"/>
      </w:pPr>
      <w:r>
        <w:t xml:space="preserve">• DM-CAL-01</w:t>
      </w:r>
    </w:p>
    <w:p>
      <w:pPr>
        <w:pStyle w:val="ListParagraph"/>
      </w:pPr>
      <w:r>
        <w:t xml:space="preserve">• DM-CAL-02</w:t>
      </w:r>
    </w:p>
    <w:p>
      <w:pPr>
        <w:pStyle w:val="ListParagraph"/>
      </w:pPr>
      <w:r>
        <w:t xml:space="preserve">• DM-CAL-07</w:t>
      </w:r>
    </w:p>
    <w:p>
      <w:pPr>
        <w:pStyle w:val="ListParagraph"/>
      </w:pPr>
      <w:r>
        <w:t xml:space="preserve">• DM-CAL-09</w:t>
      </w:r>
    </w:p>
    <w:p>
      <w:pPr>
        <w:pStyle w:val="ListParagraph"/>
      </w:pPr>
      <w:r>
        <w:t xml:space="preserve">• DM-RAT-02</w:t>
      </w:r>
    </w:p>
    <w:p>
      <w:pPr>
        <w:pStyle w:val="ListParagraph"/>
      </w:pPr>
      <w:r>
        <w:t xml:space="preserve">• DM-VAL-01</w:t>
      </w:r>
    </w:p>
    <w:p>
      <w:pPr>
        <w:pStyle w:val="ListParagraph"/>
      </w:pPr>
      <w:r>
        <w:t xml:space="preserve">• DM-VAL-02</w:t>
      </w:r>
    </w:p>
    <w:p>
      <w:pPr>
        <w:pStyle w:val="ListParagraph"/>
      </w:pPr>
      <w:r>
        <w:t xml:space="preserve">• DM-DOC-01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</w:rPr>
  </w:style>
  <w:style w:type="paragraph" w:styleId="Heading1">
    <w:name w:val="heading 1"/>
    <w:basedOn w:val="Normal"/>
    <w:qFormat/>
    <w:rPr>
      <w:b/>
      <w:sz w:val="30"/>
    </w:rPr>
  </w:style>
  <w:style w:type="paragraph" w:styleId="Heading2">
    <w:name w:val="heading 2"/>
    <w:basedOn w:val="Normal"/>
    <w:qFormat/>
    <w:rPr>
      <w:b/>
      <w:sz w:val="26"/>
    </w:rPr>
  </w:style>
  <w:style w:type="paragraph" w:styleId="Heading3">
    <w:name w:val="heading 3"/>
    <w:basedOn w:val="Normal"/>
    <w:qFormat/>
    <w:rPr>
      <w:b/>
      <w:sz w:val="24"/>
    </w:rPr>
  </w:style>
  <w:style w:type="paragraph" w:styleId="Heading4">
    <w:name w:val="heading 4"/>
    <w:basedOn w:val="Normal"/>
    <w:qFormat/>
    <w:rPr>
      <w:b/>
      <w:sz w:val="22"/>
    </w:rPr>
  </w:style>
  <w:style w:type="paragraph" w:styleId="ListParagraph">
    <w:name w:val="List Paragraph"/>
    <w:basedOn w:val="Normal"/>
    <w:pPr>
      <w:ind w:left="360"/>
    </w:pPr>
  </w:style>
  <w:style w:type="paragraph" w:styleId="TableHeader">
    <w:name w:val="Table Header"/>
    <w:basedOn w:val="Normal"/>
    <w:rPr>
      <w:b/>
    </w:rPr>
  </w:style>
  <w:style w:type="table" w:default="1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TABLEAU DECISIONS METIER SCOLARIS</dc:title>
  <dc:creator>Codex</dc:creator>
  <cp:lastModifiedBy>Codex</cp:lastModifiedBy>
  <dcterms:created xsi:type="dcterms:W3CDTF">2026-03-27T14:20:01Z</dcterms:created>
  <dcterms:modified xsi:type="dcterms:W3CDTF">2026-03-27T14:20:01Z</dcterms:modified>
</cp:coreProperties>
</file>