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Spectral Compatible Shared Error Budget Envelopes for Robust QoS Certification</w:t>
      </w:r>
    </w:p>
    <w:p>
      <w:r>
        <w:t>Fixed beamforming and RIS candidates under a six scalar information model</w:t>
      </w:r>
    </w:p>
    <w:p>
      <w:r>
        <w:t>Version 5.0 • English revision • 7 October 2026</w:t>
      </w:r>
    </w:p>
    <w:p>
      <w:pPr>
        <w:pStyle w:val="Heading1"/>
      </w:pPr>
      <w:r>
        <w:t>Abstract</w:t>
      </w:r>
    </w:p>
    <w:p>
      <w:r>
        <w:t>We study the certification of a fixed downlink configuration under a Euclidean channel error ball. The certificate retains six scalar summaries of the desired beam, nominal channel and interference operator. Joint use of the desired direction gain, orthogonal subspace gain and total spectral norm yields a continuous three branch envelope for interference perturbations. Its associated shared error budget QoS bound is safe and dominates the previous envelope based on separate norm inequalities. For a nondegenerate information class, we prove that the bound equals the infimum of the true worst case QoS margin over all instances with the same six summaries, and we treat the degenerate boundary where the desired direction attains the total interference norm separately: an explicit construction attains a different, phase coupled boundary envelope, which can equal 0.59 while the general safe bound equals −0.21 for the same boundary summaries. The numerical study is deliberately lightweight and preregistered where possible: closed form checks at 10⁻¹⁶ accuracy, a constructed spectral scan with six certification flips, and three fixed candidate pools totalling 6960 distinct user problems with no observed bound violation or false acceptance. A preregistered validation batch on five unused seeds reproduces the direction of the certification gain over the previous envelope at a smaller magnitude (+2.12 and +0.63 percentage points of feasible coverage). Combining the six scalar envelope with a quadratic bound that uses full geometry certifies 424 of 472 feasible units versus 408 and 390 for the individual bounds, and a cheap bound first staging with a tolerance stopped exact fallback runs about twice as fast as the exact baseline while cutting reference calls by three quarters. An S procedure SDP baseline with a corrected two sided decision rule (a negative lower bound never rejects; infeasibility requires a feasible witness) agrees with the trust region reference on all 2160 validation problems and cross validates every certification statement. No stable runtime advantage of the six scalar bound over the previous envelope is observed, and part of the apparent advantage of screening pipelines is attributable to multiplier search over iteration in the original reference; all efficiency statements are limited to the tested pools, scales and implementations. The optimality statements concern the unrestricted information class; the numerical results do not establish bibliographic novelty or practical superiority beyond the tested setting.</w:t>
      </w:r>
    </w:p>
    <w:p>
      <w:r>
        <w:t>Keywords: robust QoS certification; shared error budget; spectral compatibility; information class optimality; RIS; fixed configuration.</w:t>
      </w:r>
    </w:p>
    <w:p>
      <w:pPr>
        <w:pStyle w:val="Heading1"/>
      </w:pPr>
      <w:r>
        <w:t>1 Introduction</w:t>
      </w:r>
    </w:p>
    <w:p>
      <w:r>
        <w:t>For a candidate downlink configuration with fixed beamforming vectors and discrete reconfigurable intelligent surface (RIS) phases, deployment requires verification of all user QoS constraints under channel uncertainty. Robust transmission design with imperfect RIS channels is an established problem [1]. The fixed configuration verification considered here is a ball constrained quadratic problem. Trust region methods and the single ball S procedure provide exact optimization formulations [2,3]. These tools are reference methods in this paper rather than contributions.</w:t>
      </w:r>
    </w:p>
    <w:p>
      <w:r>
        <w:t>Our question concerns the information available to a certificate. Suppose that the complete matrix geometry is compressed into six scalar summaries. What uniform guarantee can a certificate obtain from these summaries? A separable bound uses the full error radius both to reduce the desired signal and to increase interference. Shared budget bounds improve this construction by decomposing the same error into its desired direction and orthogonal components. However, a bound that separately uses three interference gains still does not fully exploit their origin in one operator.</w:t>
      </w:r>
    </w:p>
    <w:p>
      <w:r>
        <w:t>We solve the corresponding direction extremum under the joint spectral constraints. The resulting envelope gives a stronger safe QoS bound. We then characterize its optimality over a fixed six scalar information class, with separate treatment of the degenerate boundary. The contributions are the explicit extremum, the completion proof of information class sharpness and the boundary construction. Orthogonal decompositions, positive semidefinite (PSD) constraints, matrix factorization and trust region optimization are established tools used in these arguments.</w:t>
      </w:r>
    </w:p>
    <w:p>
      <w:r>
        <w:t>The numerical study asks whether the formulas are implemented correctly, whether the new envelope crosses certification thresholds that the previous envelope misses, how a screening and reference fallback pipeline behaves on fixed candidates, and whether an independent exact method reproduces the reference decisions. It does not address candidate generation optimality, channel evolution or online configuration refresh.</w:t>
      </w:r>
    </w:p>
    <w:p>
      <w:pPr>
        <w:pStyle w:val="Heading1"/>
      </w:pPr>
      <w:r>
        <w:t>2 Fixed configuration model and information class</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Their necessary spectral compatibility condition is</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 xml:space="preserve">For fixed dimensions </w:t>
      </w:r>
      <m:oMath>
        <m:r>
          <m:t xml:space="preserve">n</m:t>
        </m:r>
        <m:r>
          <m:t xml:space="preserve">,</m:t>
        </m:r>
        <m:r>
          <m:t xml:space="preserve">m</m:t>
        </m:r>
      </m:oMath>
      <w:r>
        <w:t xml:space="preserve">, let </w:t>
      </w:r>
      <m:oMath>
        <m:sSub>
          <m:e>
            <m:r>
              <m:t xml:space="preserve">S</m:t>
            </m:r>
          </m:e>
          <m:sub>
            <m:r>
              <m:t xml:space="preserve">6</m:t>
            </m:r>
          </m:sub>
        </m:sSub>
      </m:oMath>
      <w:r>
        <w:t xml:space="preserve"> denote the nonempty set of triples </w:t>
      </w:r>
      <m:oMath>
        <m:d>
          <m:dPr>
            <m:begChr m:val="("/>
            <m:endChr m:val=")"/>
          </m:dPr>
          <m:e>
            <m:r>
              <m:t xml:space="preserve">b</m:t>
            </m:r>
            <m:r>
              <m:t xml:space="preserve">,</m:t>
            </m:r>
            <m:r>
              <m:t xml:space="preserve">h</m:t>
            </m:r>
            <m:r>
              <m:t xml:space="preserve">̂</m:t>
            </m:r>
            <m:r>
              <m:t xml:space="preserve">,</m:t>
            </m:r>
            <m:r>
              <m:t xml:space="preserve">C</m:t>
            </m:r>
          </m:e>
        </m:d>
      </m:oMath>
      <w:r>
        <w:t xml:space="preserve"> having the prescribed summaries. We assume </w:t>
      </w:r>
      <m:oMath>
        <m:r>
          <m:t xml:space="preserve">p</m:t>
        </m:r>
        <m:r>
          <m:t xml:space="preserve">&gt;</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The class does not constrain the nominal channel norm, interference rank, base station support pattern or the set of physically reachable RIS channels. Thus, information class sharpness does not imply optimality over a specific wireless deployment.</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The envelope is nondecreasing in either nonnegative input amplitude. This follows directly from (5), because each objective being maximized has nonnegative coefficients. The same expression, or the constructive characterization below, yields the Lipschitz control used in Section 6.</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previous shared budget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compatible spectral summaries. Over the corresponding nonempty information class,</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sSub>
              <m:e>
                <m:r>
                  <m:t xml:space="preserve">S</m:t>
                </m:r>
              </m:e>
              <m:sub>
                <m:r>
                  <m:t xml:space="preserve">6</m:t>
                </m:r>
              </m:sub>
            </m:sSub>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The dimensions are sufficient for the construction; no minimal dimension claim is made.</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Let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which is invertible, and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oMath>
      <w:r>
        <w:tab/>
        <w:t>(19)</w:t>
      </w:r>
    </w:p>
    <w:p>
      <w:r>
        <w:t xml:space="preserve">Here </w:t>
      </w:r>
      <m:oMath>
        <m:sSub>
          <m:e>
            <m:r>
              <m:t xml:space="preserve">B</m:t>
            </m:r>
          </m:e>
          <m:sub>
            <m:r>
              <m:t xml:space="preserve">ε</m:t>
            </m:r>
          </m:sub>
        </m:sSub>
      </m:oMath>
      <w:r>
        <w:t xml:space="preserve"> has three rows and four columns and full row rank, while </w:t>
      </w:r>
      <m:oMath>
        <m:sSup>
          <m:e>
            <m:sSub>
              <m:e>
                <m:r>
                  <m:t xml:space="preserve">C</m:t>
                </m:r>
              </m:e>
              <m:sub>
                <m:r>
                  <m:t xml:space="preserve">ε</m:t>
                </m:r>
              </m:sub>
            </m:sSub>
          </m:e>
          <m:sup>
            <m:r>
              <m:t xml:space="preserve">H</m:t>
            </m:r>
          </m:sup>
        </m:sSup>
      </m:oMath>
      <w:r>
        <w:t xml:space="preserve"> has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required exact values of </w:t>
      </w:r>
      <m:oMath>
        <m:r>
          <m:t xml:space="preserve">α</m:t>
        </m:r>
        <m:r>
          <m:t xml:space="preserve">,</m:t>
        </m:r>
        <m:r>
          <m:t xml:space="preserve">β</m:t>
        </m:r>
        <m:r>
          <m:t xml:space="preserve">,</m:t>
        </m:r>
        <m:sSub>
          <m:e>
            <m:r>
              <m:t xml:space="preserve">β</m:t>
            </m:r>
          </m:e>
          <m:sub>
            <m:r>
              <m:t xml:space="preserve">0</m:t>
            </m:r>
          </m:sub>
        </m:sSub>
      </m:oMath>
      <w:r>
        <w:t>.</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Thus the nominal desired amplitude is exactly </w:t>
      </w:r>
      <m:oMath>
        <m:r>
          <m:t xml:space="preserve">a</m:t>
        </m:r>
      </m:oMath>
      <w:r>
        <w:t xml:space="preserve"> and the interference amplitude is exactly </w:t>
      </w:r>
      <m:oMath>
        <m:sSub>
          <m:e>
            <m:r>
              <m:t xml:space="preserve">I</m:t>
            </m:r>
          </m:e>
          <m:sub>
            <m:r>
              <m:t xml:space="preserve">0</m:t>
            </m:r>
          </m:sub>
        </m:sSub>
      </m:oMath>
      <w:r>
        <w:t xml:space="preserve">,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Nominal and perturbation interference are aligned.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because the constructed vectors have nonnegative real coordinates.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the compatible sequence proves that the information class infimum is at most </w:t>
      </w:r>
      <m:oMath>
        <m:sSub>
          <m:e>
            <m:r>
              <m:t xml:space="preserve">Q</m:t>
            </m:r>
          </m:e>
          <m:sub>
            <m:r>
              <m:t xml:space="preserve">G</m:t>
            </m:r>
          </m:sub>
        </m:sSub>
      </m:oMath>
      <w:r>
        <w:t>. Proposition 1 proves the reverse inequality. The infimum need not be attained by a finite norm nominal channel.</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This handles </w:t>
      </w:r>
      <m:oMath>
        <m:r>
          <m:t xml:space="preserve">y</m:t>
        </m:r>
        <m:r>
          <m:t xml:space="preserve">=</m:t>
        </m:r>
        <m:r>
          <m:t xml:space="preserve">0</m:t>
        </m:r>
      </m:oMath>
      <w:r>
        <w:t xml:space="preserve"> without normalizing a zero output.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equal to </w:t>
      </w:r>
      <m:oMath>
        <m:sSub>
          <m:e>
            <m:r>
              <m:t xml:space="preserve">Q</m:t>
            </m:r>
          </m:e>
          <m:sub>
            <m:r>
              <m:t xml:space="preserve">G</m:t>
            </m:r>
          </m:sub>
        </m:sSub>
        <m:d>
          <m:dPr>
            <m:begChr m:val="("/>
            <m:endChr m:val=")"/>
          </m:dPr>
          <m:e>
            <m:r>
              <m:t xml:space="preserve">0</m:t>
            </m:r>
          </m:e>
        </m:d>
      </m:oMath>
      <w:r>
        <w:t xml:space="preserve">. Finally, append zero input coordinates and zero output rows to reach any fixed </w:t>
      </w:r>
      <m:oMath>
        <m:r>
          <m:t xml:space="preserve">n</m:t>
        </m:r>
        <m:r>
          <m:t xml:space="preserve">≥</m:t>
        </m:r>
        <m:r>
          <m:t xml:space="preserve">5</m:t>
        </m:r>
        <m:r>
          <m:t xml:space="preserve">,</m:t>
        </m:r>
        <m:r>
          <m:t xml:space="preserve">m</m:t>
        </m:r>
        <m:r>
          <m:t xml:space="preserve">≥</m:t>
        </m:r>
        <m:r>
          <m:t xml:space="preserve">3</m:t>
        </m:r>
      </m:oMath>
      <w:r>
        <w:t xml:space="preserve">; these operations preserve all six summaries and the evaluated error norm. The proof covers the upper spectral endpoint and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Since </w:t>
      </w:r>
      <m:oMath>
        <m:r>
          <m:t xml:space="preserve">v</m:t>
        </m:r>
      </m:oMath>
      <w:r>
        <w:t xml:space="preserve"> attains the operator norm,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Thus </w:t>
      </w:r>
      <m:oMath>
        <m:sSup>
          <m:e>
            <m:r>
              <m:t xml:space="preserve">d</m:t>
            </m:r>
          </m:e>
          <m:sup>
            <m:r>
              <m:t xml:space="preserve">H</m:t>
            </m:r>
          </m:sup>
        </m:sSup>
        <m:sSup>
          <m:e>
            <m:r>
              <m:t xml:space="preserve">C</m:t>
            </m:r>
          </m:e>
          <m:sup>
            <m:r>
              <m:t xml:space="preserve">H</m:t>
            </m:r>
          </m:sup>
        </m:sSup>
        <m:r>
          <m:t xml:space="preserve">P</m:t>
        </m:r>
        <m:r>
          <m:t xml:space="preserve">=</m:t>
        </m:r>
        <m:r>
          <m:t xml:space="preserve">0</m:t>
        </m:r>
      </m:oMath>
      <w:r>
        <w:t xml:space="preserve">: the parallel and orthogonal interference outputs are orthogonal.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requires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it additionally requires </w:t>
      </w:r>
      <m:oMath>
        <m:sSub>
          <m:e>
            <m:r>
              <m:t xml:space="preserve">I</m:t>
            </m:r>
          </m:e>
          <m:sub>
            <m:r>
              <m:t xml:space="preserve">0</m:t>
            </m:r>
          </m:sub>
        </m:sSub>
        <m:r>
          <m:t xml:space="preserve">=</m:t>
        </m:r>
        <m:r>
          <m:t xml:space="preserve">α</m:t>
        </m:r>
        <m:r>
          <m:t xml:space="preserve">a</m:t>
        </m:r>
      </m:oMath>
      <w:r>
        <w:t xml:space="preserve">, so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inf</m:t>
            </m:r>
          </m:e>
          <m:sub>
            <m:sSub>
              <m:e>
                <m:r>
                  <m:t xml:space="preserve">S</m:t>
                </m:r>
              </m:e>
              <m:sub>
                <m:r>
                  <m:t xml:space="preserve">6</m:t>
                </m:r>
              </m:sub>
            </m:sSub>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xml:space="preserve"> and this value is attained. For </w:t>
      </w:r>
      <m:oMath>
        <m:r>
          <m:t xml:space="preserve">β</m:t>
        </m:r>
        <m:r>
          <m:t xml:space="preserve">=</m:t>
        </m:r>
        <m:r>
          <m:t xml:space="preserve">0</m:t>
        </m:r>
      </m:oMath>
      <w:r>
        <w:t xml:space="preserve">, the same formula with </w:t>
      </w:r>
      <m:oMath>
        <m:sSub>
          <m:e>
            <m:r>
              <m:t xml:space="preserve">J</m:t>
            </m:r>
          </m:e>
          <m:sub>
            <m:r>
              <m:t xml:space="preserve">⊥</m:t>
            </m:r>
          </m:sub>
        </m:sSub>
        <m:r>
          <m:t xml:space="preserve">=</m:t>
        </m:r>
        <m:r>
          <m:t xml:space="preserve">0</m:t>
        </m:r>
      </m:oMath>
      <w:r>
        <w:t xml:space="preserve"> reduces to the parallel problem and is attainable in every compatible dimension.</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use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and reverse the inequality upon multiplication.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Applying the triangle inequality and minimizing yields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For a minimizing </w:t>
      </w:r>
      <m:oMath>
        <m:r>
          <m:t xml:space="preserve">x</m:t>
        </m:r>
      </m:oMath>
      <w:r>
        <w:t xml:space="preserve"> in (25),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and choose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r>
                  <m:t xml:space="preserve">x</m:t>
                </m:r>
                <m:r>
                  <m:t xml:space="preserve">,</m:t>
                </m:r>
                <m:r>
                  <m:t xml:space="preserve">y</m:t>
                </m:r>
              </m:e>
            </m:d>
          </m:e>
          <m:sup>
            <m:r>
              <m:t xml:space="preserve">T</m:t>
            </m:r>
          </m:sup>
        </m:sSup>
      </m:oMath>
      <w:r>
        <w:t xml:space="preserve"> for </w:t>
      </w:r>
      <m:oMath>
        <m:sSub>
          <m:e>
            <m:r>
              <m:t xml:space="preserve">c</m:t>
            </m:r>
          </m:e>
          <m:sub>
            <m:r>
              <m:t xml:space="preserve">∥</m:t>
            </m:r>
          </m:sub>
        </m:sSub>
        <m:r>
          <m:t xml:space="preserve">&lt;</m:t>
        </m:r>
        <m:r>
          <m:t xml:space="preserve">0</m:t>
        </m:r>
      </m:oMath>
      <w:r>
        <w:t xml:space="preserve">. The parallel term in (24) then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oMath>
      <w:r>
        <w:t xml:space="preserve">, and the orthogonal interference norm equals </w:t>
      </w:r>
      <m:oMath>
        <m:sSub>
          <m:e>
            <m:r>
              <m:t xml:space="preserve">J</m:t>
            </m:r>
          </m:e>
          <m:sub>
            <m:r>
              <m:t xml:space="preserve">⊥</m:t>
            </m:r>
          </m:sub>
        </m:sSub>
        <m:r>
          <m:t xml:space="preserve">+</m:t>
        </m:r>
        <m:r>
          <m:t xml:space="preserve">β</m:t>
        </m:r>
        <m:r>
          <m:t xml:space="preserve">y</m:t>
        </m:r>
      </m:oMath>
      <w:r>
        <w:t xml:space="preserve">. The error is feasible and its objective equals </w:t>
      </w:r>
      <m:oMath>
        <m:sSub>
          <m:e>
            <m:r>
              <m:t xml:space="preserve">Q</m:t>
            </m:r>
          </m:e>
          <m:sub>
            <m:r>
              <m:t xml:space="preserve">∂</m:t>
            </m:r>
          </m:sub>
        </m:sSub>
      </m:oMath>
      <w:r>
        <w:t xml:space="preserve">. Safety gives equality with </w:t>
      </w:r>
      <m:oMath>
        <m:sSup>
          <m:e>
            <m:r>
              <m:t xml:space="preserve">q</m:t>
            </m:r>
          </m:e>
          <m:sup>
            <m:r>
              <m:t xml:space="preserve">*</m:t>
            </m:r>
          </m:sup>
        </m:sSup>
      </m:oMath>
      <w:r>
        <w:t xml:space="preserve"> for this instance. Zero padding establishes attainment in larger dimensions. If </w:t>
      </w:r>
      <m:oMath>
        <m:r>
          <m:t xml:space="preserve">β</m:t>
        </m:r>
        <m:r>
          <m:t xml:space="preserve">=</m:t>
        </m:r>
        <m:r>
          <m:t xml:space="preserve">0</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additional phase compatibility forced by that boundary.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w:t>
      </w:r>
    </w:p>
    <w:p>
      <w:r>
        <w:t>This also establishes the discontinuity of the information class optimum for this parameter sequence without relying on numerical agreement: the safe lower bound tends to −0.21, while the displayed feasible error gives an upper bound of −0.21 on the family margin. At the boundary, Theorem 3 gives 0.59. The nominal channels do not approach a finite fixed channel. Hence this is a change in the optimum over information classes, not a discontinuity of one physical system's QoS.</w:t>
      </w:r>
    </w:p>
    <w:p>
      <w:pPr>
        <w:pStyle w:val="Caption"/>
        <w:keepNext/>
      </w:pPr>
      <w:r>
        <w:t>Table 1.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Cauchy–Schwarz with the orthogonal nominal channel component proves (28). This necessary condition excludes some constructions requiring an unbounded channel norm. An optimal seven scalar envelope is not established here.</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old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A</m:t>
            </m:r>
          </m:sup>
        </m:sSup>
        <m:r>
          <m:t xml:space="preserve">h</m:t>
        </m:r>
        <m:r>
          <m:t xml:space="preserve">̂</m:t>
        </m:r>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Timing sections therefore report both the original 200 iteration reference and the validated tolerance stopped reference, and screening savings are quoted against both.</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[4]. This is a classical technique, used in the same single ball form by representative robust RIS designs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Directional and completion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These are consistency checks of the analytical proofs, not substitutes for them.</w:t>
      </w:r>
    </w:p>
    <w:p>
      <w:r>
        <w:t>For the deterministic flip, the separable bound is −0.0425, the old approximate minimum is −0.024580 and the new approximate minimum is 0.034624. Their interval lower bounds at 256 cells are −0.027068 and +0.027262. The new lower bound at 65536 cells is 0.0345956. The positive certified lower bound, rather than the numerical approximate minimum, establishes acceptance.</w:t>
      </w:r>
    </w:p>
    <w:p>
      <w:pPr>
        <w:pStyle w:val="Heading2"/>
      </w:pPr>
      <w:r>
        <w:t>7.2 Constructed spectral scan</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Each point has an explicit matrix and nominal channel; the channel norm ranges from 2.22 to 9.05. This is an instance family, not an experiment holding a physical channel fixed.</w:t>
      </w:r>
    </w:p>
    <w:p>
      <w:r>
        <w:t xml:space="preserve">The new approximate envelope exceeds the old one at 20 of 21 points. The maximum gain is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old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 Approximate minima differ from the reference by tiny negative roundoff at some points, which is not an acceptance criterion.</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 RIS candidates and easy regime</w:t>
      </w:r>
    </w:p>
    <w:p>
      <w:r>
        <w:t xml:space="preserve">The candidate model has two base stations with four antennas each, four users, and a 16 element RIS with two bit phases. Each seed generates six phase states and two beam types, MRT and RZF, giving 12 candidates. The first phase state is all ones and five states are sampled from </w:t>
      </w:r>
      <m:oMath>
        <m:d>
          <m:dPr>
            <m:begChr m:val="{"/>
            <m:endChr m:val="}"/>
          </m:dPr>
          <m:e>
            <m:r>
              <m:t xml:space="preserve">1</m:t>
            </m:r>
            <m:r>
              <m:t xml:space="preserve">,</m:t>
            </m:r>
            <m:r>
              <m:t xml:space="preserve">i</m:t>
            </m:r>
            <m:r>
              <m:t xml:space="preserve">,</m:t>
            </m:r>
            <m:r>
              <m:t xml:space="preserve">−</m:t>
            </m:r>
            <m:r>
              <m:t xml:space="preserve">1</m:t>
            </m:r>
            <m:r>
              <m:t xml:space="preserve">,</m:t>
            </m:r>
            <m:r>
              <m:t xml:space="preserve">−</m:t>
            </m:r>
            <m:r>
              <m:t xml:space="preserve">i</m:t>
            </m:r>
          </m:e>
        </m:d>
      </m:oMath>
      <w:r>
        <w:t>. Each base station serves two users with power 0.5 per stream. RZF uses regularization 0.1 before per stream normalization.</w:t>
      </w:r>
    </w:p>
    <w:p>
      <w:r>
        <w:t xml:space="preserve">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 cell scale 1 and cross 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entries of </w:t>
      </w:r>
      <m:oMath>
        <m:sSub>
          <m:e>
            <m:r>
              <m:t xml:space="preserve">f</m:t>
            </m:r>
          </m:e>
          <m:sub>
            <m:r>
              <m:t xml:space="preserve">u</m:t>
            </m:r>
          </m:sub>
        </m:sSub>
      </m:oMath>
      <w:r>
        <w:t xml:space="preserve"> have variance 1/16. Real and imaginary parts each have half the stated variance. Channels and beams are stacked into dimension eight. Noise power is 0.05. These are normalized dimensionless links, not a fitted propagation or hardware model.</w:t>
      </w:r>
    </w:p>
    <w:p>
      <w:r>
        <w:t xml:space="preserve">The original seeds are 11, 22, 33, 44 and 55, with </w:t>
      </w:r>
      <m:oMath>
        <m:r>
          <m:t xml:space="preserve">γ</m:t>
        </m:r>
        <m:r>
          <m:t xml:space="preserve">=</m:t>
        </m:r>
        <m:r>
          <m:t xml:space="preserve">0</m:t>
        </m:r>
        <m:r>
          <m:t xml:space="preserve">.</m:t>
        </m:r>
        <m:r>
          <m:t xml:space="preserve">5</m:t>
        </m:r>
      </m:oMath>
      <w:r>
        <w:t xml:space="preserve"> and </w:t>
      </w:r>
      <m:oMath>
        <m:sSub>
          <m:e>
            <m:r>
              <m:t xml:space="preserve">r</m:t>
            </m:r>
          </m:e>
          <m:sub>
            <m:r>
              <m:t xml:space="preserve">u</m:t>
            </m:r>
          </m:sub>
        </m:sSub>
        <m:r>
          <m:t xml:space="preserve">=</m:t>
        </m:r>
        <m:r>
          <m:t xml:space="preserve">ρ</m:t>
        </m:r>
        <m:r>
          <m:t xml:space="preserve">∥</m:t>
        </m:r>
        <m:r>
          <m:t xml:space="preserve">h</m:t>
        </m:r>
        <m:sSub>
          <m:e>
            <m:r>
              <m:t xml:space="preserve">̂</m:t>
            </m:r>
          </m:e>
          <m:sub>
            <m:r>
              <m:t xml:space="preserve">u</m:t>
            </m:r>
          </m:sub>
        </m:sSub>
        <m:r>
          <m:t xml:space="preserve">∥</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The pool contains 720 user ball evaluations and 180 candidate–radius units. All references are valid and all four methods accept all units directly, with no false acceptance or fallback. This is an easy baseline and cannot demonstrate differences between certificates.</w:t>
      </w:r>
    </w:p>
    <w:p>
      <w:pPr>
        <w:pStyle w:val="Heading2"/>
      </w:pPr>
      <w:r>
        <w:t>7.4 Exploratory sensitivity grid</w:t>
      </w:r>
    </w:p>
    <w:p>
      <w:r>
        <w:t xml:space="preserve">The candidate generation is unchanged. We add seeds 66, 77, 88, 99 and 110 and evaluate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The fixed grid is an exploratory response to saturation of the original pool; it is not a preregistered validation. Every grid cell is reported, without selecting candidates by the new bound's gain. There are 120 candidates, 1080 candidate–radius–threshold units and 4320 user ball evaluations. Larger radii are stress settings, not calibrated statistical CSI coverage.</w:t>
      </w:r>
    </w:p>
    <w:p>
      <w:pPr>
        <w:pStyle w:val="Caption"/>
        <w:keepNext/>
      </w:pPr>
      <w:r>
        <w:t>Table 2.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All references are valid; 472 units are clearly feasible and 608 clearly infeasible, with no ambiguous units. There is no observed false acceptance or lower bound violation. At 256 cells, the new bound directly accepts 390 units, versus 380 for the old bound. Feasible coverage increases from 80.51% to 82.63%, or 2.12 percentage points; the total direct acceptance increase is 0.93 percentage points. Original seeds contribute six additional accepts and added seeds contribute four.</w:t>
      </w:r>
    </w:p>
    <w:p>
      <w:r>
        <w:t>The comparison with the quadratic bound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m:t>
        </m:r>
        <m:r>
          <m:t xml:space="preserve">g</m:t>
        </m:r>
        <m:r>
          <m:t xml:space="preserve">∥</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ab/>
        <w:t>(32)</w:t>
      </w:r>
    </w:p>
    <w:p>
      <w:r>
        <w:t xml:space="preserve">Unlike the six scalar envelopes, it uses full quadratic geometry. In the sensitivity study it exceeds the implemented new interval bound on 2903 of 4320 user evaluations. That count does not compare it with the exact continuous envelope. A separate original pool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thus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can be used as a safe implementation combination, without changing the six scalar optimality statement.</w:t>
      </w:r>
    </w:p>
    <w:p>
      <w:r>
        <w:t xml:space="preserve">The original and sensitivity pools overlap on 240 user problems at </w:t>
      </w:r>
      <m:oMath>
        <m:r>
          <m:t xml:space="preserve">γ</m:t>
        </m:r>
        <m:r>
          <m:t xml:space="preserve">=</m:t>
        </m:r>
        <m:r>
          <m:t xml:space="preserve">0</m:t>
        </m:r>
        <m:r>
          <m:t xml:space="preserve">.</m:t>
        </m:r>
        <m:r>
          <m:t xml:space="preserve">5</m:t>
        </m:r>
      </m:oMath>
      <w:r>
        <w:t xml:space="preserve">, </w:t>
      </w:r>
      <m:oMath>
        <m:r>
          <m:t xml:space="preserve">ρ</m:t>
        </m:r>
        <m:r>
          <m:t xml:space="preserve">=</m:t>
        </m:r>
        <m:r>
          <m:t xml:space="preserve">0</m:t>
        </m:r>
        <m:r>
          <m:t xml:space="preserve">.</m:t>
        </m:r>
        <m:r>
          <m:t xml:space="preserve">0</m:t>
        </m:r>
        <m:r>
          <m:t xml:space="preserve">6</m:t>
        </m:r>
      </m:oMath>
      <w:r>
        <w:t xml:space="preserve"> for the original seeds. Their combined 5040 evaluation records represent 4800 distinct user problems. Multiple radii and thresholds on the same candidate are correlated and do not constitute independent samples.</w:t>
      </w:r>
    </w:p>
    <w:p>
      <w:pPr>
        <w:pStyle w:val="Heading2"/>
      </w:pPr>
      <w:r>
        <w:t>7.5 Preregistered validation batch</w:t>
      </w:r>
    </w:p>
    <w:p>
      <w:r>
        <w:t xml:space="preserve">Before computing any result on new seeds, we wrote a fixed configuration file recording the unused seeds 211–215, the grid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the candidate generation rules, the acceptance rule (interval lower bound exceeding the threshold for all four users at </w:t>
      </w:r>
      <m:oMath>
        <m:sSub>
          <m:e>
            <m:r>
              <m:t xml:space="preserve">N</m:t>
            </m:r>
          </m:e>
          <m:sub>
            <m:r>
              <m:t xml:space="preserve">θ</m:t>
            </m:r>
          </m:sub>
        </m:sSub>
        <m:r>
          <m:t xml:space="preserve">=</m:t>
        </m:r>
        <m:r>
          <m:t xml:space="preserve">2</m:t>
        </m:r>
        <m:r>
          <m:t xml:space="preserve">5</m:t>
        </m:r>
        <m:r>
          <m:t xml:space="preserve">6</m:t>
        </m:r>
      </m:oMath>
      <w:r>
        <w:t xml:space="preserve">), the reference validity criteria, the timing protocol and SHA-256 hashes of the code files. The batch adds 540 candidate–radius–threshold units and 2160 user ball evaluations with zero overlap with the previous pools; the union of the three pools contains 6960 distinct user problems. All references are valid and no false acceptance or bound violation occurs. Of the 540 units, 159 are clearly feasible; the implemented bounds directly accept D 111, previous 125, new 126 and </w:t>
      </w:r>
      <m:oMath>
        <m:sSub>
          <m:e>
            <m:r>
              <m:t xml:space="preserve">L</m:t>
            </m:r>
          </m:e>
          <m:sub>
            <m:r>
              <m:t xml:space="preserve">q</m:t>
            </m:r>
            <m:r>
              <m:t xml:space="preserve">u</m:t>
            </m:r>
            <m:r>
              <m:t xml:space="preserve">a</m:t>
            </m:r>
            <m:r>
              <m:t xml:space="preserve">d</m:t>
            </m:r>
          </m:sub>
        </m:sSub>
      </m:oMath>
      <w:r>
        <w:t xml:space="preserve"> 138 units. The new bound adds one unit over the previous bound, raising feasible coverage from 78.62% to 79.24% (+0.63 percentage points). Combined with the exploratory grid (+10 units, +2.12 points), the certification gain is positive but small and varies between batches; both batches are finite correlated samples and no distributional claim is made. Reference calls fall from 511 (previous bound pipeline) to 496 (new bound pipeline) against 1319 for the full reference baseline.</w:t>
      </w:r>
    </w:p>
    <w:p>
      <w:pPr>
        <w:pStyle w:val="Caption"/>
        <w:keepNext/>
      </w:pPr>
      <w:r>
        <w:t>Table 3.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pPr>
        <w:pStyle w:val="Heading2"/>
      </w:pPr>
      <w:r>
        <w:t>7.6 Resolution and loss decomposition</w:t>
      </w:r>
    </w:p>
    <w:p>
      <w:r>
        <w:t xml:space="preserve">Table 4 separates interval resolution effects. In the exploratory grid the previous envelope gains one additional accept at 4096 cells while the new envelope is unchanged, so the ten additional accepts are tied to the implemented 256 cell setting. In the validation batch the counts are unchanged at every resolution (one additional accept at each). Decomposing the gap on the 2160 validation rows, the numerical interval loss (one dimensional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 which supports the 256 cell main comparison.</w:t>
      </w:r>
    </w:p>
    <w:p>
      <w:pPr>
        <w:pStyle w:val="Caption"/>
        <w:keepNext/>
      </w:pPr>
      <w:r>
        <w:t>Table 4.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pPr>
        <w:pStyle w:val="Heading2"/>
      </w:pPr>
      <w:r>
        <w:t>7.7 Joint certification and staged screening</w:t>
      </w:r>
    </w:p>
    <w:p>
      <w:r>
        <w:t>The quadratic bound and the six 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for the quadratic bound alone and 390 (82.63%) for the envelope alone, and 139 of 159 (87.42%) versus 138 and 126 in the validation batch. The gain over the quadratic bound comes entirely from units certified only by the six scalar envelope (16 and 1 units; 113 and 52 user level problems), so it is a composition benefit and is not attributed to the envelope alone. No unit is accepted by the joint rule while both individual rules fail. The separable bound is dominated by the envelope at every user problem in all pools and is dropped from the flow.</w:t>
      </w:r>
    </w:p>
    <w:p>
      <w:pPr>
        <w:pStyle w:val="Caption"/>
        <w:keepNext/>
      </w:pPr>
      <w:r>
        <w:t>Table 5. Joint certification and selected pipeline (256 cells). Confirmation-batch entry: 202 is the common final accepted set of every pipeline; the per-method columns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200 iteration reference (25 of 30 pairs) on the exploratory grid and 2.01 (11 of 15) on five fresh confirmation seeds (221–225), while reducing total reference calls by 75% (2946→731) and 72% (1424→394) respectively. The quadratic bound alone is the fastest single bound pipeline; the envelope stage contributes the additional certified units at about 7% further reference call savings, not speed. All pipelines produce identical final decisions in every run.</w:t>
      </w:r>
    </w:p>
    <w:p>
      <w:r>
        <w:t>An adaptive interval refinement starting at 64 cells and refining while the certified lower bound remains below the threshold and a rounding guarded feasible point value of the one dimensional objective stays above it reproduces the acceptance of fixed 4096 cells exactly while evaluating 3.9× fewer interval cells; at this scale the additional bookkeeping outweighs the arithmetic saving, so the adaptive variant is slower in wall clock and is not part of the selected pipeline. With the candidate generation rules held fixed, screening advantage over the pure reference grows with dimension (1.1× at four stacked dimensions, 4.1× at eight, 3.5× at sixteen); per stream power differs between the largest configuration and the others, so acceptance rates are not compared across configurations.</w:t>
      </w:r>
    </w:p>
    <w:p>
      <w:pPr>
        <w:pStyle w:val="Caption"/>
        <w:keepNext/>
      </w:pPr>
      <w:r>
        <w:t>Table 6. Scale configurations (γ = 1.0, ρ = 0.15; median seconds per seed; reference calls pure / Q_G / L_quad).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720"/>
            <w:vAlign w:val="center"/>
            <w:tcMar>
              <w:top w:w="65" w:type="dxa"/>
              <w:bottom w:w="65" w:type="dxa"/>
              <w:left w:w="65" w:type="dxa"/>
              <w:right w:w="65" w:type="dxa"/>
            </w:tcMar>
            <w:shd w:fill="E8EDF2"/>
          </w:tcPr>
          <w:p>
            <w:pPr>
              <w:spacing w:after="0" w:line="240" w:lineRule="auto"/>
              <w:jc w:val="center"/>
            </w:pPr>
            <w:r>
              <w:rPr>
                <w:b/>
                <w:sz w:val="18"/>
              </w:rPr>
              <w:t>Config</w:t>
            </w:r>
          </w:p>
        </w:tc>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792"/>
            <w:vAlign w:val="center"/>
            <w:tcMar>
              <w:top w:w="65" w:type="dxa"/>
              <w:bottom w:w="65" w:type="dxa"/>
              <w:left w:w="65" w:type="dxa"/>
              <w:right w:w="65" w:type="dxa"/>
            </w:tcMar>
            <w:shd w:fill="E8EDF2"/>
          </w:tcPr>
          <w:p>
            <w:pPr>
              <w:spacing w:after="0" w:line="240" w:lineRule="auto"/>
              <w:jc w:val="center"/>
            </w:pPr>
            <w:r>
              <w:rPr>
                <w:b/>
                <w:sz w:val="18"/>
              </w:rPr>
              <w:t>Users</w:t>
            </w:r>
          </w:p>
        </w:tc>
        <w:tc>
          <w:tcPr>
            <w:tcW w:type="dxa" w:w="1440"/>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ref (s)</w:t>
            </w:r>
          </w:p>
        </w:tc>
        <w:tc>
          <w:tcPr>
            <w:tcW w:type="dxa" w:w="1440"/>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720"/>
            <w:vAlign w:val="center"/>
            <w:tcMar>
              <w:top w:w="65" w:type="dxa"/>
              <w:bottom w:w="65" w:type="dxa"/>
              <w:left w:w="65" w:type="dxa"/>
              <w:right w:w="65" w:type="dxa"/>
            </w:tcMar>
          </w:tcPr>
          <w:p>
            <w:pPr>
              <w:spacing w:after="0" w:line="240" w:lineRule="auto"/>
              <w:jc w:val="center"/>
            </w:pPr>
            <w:r>
              <w:rPr>
                <w:b w:val="0"/>
                <w:sz w:val="18"/>
              </w:rPr>
              <w:t>S</w:t>
            </w:r>
          </w:p>
        </w:tc>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792"/>
            <w:vAlign w:val="center"/>
            <w:tcMar>
              <w:top w:w="65" w:type="dxa"/>
              <w:bottom w:w="65" w:type="dxa"/>
              <w:left w:w="65" w:type="dxa"/>
              <w:right w:w="65" w:type="dxa"/>
            </w:tcMar>
          </w:tcPr>
          <w:p>
            <w:pPr>
              <w:spacing w:after="0" w:line="240" w:lineRule="auto"/>
              <w:jc w:val="center"/>
            </w:pPr>
            <w:r>
              <w:rPr>
                <w:b w:val="0"/>
                <w:sz w:val="18"/>
              </w:rPr>
              <w:t>4</w:t>
            </w:r>
          </w:p>
        </w:tc>
        <w:tc>
          <w:tcPr>
            <w:tcW w:type="dxa" w:w="1440"/>
            <w:vAlign w:val="center"/>
            <w:tcMar>
              <w:top w:w="65" w:type="dxa"/>
              <w:bottom w:w="65" w:type="dxa"/>
              <w:left w:w="65" w:type="dxa"/>
              <w:right w:w="65" w:type="dxa"/>
            </w:tcMar>
          </w:tcPr>
          <w:p>
            <w:pPr>
              <w:spacing w:after="0" w:line="240" w:lineRule="auto"/>
              <w:jc w:val="center"/>
            </w:pPr>
            <w:r>
              <w:rPr>
                <w:b w:val="0"/>
                <w:sz w:val="18"/>
              </w:rPr>
              <w:t>0.0071</w:t>
            </w:r>
          </w:p>
        </w:tc>
        <w:tc>
          <w:tcPr>
            <w:tcW w:type="dxa" w:w="1584"/>
            <w:vAlign w:val="center"/>
            <w:tcMar>
              <w:top w:w="65" w:type="dxa"/>
              <w:bottom w:w="65" w:type="dxa"/>
              <w:left w:w="65" w:type="dxa"/>
              <w:right w:w="65" w:type="dxa"/>
            </w:tcMar>
          </w:tcPr>
          <w:p>
            <w:pPr>
              <w:spacing w:after="0" w:line="240" w:lineRule="auto"/>
              <w:jc w:val="center"/>
            </w:pPr>
            <w:r>
              <w:rPr>
                <w:b w:val="0"/>
                <w:sz w:val="18"/>
              </w:rPr>
              <w:t>0.0066</w:t>
            </w:r>
          </w:p>
        </w:tc>
        <w:tc>
          <w:tcPr>
            <w:tcW w:type="dxa" w:w="1440"/>
            <w:vAlign w:val="center"/>
            <w:tcMar>
              <w:top w:w="65" w:type="dxa"/>
              <w:bottom w:w="65" w:type="dxa"/>
              <w:left w:w="65" w:type="dxa"/>
              <w:right w:w="65" w:type="dxa"/>
            </w:tcMar>
          </w:tcPr>
          <w:p>
            <w:pPr>
              <w:spacing w:after="0" w:line="240" w:lineRule="auto"/>
              <w:jc w:val="center"/>
            </w:pPr>
            <w:r>
              <w:rPr>
                <w:b w:val="0"/>
                <w:sz w:val="18"/>
              </w:rPr>
              <w:t>0.0098</w:t>
            </w:r>
          </w:p>
        </w:tc>
        <w:tc>
          <w:tcPr>
            <w:tcW w:type="dxa" w:w="1440"/>
            <w:vAlign w:val="center"/>
            <w:tcMar>
              <w:top w:w="65" w:type="dxa"/>
              <w:bottom w:w="65" w:type="dxa"/>
              <w:left w:w="65" w:type="dxa"/>
              <w:right w:w="65" w:type="dxa"/>
            </w:tcMar>
          </w:tcPr>
          <w:p>
            <w:pPr>
              <w:spacing w:after="0" w:line="240" w:lineRule="auto"/>
              <w:jc w:val="center"/>
            </w:pPr>
            <w:r>
              <w:rPr>
                <w:b w:val="0"/>
                <w:sz w:val="18"/>
              </w:rPr>
              <w:t>57/38/36</w:t>
            </w:r>
          </w:p>
        </w:tc>
      </w:tr>
      <w:tr>
        <w:tc>
          <w:tcPr>
            <w:tcW w:type="dxa" w:w="720"/>
            <w:vAlign w:val="center"/>
            <w:tcMar>
              <w:top w:w="65" w:type="dxa"/>
              <w:bottom w:w="65" w:type="dxa"/>
              <w:left w:w="65" w:type="dxa"/>
              <w:right w:w="65" w:type="dxa"/>
            </w:tcMar>
          </w:tcPr>
          <w:p>
            <w:pPr>
              <w:spacing w:after="0" w:line="240" w:lineRule="auto"/>
              <w:jc w:val="center"/>
            </w:pPr>
            <w:r>
              <w:rPr>
                <w:b w:val="0"/>
                <w:sz w:val="18"/>
              </w:rPr>
              <w:t>M</w:t>
            </w:r>
          </w:p>
        </w:tc>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792"/>
            <w:vAlign w:val="center"/>
            <w:tcMar>
              <w:top w:w="65" w:type="dxa"/>
              <w:bottom w:w="65" w:type="dxa"/>
              <w:left w:w="65" w:type="dxa"/>
              <w:right w:w="65" w:type="dxa"/>
            </w:tcMar>
          </w:tcPr>
          <w:p>
            <w:pPr>
              <w:spacing w:after="0" w:line="240" w:lineRule="auto"/>
              <w:jc w:val="center"/>
            </w:pPr>
            <w:r>
              <w:rPr>
                <w:b w:val="0"/>
                <w:sz w:val="18"/>
              </w:rPr>
              <w:t>4</w:t>
            </w:r>
          </w:p>
        </w:tc>
        <w:tc>
          <w:tcPr>
            <w:tcW w:type="dxa" w:w="1440"/>
            <w:vAlign w:val="center"/>
            <w:tcMar>
              <w:top w:w="65" w:type="dxa"/>
              <w:bottom w:w="65" w:type="dxa"/>
              <w:left w:w="65" w:type="dxa"/>
              <w:right w:w="65" w:type="dxa"/>
            </w:tcMar>
          </w:tcPr>
          <w:p>
            <w:pPr>
              <w:spacing w:after="0" w:line="240" w:lineRule="auto"/>
              <w:jc w:val="center"/>
            </w:pPr>
            <w:r>
              <w:rPr>
                <w:b w:val="0"/>
                <w:sz w:val="18"/>
              </w:rPr>
              <w:t>0.0167</w:t>
            </w:r>
          </w:p>
        </w:tc>
        <w:tc>
          <w:tcPr>
            <w:tcW w:type="dxa" w:w="1584"/>
            <w:vAlign w:val="center"/>
            <w:tcMar>
              <w:top w:w="65" w:type="dxa"/>
              <w:bottom w:w="65" w:type="dxa"/>
              <w:left w:w="65" w:type="dxa"/>
              <w:right w:w="65" w:type="dxa"/>
            </w:tcMar>
          </w:tcPr>
          <w:p>
            <w:pPr>
              <w:spacing w:after="0" w:line="240" w:lineRule="auto"/>
              <w:jc w:val="center"/>
            </w:pPr>
            <w:r>
              <w:rPr>
                <w:b w:val="0"/>
                <w:sz w:val="18"/>
              </w:rPr>
              <w:t>0.0041</w:t>
            </w:r>
          </w:p>
        </w:tc>
        <w:tc>
          <w:tcPr>
            <w:tcW w:type="dxa" w:w="1440"/>
            <w:vAlign w:val="center"/>
            <w:tcMar>
              <w:top w:w="65" w:type="dxa"/>
              <w:bottom w:w="65" w:type="dxa"/>
              <w:left w:w="65" w:type="dxa"/>
              <w:right w:w="65" w:type="dxa"/>
            </w:tcMar>
          </w:tcPr>
          <w:p>
            <w:pPr>
              <w:spacing w:after="0" w:line="240" w:lineRule="auto"/>
              <w:jc w:val="center"/>
            </w:pPr>
            <w:r>
              <w:rPr>
                <w:b w:val="0"/>
                <w:sz w:val="18"/>
              </w:rPr>
              <w:t>0.0102</w:t>
            </w:r>
          </w:p>
        </w:tc>
        <w:tc>
          <w:tcPr>
            <w:tcW w:type="dxa" w:w="1440"/>
            <w:vAlign w:val="center"/>
            <w:tcMar>
              <w:top w:w="65" w:type="dxa"/>
              <w:bottom w:w="65" w:type="dxa"/>
              <w:left w:w="65" w:type="dxa"/>
              <w:right w:w="65" w:type="dxa"/>
            </w:tcMar>
          </w:tcPr>
          <w:p>
            <w:pPr>
              <w:spacing w:after="0" w:line="240" w:lineRule="auto"/>
              <w:jc w:val="center"/>
            </w:pPr>
            <w:r>
              <w:rPr>
                <w:b w:val="0"/>
                <w:sz w:val="18"/>
              </w:rPr>
              <w:t>104/36/25</w:t>
            </w:r>
          </w:p>
        </w:tc>
      </w:tr>
      <w:tr>
        <w:tc>
          <w:tcPr>
            <w:tcW w:type="dxa" w:w="720"/>
            <w:vAlign w:val="center"/>
            <w:tcMar>
              <w:top w:w="65" w:type="dxa"/>
              <w:bottom w:w="65" w:type="dxa"/>
              <w:left w:w="65" w:type="dxa"/>
              <w:right w:w="65" w:type="dxa"/>
            </w:tcMar>
          </w:tcPr>
          <w:p>
            <w:pPr>
              <w:spacing w:after="0" w:line="240" w:lineRule="auto"/>
              <w:jc w:val="center"/>
            </w:pPr>
            <w:r>
              <w:rPr>
                <w:b w:val="0"/>
                <w:sz w:val="18"/>
              </w:rPr>
              <w:t>L</w:t>
            </w:r>
          </w:p>
        </w:tc>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792"/>
            <w:vAlign w:val="center"/>
            <w:tcMar>
              <w:top w:w="65" w:type="dxa"/>
              <w:bottom w:w="65" w:type="dxa"/>
              <w:left w:w="65" w:type="dxa"/>
              <w:right w:w="65" w:type="dxa"/>
            </w:tcMar>
          </w:tcPr>
          <w:p>
            <w:pPr>
              <w:spacing w:after="0" w:line="240" w:lineRule="auto"/>
              <w:jc w:val="center"/>
            </w:pPr>
            <w:r>
              <w:rPr>
                <w:b w:val="0"/>
                <w:sz w:val="18"/>
              </w:rPr>
              <w:t>6</w:t>
            </w:r>
          </w:p>
        </w:tc>
        <w:tc>
          <w:tcPr>
            <w:tcW w:type="dxa" w:w="1440"/>
            <w:vAlign w:val="center"/>
            <w:tcMar>
              <w:top w:w="65" w:type="dxa"/>
              <w:bottom w:w="65" w:type="dxa"/>
              <w:left w:w="65" w:type="dxa"/>
              <w:right w:w="65" w:type="dxa"/>
            </w:tcMar>
          </w:tcPr>
          <w:p>
            <w:pPr>
              <w:spacing w:after="0" w:line="240" w:lineRule="auto"/>
              <w:jc w:val="center"/>
            </w:pPr>
            <w:r>
              <w:rPr>
                <w:b w:val="0"/>
                <w:sz w:val="18"/>
              </w:rPr>
              <w:t>0.0229</w:t>
            </w:r>
          </w:p>
        </w:tc>
        <w:tc>
          <w:tcPr>
            <w:tcW w:type="dxa" w:w="1584"/>
            <w:vAlign w:val="center"/>
            <w:tcMar>
              <w:top w:w="65" w:type="dxa"/>
              <w:bottom w:w="65" w:type="dxa"/>
              <w:left w:w="65" w:type="dxa"/>
              <w:right w:w="65" w:type="dxa"/>
            </w:tcMar>
          </w:tcPr>
          <w:p>
            <w:pPr>
              <w:spacing w:after="0" w:line="240" w:lineRule="auto"/>
              <w:jc w:val="center"/>
            </w:pPr>
            <w:r>
              <w:rPr>
                <w:b w:val="0"/>
                <w:sz w:val="18"/>
              </w:rPr>
              <w:t>0.0065</w:t>
            </w:r>
          </w:p>
        </w:tc>
        <w:tc>
          <w:tcPr>
            <w:tcW w:type="dxa" w:w="1440"/>
            <w:vAlign w:val="center"/>
            <w:tcMar>
              <w:top w:w="65" w:type="dxa"/>
              <w:bottom w:w="65" w:type="dxa"/>
              <w:left w:w="65" w:type="dxa"/>
              <w:right w:w="65" w:type="dxa"/>
            </w:tcMar>
          </w:tcPr>
          <w:p>
            <w:pPr>
              <w:spacing w:after="0" w:line="240" w:lineRule="auto"/>
              <w:jc w:val="center"/>
            </w:pPr>
            <w:r>
              <w:rPr>
                <w:b w:val="0"/>
                <w:sz w:val="18"/>
              </w:rPr>
              <w:t>0.0148</w:t>
            </w:r>
          </w:p>
        </w:tc>
        <w:tc>
          <w:tcPr>
            <w:tcW w:type="dxa" w:w="1440"/>
            <w:vAlign w:val="center"/>
            <w:tcMar>
              <w:top w:w="65" w:type="dxa"/>
              <w:bottom w:w="65" w:type="dxa"/>
              <w:left w:w="65" w:type="dxa"/>
              <w:right w:w="65" w:type="dxa"/>
            </w:tcMar>
          </w:tcPr>
          <w:p>
            <w:pPr>
              <w:spacing w:after="0" w:line="240" w:lineRule="auto"/>
              <w:jc w:val="center"/>
            </w:pPr>
            <w:r>
              <w:rPr>
                <w:b w:val="0"/>
                <w:sz w:val="18"/>
              </w:rPr>
              <w:t>148/38/25</w:t>
            </w:r>
          </w:p>
        </w:tc>
      </w:tr>
    </w:tbl>
    <w:p>
      <w:pPr>
        <w:spacing w:after="40"/>
      </w:pPr>
    </w:p>
    <w:p>
      <w:pPr>
        <w:pStyle w:val="Heading2"/>
      </w:pPr>
      <w:r>
        <w:t>7.8 S procedure SDP baseline</w:t>
      </w:r>
    </w:p>
    <w:p>
      <w:r>
        <w:t xml:space="preserve">A preregistered 74 case check set (constructions, boundary instances, degenerate cases, trust region special structures and first candidate pool instances) and the full 2160 problem validation batch are solved by the corrected SDP pipeline of Section 6.3. On the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never falls below it (maximum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 point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Two independent exact methods thus cross validate each other and every certification statement above. The 913 instances classified as infeasible by the earlier, invalid negative lower bound rule were all re confirmed by witness upper bounds: the same outcomes, now with a valid justification.</w:t>
      </w:r>
    </w:p>
    <w:p>
      <w:pPr>
        <w:pStyle w:val="Caption"/>
        <w:keepNext/>
      </w:pPr>
      <w:r>
        <w:t>Table 7.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 q* (witness validity), max deficit</w:t>
            </w:r>
          </w:p>
        </w:tc>
        <w:tc>
          <w:tcPr>
            <w:tcW w:type="dxa" w:w="3312"/>
            <w:vAlign w:val="center"/>
            <w:tcMar>
              <w:top w:w="65" w:type="dxa"/>
              <w:bottom w:w="65" w:type="dxa"/>
              <w:left w:w="65" w:type="dxa"/>
              <w:right w:w="65" w:type="dxa"/>
            </w:tcMar>
          </w:tcPr>
          <w:p>
            <w:pPr>
              <w:spacing w:after="0" w:line="240" w:lineRule="auto"/>
              <w:jc w:val="center"/>
            </w:pPr>
            <w:r>
              <w:rPr>
                <w:b w:val="0"/>
                <w:sz w:val="18"/>
              </w:rPr>
              <w:t>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7.9 End to end timing</w:t>
      </w:r>
    </w:p>
    <w:p>
      <w:r>
        <w:t>Table 8 reports the original protocol against the 200 iteration reference, stratified by threshold. Table 9 reports the same final decision task on the validation batch against the validated tolerance stopped reference. With the tolerance stop, the pure reference drops from 0.150 s to 0.041 s per seed and threshold, so the apparent advantage of screening pipelines narrows substantially: the best configuration is the new bound with tolerance stopped fallback (0.032 s), about 20% below the tolerance stopped pure reference, while the screening pipeline with the original fallback (0.075 s) is slower than the tolerance stopped pure reference. The new pipeline is faster than the previous envelope pipeline in 6 of 15 validation pairs and 11–13 of 30 exploratory pairs across runs, and reduces total reference calls by 3.41% and 2.9% respectively; no stable runtime advantage over the previous envelope is observed. Screening with fallback saves time relative to the serial reference implementation, with nonzero fallback in the sensitivity study; part of the previously reported saving is attributable to multiplier search over iteration in the reference rather than to screening. The results do not establish complexity advantages or superiority over an optimized low rank solver. The 720 original user evaluations are five seeds combined; the per seed workload is 144. The generic SDP pipeline is a further 4–13× slower than the tolerance stopped reference; its value here is cross validation, not runtime, and the slowness of the generic conic path is not a statement about full information methods.</w:t>
      </w:r>
    </w:p>
    <w:p>
      <w:pPr>
        <w:pStyle w:val="Caption"/>
        <w:keepNext/>
      </w:pPr>
      <w:r>
        <w:t>Table 8. End-to-end seconds against the original 200-iteration reference;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9. Same final decision task on the validation batch: original vs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2"/>
      </w:pPr>
      <w:r>
        <w:t>7.10 Scope of numerical evidence</w:t>
      </w:r>
    </w:p>
    <w:p>
      <w:r>
        <w:t>The experiments support formula consistency, constructed attainment or approximation, finite instance safety checks on 6960 distinct user problems plus several hundred constructed instances, independent cross validation by a second exact method, and the reported acceptance and call counts. Universal safety and information class sharpness rely on Sections 3 and 4, not on finite sample counts. Three timing repetitions do not establish statistical significance. No observed false acceptance is an empirical statement and is not a directed rounding guarantee.</w:t>
      </w: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future channel drift remain outside the present optimization problem. A positive certificate at one radius must not be interpreted as a maximum radius certificate.</w:t>
      </w:r>
    </w:p>
    <w:p>
      <w:pPr>
        <w:pStyle w:val="Heading1"/>
      </w:pPr>
      <w:r>
        <w:t>9 Discussion and limitations</w:t>
      </w:r>
    </w:p>
    <w:p>
      <w:r>
        <w:t>The information class optimum is deliberately unrestricted in channel norm, rank and wireless support. Some extremal constructions need large nominal channel norms and may not be reachable in a physical RIS configuration. Additional information may yield a stronger certificate; the channel norm constraint in (28) is one example, but its complete optimal envelope is not derived.</w:t>
      </w:r>
    </w:p>
    <w:p>
      <w:r>
        <w:t>The mathematical conclusions use real or complex exact arithmetic and finite dimensional compactness for one dimensional minima. The implementation uses ordinary floating point arithmetic with engineering safeguards. A formal numerical certificate would require validated interval arithmetic or directed rounding.</w:t>
      </w:r>
    </w:p>
    <w:p>
      <w:r>
        <w:t>Runtime and acceptance gains depend on the candidate pool and solver implementation. A matrix based bound can outperform a six scalar envelope because it retains more information; in our study the quadratic bound is the cheaper first stage and the six scalar envelope is the component that certifies units beyond it at equal acceptance threshold. The present results do not justify universal speed claims, and the efficiency statements separate three layers: the theoretical envelope contribution (additional certified units), the composition benefit (joint maximum and staging) and implementation optimizations (tolerance stopped multiplier search, caching). Further empirical assessment should fix the protocol before using additional independent seed batches and should report paired variability rather than treating correlated user evaluations as independent observations.</w:t>
      </w:r>
    </w:p>
    <w:p>
      <w:r>
        <w:t>A complete formula level comparison with operator interpolation, contraction completion and information based optimal recovery literature remains necessary before making a novelty claim. The paper does not claim first discovery of the underlying tools. The explicit proofs establish the stated mathematical results; they do not establish bibliographic novelty.</w:t>
      </w:r>
    </w:p>
    <w:p>
      <w:pPr>
        <w:pStyle w:val="Heading1"/>
      </w:pPr>
      <w:r>
        <w:t>10 Conclusion</w:t>
      </w:r>
    </w:p>
    <w:p>
      <w:r>
        <w:t>Joint spectral compatibility yields a continuous directional envelope and a safe shared budget QoS certificate. The certificate dominates the previous envelope under the same six scalar information budget, and a positive definite completion proves sharpness over the nondegenerate information class, with explicit treatment of zero alpha and radius. At the degenerate boundary, an explicit diagonal construction attains the phase coupled boundary envelope. The difference between boundary and nondegenerate limiting optima is an information class effect rather than a physical QoS discontinuity.</w:t>
      </w:r>
    </w:p>
    <w:p>
      <w:r>
        <w:t xml:space="preserve">Numerically, the formulas are reproduced to </w:t>
      </w:r>
      <m:oMath>
        <m:r>
          <m:t xml:space="preserve">1</m:t>
        </m:r>
        <m:sSup>
          <m:e>
            <m:r>
              <m:t xml:space="preserve">0</m:t>
            </m:r>
          </m:e>
          <m:sup>
            <m:r>
              <m:t xml:space="preserve">−</m:t>
            </m:r>
            <m:r>
              <m:t xml:space="preserve">1</m:t>
            </m:r>
            <m:r>
              <m:t xml:space="preserve">6</m:t>
            </m:r>
          </m:sup>
        </m:sSup>
      </m:oMath>
      <w:r>
        <w:t>, the constructions attain the envelopes to machine precision, and across 6960 distinct user problems no bound violation or false acceptance occurs, cross validated by an S procedure SDP baseline with a two sided decision rule. A preregistered validation batch reproduces the direction of the certification gain at a smaller magnitude (+0.63 versus +2.12 percentage points), the joint certificate covers 89.83% of feasible units versus 86.44% and 82.63% for the individual bounds, and staged screening with a tolerance stopped fallback roughly halves the time of the exact baseline — while no stable runtime advantage of the six scalar envelope over the previous envelope is observed. These results support a limited certification interface; the main conclusions concern the spectral extremum and information class optimality. Further work concerns additional physical information such as the seven scalar envelope, independent empirical validation and formula level literature positioning.</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 Author manuscript: https://arxiv.org/abs/2001.07054.</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 Author manuscript: https://www.math.uwaterloo.ca/~hwolkowi/henry/reports/2004fortinwolkTRS.pdf.</w:t>
      </w:r>
    </w:p>
    <w:p>
      <w:r>
        <w:t>[4] A. Zheng et al., "Energy-Efficient Robust Beamforming for Multi-Functional RIS-Aided Wireless Communication Under Imperfect CSI," IEEE Transactions on Communications, vol. 73, no. 8, pp. 6306–6321, 2025. DOI: 10.1109/TCOMM.2024.3516491. Author manuscript: https://arxiv.org/abs/2412.08032. Cited as a representative use of the single ball S procedure in robust RIS design; the SDP baseline here adapts that standard technique to fixed candidate certification and does not reproduce the paper's system level algorithm.</w:t>
      </w:r>
    </w:p>
    <w:p>
      <w:pPr>
        <w:pStyle w:val="Heading1"/>
      </w:pPr>
      <w:r>
        <w:t>Reproducibility</w:t>
      </w:r>
    </w:p>
    <w:p>
      <w:r>
        <w:t>The supplied code reproduces every number in this paper. `python run_experiments.py` runs the original experiments (results/); `python audit_and_stress.py` the sensitivity study (results_review/); `python run_v41.py` the V4.1 verification suite including the preregistered validation batch (results_v41/); `python run_optimization.py` the joint certification, staged screening, adaptive refinement and scale studies (results_v41_optimization/); and `python run_sdp_v2.py` the corrected S procedure SDP baseline (results_v41_sdp_corrected/). Each suite exits nonzero on any failed check and never overwrites earlier result directories. An earlier SDP implementation with an invalid negative lower 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Spectral Compatible Shared Error Budget Envelopes for Robust QoS Certification</dc:title>
  <dc:subject>English V5: validated experiments, joint certification, staged screening, corrected S-procedure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5.0</cp:version>
</cp:coreProperties>
</file>