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Sharp Robust QoS Certification from Six-Scalar Spectral Summaries</w:t>
      </w:r>
    </w:p>
    <w:p>
      <w:r>
        <w:t>Fixed beamforming and RIS configurations under a partial-information model</w:t>
      </w:r>
    </w:p>
    <w:p>
      <w:r>
        <w:t>Version 6.4 • English revision • 7 October 2026</w:t>
      </w:r>
    </w:p>
    <w:p>
      <w:pPr>
        <w:pStyle w:val="Heading1"/>
      </w:pPr>
      <w:r>
        <w:t>Abstract</w:t>
      </w:r>
    </w:p>
    <w:p>
      <w:r>
        <w:t>Certifying that a fixed beamforming and reconfigurable intelligent surface (RIS) configuration satisfies quality-of-service constraints under a norm-bounded channel-state error is, with full geometry, a trust region problem solvable exactly. This paper asks what can be guaranteed when the certification interface retains only six scalar summaries of the nominal channel and the interference operator: desired and nominal amplitudes, desired-direction gain, orthogonal-subspace gain, and total spectral norm. Because these gains originate from one operator, they obey spectral compatibility that a comparison envelope using the gains separately ignores. We solve the resulting directional interference extremum in closed form — a continuous three-branch envelope — and obtain a safe worst-case QoS bound that dominates the separate-gain envelope under the same information. For the nondegenerate information class we prove the bound equals the infimum of the true worst-case margin over all instances sharing the six summaries, and exhibit an approximating construction sequence; at the degenerate boundary where the desired direction attains the total norm, a distinct phase-coupled envelope is derived and attained explicitly. Numerical checks reproduce the analytical envelopes; on the validation batch two independent exact formulations agree, and the certification gain over the separate-gain envelope is strict but modest and batch-dependent; the certificate is complementary to a quadratic bound that retains one additional scalar.</w:t>
      </w:r>
    </w:p>
    <w:p>
      <w:r>
        <w:t>Keywords: robust QoS certification; partial information; information class; spectral compatibility; RIS; fixed configuration.</w:t>
      </w:r>
    </w:p>
    <w:p>
      <w:pPr>
        <w:pStyle w:val="Heading1"/>
      </w:pPr>
      <w:r>
        <w:t>1 Introduction</w:t>
      </w:r>
    </w:p>
    <w:p>
      <w:r>
        <w:t>After beamforming vectors and discrete RIS phases have been fixed for a candidate configuration, deployment, reuse, and screening still require verifying that every user's QoS constraint survives channel-state uncertainty. With the complete channel and interference geometry available, this verification is a ball-constrained quadratic problem that trust-region methods and the S-procedure solve exactly [2],[3],[4]; robust transmission design with imperfect CSI, including bounded-error RIS settings, is correspondingly mature [1],[4],[9]. The existence of exact full-information solvers is therefore not the issue this paper addresses.</w:t>
      </w:r>
    </w:p>
    <w:p>
      <w:r>
        <w:t>In candidate screening over many configurations, when configuration descriptors are cached or exchanged across network components, or when a stored candidate is evaluated at several uncertainty radii, a compact fixed-size summary can be preferable to carrying the full quadratic geometry. If only six scalar summaries are retained — the desired-stream power, the nominal desired and interference amplitudes, and three gains of the interference operator — a precise question arises: what is the strongest worst-case QoS guarantee that is uniform over every instance consistent with these summaries? Envelopes that use the three gains separately ignore the fact that all three originate from one operator and therefore cannot attain their individual worst cases simultaneously.</w:t>
      </w:r>
    </w:p>
    <w:p>
      <w:r>
        <w:t>We answer the question in three steps. First, we solve the directional interference extremum under the joint spectral constraints: given the desired-direction gain α, the orthogonal-subspace gain β, and the total spectral norm β_0, we evaluate the largest interference output that a parallel error amplitude x and an orthogonal budget y can jointly produce. The extremum is a continuous three-branch closed form proved directly from a two-by-two determinant argument, in the same spirit as classical contraction-completion and Buzano-type refined Cauchy–Schwarz inequalities [5],[6],[7]. Second, we embed the extremum into the worst-case QoS margin, obtaining a shared-error-budget lower envelope. Third, we ask whether any safer certificate using the same six scalars can be strictly better, and we answer in the negative away from a degenerate spectral boundary.</w:t>
      </w:r>
    </w:p>
    <w:p>
      <w:r>
        <w:t>The envelope is safe and dominates the separate-gain comparison envelope pointwise. Over the nondegenerate information class (β_0&gt;α) the envelope equals the infimum of the true worst-case margin over all instances with the same six summaries, and an explicit construction sequence approaches this infimum — a sharpness statement related to the information-based viewpoint of optimal recovery [8]. At the degenerate boundary β_0=α, the equality β_0=α is itself one of the summaries; it forces the parallel and orthogonal interference outputs to be orthogonal, so the desired signal and the parallel interference share one phase within the boundary class, and the optimal envelope of that class is different and is attained by an explicit diagonal construction. The two envelopes can differ sharply for the same boundary summaries (0.59 versus −0.21 in a constructed example); the discontinuity is a property of the information classes, not of any physical channel.</w:t>
      </w:r>
    </w:p>
    <w:p>
      <w:r>
        <w:t>The numerical study has five roles: verifying the analytical implementation to machine precision; exhibiting constructed instances where the new envelope certifies feasibility that the separate-gain envelope cannot; validating on preregistered, previously unused seeds, including a heterogeneous-link pool; showing that the six-scalar certificate and a quadratic bound retaining one additional scalar are complementary (no universal dominance, safe to combine by maximization); and cross-validating the certification statements of the validation batch with an independent S-procedure SDP formulation. The experiments support implementation correctness and complementary use; they do not prove the theorems, and the empirical acceptance gain over the separate-gain envelope is positive in the sensitivity, validation and heterogeneous-link batches, zero in a saturated easy batch, and modest wherever positive.</w:t>
      </w:r>
    </w:p>
    <w:p>
      <w:r>
        <w:t>This work makes three contributions. First, we derive the spectral-compatible directional envelope: from the joint constraints imposed by the desired-direction gain, the orthogonal-subspace gain, and the total spectral norm of one interference operator, we obtain an explicit continuous three-branch extremum for the worst interference output under a shared error budget. Second, we establish information-class optimality: the induced shared-budget QoS envelope is safe, dominates the envelope that uses the three gains separately, equals the information-class infimum away from the degenerate boundary, and is complemented by a separate, explicitly attained phase-coupled envelope at the boundary β_0=α. Third, we specify and validate a certification interface: exact trust-region and S-procedure references confirm the implementation on every validation problem, the envelope produces certifications the separate-gain envelope cannot, and, having no universal dominance relation with the one-additional-scalar quadratic bound, it serves as a complementary stage between cheap bounds and exact fallback.</w:t>
      </w:r>
    </w:p>
    <w:p>
      <w:pPr>
        <w:pStyle w:val="Heading1"/>
      </w:pPr>
      <w:r>
        <w:t>2 Fixed configuration model, information class, and related work</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 and information-class nonemptiness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 spectral summaries necessarily satisfy</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r>
        <w:t>Condition (3) alone does not characterize nonempty information classes, because extreme spectra force the nominal amplitudes.</w:t>
      </w:r>
    </w:p>
    <w:p>
      <w:r>
        <w:rPr>
          <w:b/>
        </w:rPr>
        <w:t>Lemma 1 (nonemptiness).</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p</m:t>
        </m:r>
        <m:r>
          <m:t xml:space="preserve">&gt;</m:t>
        </m:r>
        <m:r>
          <m:t xml:space="preserve">0</m:t>
        </m:r>
      </m:oMath>
      <w:r>
        <w:t xml:space="preserve"> and a summary vector </w:t>
      </w:r>
      <m:oMath>
        <m:r>
          <m:t xml:space="preserve">s</m:t>
        </m:r>
        <m:r>
          <m:t xml:space="preserve">=</m:t>
        </m:r>
        <m:d>
          <m:dPr>
            <m:begChr m:val="("/>
            <m:endChr m:val=")"/>
          </m:dPr>
          <m:e>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e>
        </m:d>
      </m:oMath>
      <w:r>
        <w:t xml:space="preserve"> with </w:t>
      </w:r>
      <m:oMath>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The class </w:t>
      </w:r>
      <m:oMath>
        <m:sSub>
          <m:e>
            <m:r>
              <m:t xml:space="preserve">𝒞</m:t>
            </m:r>
          </m:e>
          <m:sub>
            <m:r>
              <m:t xml:space="preserve">n</m:t>
            </m:r>
            <m:r>
              <m:t xml:space="preserve">,</m:t>
            </m:r>
            <m:r>
              <m:t xml:space="preserve">m</m:t>
            </m:r>
          </m:sub>
        </m:sSub>
        <m:d>
          <m:dPr>
            <m:begChr m:val="("/>
            <m:endChr m:val=")"/>
          </m:dPr>
          <m:e>
            <m:r>
              <m:t xml:space="preserve">s</m:t>
            </m:r>
          </m:e>
        </m:d>
      </m:oMath>
      <w:r>
        <w:t xml:space="preserve"> of instances with these summaries is nonempty if and only if (3) holds together with</w:t>
      </w:r>
    </w:p>
    <w:p>
      <w:r>
        <w:t xml:space="preserve">(i) </w:t>
      </w:r>
      <m:oMath>
        <m:r>
          <m:t xml:space="preserve">β</m:t>
        </m:r>
        <m:r>
          <m:t xml:space="preserve">=</m:t>
        </m:r>
        <m:r>
          <m:t xml:space="preserve">0</m:t>
        </m:r>
        <m:r>
          <m:t xml:space="preserve"> </m:t>
        </m:r>
        <m:r>
          <m:t xml:space="preserve">⇒</m:t>
        </m:r>
        <m:r>
          <m:t xml:space="preserve"> </m:t>
        </m:r>
        <m:sSub>
          <m:e>
            <m:r>
              <m:t xml:space="preserve">I</m:t>
            </m:r>
          </m:e>
          <m:sub>
            <m:r>
              <m:t xml:space="preserve">0</m:t>
            </m:r>
          </m:sub>
        </m:sSub>
        <m:r>
          <m:t xml:space="preserve">=</m:t>
        </m:r>
        <m:r>
          <m:t xml:space="preserve">α</m:t>
        </m:r>
        <m:r>
          <m:t xml:space="preserve">a</m:t>
        </m:r>
      </m:oMath>
      <w:r>
        <w:t xml:space="preserve">, and (ii) </w:t>
      </w:r>
      <m:oMath>
        <m:sSub>
          <m:e>
            <m:r>
              <m:t xml:space="preserve">β</m:t>
            </m:r>
          </m:e>
          <m:sub>
            <m:r>
              <m:t xml:space="preserve">0</m:t>
            </m:r>
          </m:sub>
        </m:sSub>
        <m:r>
          <m:t xml:space="preserve">=</m:t>
        </m:r>
        <m:r>
          <m:t xml:space="preserve">α</m:t>
        </m:r>
        <m:r>
          <m:t xml:space="preserve"> </m:t>
        </m:r>
        <m:r>
          <m:t xml:space="preserve">⇒</m:t>
        </m:r>
        <m:r>
          <m:t xml:space="preserve"> </m:t>
        </m:r>
        <m:sSub>
          <m:e>
            <m:r>
              <m:t xml:space="preserve">I</m:t>
            </m:r>
          </m:e>
          <m:sub>
            <m:r>
              <m:t xml:space="preserve">0</m:t>
            </m:r>
          </m:sub>
        </m:sSub>
        <m:r>
          <m:t xml:space="preserve">≥</m:t>
        </m:r>
        <m:r>
          <m:t xml:space="preserve">α</m:t>
        </m:r>
        <m:r>
          <m:t xml:space="preserve">a</m:t>
        </m:r>
      </m:oMath>
      <w:r>
        <w:t>.</w:t>
      </w:r>
    </w:p>
    <w:p>
      <w:r>
        <w:rPr>
          <w:b/>
        </w:rPr>
        <w:t>Proof.</w:t>
      </w:r>
      <w:r>
        <w:t xml:space="preserve"> Necessity: (3) is classical, and the two amplitude conditions are forced. Throughout, </w:t>
      </w:r>
      <m:oMath>
        <m:r>
          <m:t xml:space="preserve">v</m:t>
        </m:r>
        <m:r>
          <m:t xml:space="preserve">∈</m:t>
        </m:r>
        <m:sSup>
          <m:e>
            <m:r>
              <m:t xml:space="preserve">ℂ</m:t>
            </m:r>
          </m:e>
          <m:sup>
            <m:r>
              <m:t xml:space="preserve">n</m:t>
            </m:r>
          </m:sup>
        </m:sSup>
      </m:oMath>
      <w:r>
        <w:t xml:space="preserve"> and </w:t>
      </w:r>
      <m:oMath>
        <m:r>
          <m:t xml:space="preserve">C</m:t>
        </m:r>
        <m:r>
          <m:t xml:space="preserve">∈</m:t>
        </m:r>
        <m:sSup>
          <m:e>
            <m:r>
              <m:t xml:space="preserve">ℂ</m:t>
            </m:r>
          </m:e>
          <m:sup>
            <m:r>
              <m:t xml:space="preserve">n</m:t>
            </m:r>
            <m:r>
              <m:t xml:space="preserve">×</m:t>
            </m:r>
            <m:r>
              <m:t xml:space="preserve">m</m:t>
            </m:r>
          </m:sup>
        </m:sSup>
      </m:oMath>
      <w:r>
        <w:t xml:space="preserve">, so </w:t>
      </w:r>
      <m:oMath>
        <m:sSup>
          <m:e>
            <m:r>
              <m:t xml:space="preserve">C</m:t>
            </m:r>
          </m:e>
          <m:sup>
            <m:r>
              <m:t xml:space="preserve">H</m:t>
            </m:r>
          </m:sup>
        </m:sSup>
        <m:r>
          <m:t xml:space="preserve">:</m:t>
        </m:r>
        <m:sSup>
          <m:e>
            <m:r>
              <m:t xml:space="preserve">ℂ</m:t>
            </m:r>
          </m:e>
          <m:sup>
            <m:r>
              <m:t xml:space="preserve">n</m:t>
            </m:r>
          </m:sup>
        </m:sSup>
        <m:r>
          <m:t xml:space="preserve">→</m:t>
        </m:r>
        <m:sSup>
          <m:e>
            <m:r>
              <m:t xml:space="preserve">ℂ</m:t>
            </m:r>
          </m:e>
          <m:sup>
            <m:r>
              <m:t xml:space="preserve">m</m:t>
            </m:r>
          </m:sup>
        </m:sSup>
      </m:oMath>
      <w:r>
        <w:t xml:space="preserve"> maps input space to output space. If </w:t>
      </w:r>
      <m:oMath>
        <m:r>
          <m:t xml:space="preserve">β</m:t>
        </m:r>
        <m:r>
          <m:t xml:space="preserve">=</m:t>
        </m:r>
        <m:r>
          <m:t xml:space="preserve">0</m:t>
        </m:r>
      </m:oMath>
      <w:r>
        <w:t xml:space="preserve">, then </w:t>
      </w:r>
      <m:oMath>
        <m:sSup>
          <m:e>
            <m:r>
              <m:t xml:space="preserve">C</m:t>
            </m:r>
          </m:e>
          <m:sup>
            <m:r>
              <m:t xml:space="preserve">H</m:t>
            </m:r>
          </m:sup>
        </m:sSup>
        <m:r>
          <m:t xml:space="preserve">P</m:t>
        </m:r>
        <m:r>
          <m:t xml:space="preserve">=</m:t>
        </m:r>
        <m:r>
          <m:t xml:space="preserve">0</m:t>
        </m:r>
      </m:oMath>
      <w:r>
        <w:t xml:space="preserve">, so </w:t>
      </w:r>
      <m:oMath>
        <m:sSup>
          <m:e>
            <m:r>
              <m:t xml:space="preserve">C</m:t>
            </m:r>
          </m:e>
          <m:sup>
            <m:r>
              <m:t xml:space="preserve">H</m:t>
            </m:r>
          </m:sup>
        </m:sSup>
        <m:r>
          <m:t xml:space="preserve">=</m:t>
        </m:r>
        <m:d>
          <m:dPr>
            <m:begChr m:val="("/>
            <m:endChr m:val=")"/>
          </m:dPr>
          <m:e>
            <m:sSup>
              <m:e>
                <m:r>
                  <m:t xml:space="preserve">C</m:t>
                </m:r>
              </m:e>
              <m:sup>
                <m:r>
                  <m:t xml:space="preserve">H</m:t>
                </m:r>
              </m:sup>
            </m:sSup>
            <m:r>
              <m:t xml:space="preserve">v</m:t>
            </m:r>
          </m:e>
        </m:d>
        <m:sSup>
          <m:e>
            <m:r>
              <m:t xml:space="preserve">v</m:t>
            </m:r>
          </m:e>
          <m:sup>
            <m:r>
              <m:t xml:space="preserve">H</m:t>
            </m:r>
          </m:sup>
        </m:sSup>
      </m:oMath>
      <w:r>
        <w:t xml:space="preserve"> (equivalently, the range of </w:t>
      </w:r>
      <m:oMath>
        <m:r>
          <m:t xml:space="preserve">C</m:t>
        </m:r>
      </m:oMath>
      <w:r>
        <w:t xml:space="preserve"> lies in span{v} in </w:t>
      </w:r>
      <m:oMath>
        <m:sSup>
          <m:e>
            <m:r>
              <m:t xml:space="preserve">ℂ</m:t>
            </m:r>
          </m:e>
          <m:sup>
            <m:r>
              <m:t xml:space="preserve">n</m:t>
            </m:r>
          </m:sup>
        </m:sSup>
      </m:oMath>
      <w:r>
        <w:t xml:space="preserve">) and </w:t>
      </w:r>
      <m:oMath>
        <m:sSup>
          <m:e>
            <m:r>
              <m:t xml:space="preserve">C</m:t>
            </m:r>
          </m:e>
          <m:sup>
            <m:r>
              <m:t xml:space="preserve">H</m:t>
            </m:r>
          </m:sup>
        </m:sSup>
        <m:r>
          <m:t xml:space="preserve">x</m:t>
        </m:r>
        <m:r>
          <m:t xml:space="preserve">=</m:t>
        </m:r>
        <m:d>
          <m:dPr>
            <m:begChr m:val="("/>
            <m:endChr m:val=")"/>
          </m:dPr>
          <m:e>
            <m:sSup>
              <m:e>
                <m:r>
                  <m:t xml:space="preserve">C</m:t>
                </m:r>
              </m:e>
              <m:sup>
                <m:r>
                  <m:t xml:space="preserve">H</m:t>
                </m:r>
              </m:sup>
            </m:sSup>
            <m:r>
              <m:t xml:space="preserve">v</m:t>
            </m:r>
          </m:e>
        </m:d>
        <m:d>
          <m:dPr>
            <m:begChr m:val="("/>
            <m:endChr m:val=")"/>
          </m:dPr>
          <m:e>
            <m:sSup>
              <m:e>
                <m:r>
                  <m:t xml:space="preserve">v</m:t>
                </m:r>
              </m:e>
              <m:sup>
                <m:r>
                  <m:t xml:space="preserve">H</m:t>
                </m:r>
              </m:sup>
            </m:sSup>
            <m:r>
              <m:t xml:space="preserve">x</m:t>
            </m:r>
          </m:e>
        </m:d>
      </m:oMath>
      <w:r>
        <w:t xml:space="preserve"> for every </w:t>
      </w:r>
      <m:oMath>
        <m:r>
          <m:t xml:space="preserve">x</m:t>
        </m:r>
        <m:r>
          <m:t xml:space="preserve">∈</m:t>
        </m:r>
        <m:sSup>
          <m:e>
            <m:r>
              <m:t xml:space="preserve">ℂ</m:t>
            </m:r>
          </m:e>
          <m:sup>
            <m:r>
              <m:t xml:space="preserve">n</m:t>
            </m:r>
          </m:sup>
        </m:sSup>
      </m:oMath>
      <w:r>
        <w:t xml:space="preserve">; hence </w:t>
      </w:r>
      <m:oMath>
        <m:sSub>
          <m:e>
            <m:r>
              <m:t xml:space="preserve">I</m:t>
            </m:r>
          </m:e>
          <m:sub>
            <m:r>
              <m:t xml:space="preserve">0</m:t>
            </m:r>
          </m:sub>
        </m:sSub>
        <m:r>
          <m:t xml:space="preserve">=</m:t>
        </m:r>
        <m:r>
          <m:t xml:space="preserve">∥</m:t>
        </m:r>
        <m:sSup>
          <m:e>
            <m:r>
              <m:t xml:space="preserve">C</m:t>
            </m:r>
          </m:e>
          <m:sup>
            <m:r>
              <m:t xml:space="preserve">H</m:t>
            </m:r>
          </m:sup>
        </m:sSup>
        <m:r>
          <m:t xml:space="preserve">v</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α</m:t>
        </m:r>
        <m:r>
          <m:t xml:space="preserve">a</m:t>
        </m:r>
      </m:oMath>
      <w:r>
        <w:t xml:space="preserve">, and in particular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forces </w:t>
      </w:r>
      <m:oMath>
        <m:sSub>
          <m:e>
            <m:r>
              <m:t xml:space="preserve">I</m:t>
            </m:r>
          </m:e>
          <m:sub>
            <m:r>
              <m:t xml:space="preserve">0</m:t>
            </m:r>
          </m:sub>
        </m:sSub>
        <m:r>
          <m:t xml:space="preserve">=</m:t>
        </m:r>
        <m:r>
          <m:t xml:space="preserve">0</m:t>
        </m:r>
      </m:oMath>
      <w:r>
        <w:t xml:space="preserve">. If </w:t>
      </w:r>
      <m:oMath>
        <m:sSub>
          <m:e>
            <m:r>
              <m:t xml:space="preserve">β</m:t>
            </m:r>
          </m:e>
          <m:sub>
            <m:r>
              <m:t xml:space="preserve">0</m:t>
            </m:r>
          </m:sub>
        </m:sSub>
        <m:r>
          <m:t xml:space="preserve">=</m:t>
        </m:r>
        <m:r>
          <m:t xml:space="preserve">α</m:t>
        </m:r>
        <m:r>
          <m:t xml:space="preserve">&gt;</m:t>
        </m:r>
        <m:r>
          <m:t xml:space="preserve">0</m:t>
        </m:r>
      </m:oMath>
      <w:r>
        <w:t xml:space="preserve">,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and splitting </w:t>
      </w:r>
      <m:oMath>
        <m:r>
          <m:t xml:space="preserve">h</m:t>
        </m:r>
        <m:r>
          <m:t xml:space="preserve">̂</m:t>
        </m:r>
      </m:oMath>
      <w:r>
        <w:t xml:space="preserve"> along </w:t>
      </w:r>
      <m:oMath>
        <m:r>
          <m:t xml:space="preserve">v</m:t>
        </m:r>
      </m:oMath>
      <w:r>
        <w:t xml:space="preserve"> and </w:t>
      </w:r>
      <m:oMath>
        <m:sSup>
          <m:e>
            <m:r>
              <m:t xml:space="preserve">v</m:t>
            </m:r>
          </m:e>
          <m:sup>
            <m:r>
              <m:t xml:space="preserve">⊥</m:t>
            </m:r>
          </m:sup>
        </m:sSup>
      </m:oMath>
      <w:r>
        <w:t xml:space="preserve"> yields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r>
          <m:t xml:space="preserve">h</m:t>
        </m:r>
        <m:r>
          <m:t xml:space="preserve">̂</m:t>
        </m:r>
        <m:sSup>
          <m:e>
            <m:r>
              <m:t xml:space="preserve">∥</m:t>
            </m:r>
          </m:e>
          <m:sup>
            <m:r>
              <m:t xml:space="preserve">2</m:t>
            </m:r>
          </m:sup>
        </m:sSup>
        <m:r>
          <m:t xml:space="preserve">≥</m:t>
        </m:r>
        <m:sSup>
          <m:e>
            <m:r>
              <m:t xml:space="preserve">α</m:t>
            </m:r>
          </m:e>
          <m:sup>
            <m:r>
              <m:t xml:space="preserve">2</m:t>
            </m:r>
          </m:sup>
        </m:sSup>
        <m:sSup>
          <m:e>
            <m:r>
              <m:t xml:space="preserve">a</m:t>
            </m:r>
          </m:e>
          <m:sup>
            <m:r>
              <m:t xml:space="preserve">2</m:t>
            </m:r>
          </m:sup>
        </m:sSup>
      </m:oMath>
      <w:r>
        <w:t xml:space="preserve"> with </w:t>
      </w:r>
      <m:oMath>
        <m:r>
          <m:t xml:space="preserve">d</m:t>
        </m:r>
        <m:r>
          <m:t xml:space="preserve">̂</m:t>
        </m:r>
        <m:r>
          <m:t xml:space="preserve">=</m:t>
        </m:r>
        <m:sSup>
          <m:e>
            <m:r>
              <m:t xml:space="preserve">C</m:t>
            </m:r>
          </m:e>
          <m:sup>
            <m:r>
              <m:t xml:space="preserve">H</m:t>
            </m:r>
          </m:sup>
        </m:sSup>
        <m:r>
          <m:t xml:space="preserve">v</m:t>
        </m:r>
        <m:r>
          <m:t xml:space="preserve">/</m:t>
        </m:r>
        <m:r>
          <m:t xml:space="preserve">α</m:t>
        </m:r>
      </m:oMath>
      <w:r>
        <w:t xml:space="preserve">. Sufficiency: all instances below use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followed by zero padding to the fixed </w:t>
      </w:r>
      <m:oMath>
        <m:d>
          <m:dPr>
            <m:begChr m:val="("/>
            <m:endChr m:val=")"/>
          </m:dPr>
          <m:e>
            <m:r>
              <m:t xml:space="preserve">n</m:t>
            </m:r>
            <m:r>
              <m:t xml:space="preserve">,</m:t>
            </m:r>
            <m:r>
              <m:t xml:space="preserve">m</m:t>
            </m:r>
          </m:e>
        </m:d>
      </m:oMath>
      <w:r>
        <w:t xml:space="preserve">; the padded error coordinates enter neither the desired nor the interference term, so the infimum in (1) is unchanged. The branches are mutually exclusive and exhaustive: </w:t>
      </w:r>
      <w:r>
        <w:rPr>
          <w:b/>
        </w:rPr>
        <w:t>(A)</w:t>
      </w:r>
      <w:r>
        <w:t xml:space="preserve"> zero operator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hence </w:t>
      </w:r>
      <m:oMath>
        <m:sSub>
          <m:e>
            <m:r>
              <m:t xml:space="preserve">I</m:t>
            </m:r>
          </m:e>
          <m:sub>
            <m:r>
              <m:t xml:space="preserve">0</m:t>
            </m:r>
          </m:sub>
        </m:sSub>
        <m:r>
          <m:t xml:space="preserve">=</m:t>
        </m:r>
        <m:r>
          <m:t xml:space="preserve">0</m:t>
        </m:r>
      </m:oMath>
      <w:r>
        <w:t xml:space="preserve"> by (i)): </w:t>
      </w:r>
      <m:oMath>
        <m:r>
          <m:t xml:space="preserve">C</m:t>
        </m:r>
        <m:r>
          <m:t xml:space="preserve">=</m:t>
        </m:r>
        <m:r>
          <m:t xml:space="preserve">0</m:t>
        </m:r>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(B)</w:t>
      </w:r>
      <w:r>
        <w:t xml:space="preserve"> </w:t>
      </w:r>
      <m:oMath>
        <m:r>
          <m:t xml:space="preserve">β</m:t>
        </m:r>
        <m:r>
          <m:t xml:space="preserve">=</m:t>
        </m:r>
        <m:r>
          <m:t xml:space="preserve">0</m:t>
        </m:r>
        <m:r>
          <m:t xml:space="preserve">&lt;</m:t>
        </m:r>
        <m:r>
          <m:t xml:space="preserve">α</m:t>
        </m:r>
      </m:oMath>
      <w:r>
        <w:t xml:space="preserve"> (so </w:t>
      </w:r>
      <m:oMath>
        <m:sSub>
          <m:e>
            <m:r>
              <m:t xml:space="preserve">β</m:t>
            </m:r>
          </m:e>
          <m:sub>
            <m:r>
              <m:t xml:space="preserve">0</m:t>
            </m:r>
          </m:sub>
        </m:sSub>
        <m:r>
          <m:t xml:space="preserve">=</m:t>
        </m:r>
        <m:r>
          <m:t xml:space="preserve">α</m:t>
        </m:r>
      </m:oMath>
      <w:r>
        <w:t xml:space="preserve"> and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(C)</w:t>
      </w:r>
      <w:r>
        <w:t xml:space="preserve"> </w:t>
      </w:r>
      <m:oMath>
        <m:r>
          <m:t xml:space="preserve">α</m:t>
        </m:r>
        <m:r>
          <m:t xml:space="preserve">=</m:t>
        </m:r>
        <m:r>
          <m:t xml:space="preserve">0</m:t>
        </m:r>
        <m:r>
          <m:t xml:space="preserve">&lt;</m:t>
        </m:r>
        <m:r>
          <m:t xml:space="preserve">β</m:t>
        </m:r>
      </m:oMath>
      <w:r>
        <w:t xml:space="preserve"> (so </w:t>
      </w:r>
      <m:oMath>
        <m:sSub>
          <m:e>
            <m:r>
              <m:t xml:space="preserve">β</m:t>
            </m:r>
          </m:e>
          <m:sub>
            <m:r>
              <m:t xml:space="preserve">0</m:t>
            </m:r>
          </m:sub>
        </m:sSub>
        <m:r>
          <m:t xml:space="preserve">=</m:t>
        </m:r>
        <m:r>
          <m:t xml:space="preserve">β</m:t>
        </m:r>
      </m:oMath>
      <w:r>
        <w:t xml:space="preserv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w:t>
      </w:r>
      <w:r>
        <w:rPr>
          <w:b/>
        </w:rPr>
        <w:t>(D)</w:t>
      </w:r>
      <w:r>
        <w:t xml:space="preserve"> </w:t>
      </w:r>
      <m:oMath>
        <m:r>
          <m:t xml:space="preserve">0</m:t>
        </m:r>
        <m:r>
          <m:t xml:space="preserve">&lt;</m:t>
        </m:r>
        <m:r>
          <m:t xml:space="preserve">α</m:t>
        </m:r>
        <m:r>
          <m:t xml:space="preserve">&lt;</m:t>
        </m:r>
        <m:sSub>
          <m:e>
            <m:r>
              <m:t xml:space="preserve">β</m:t>
            </m:r>
          </m:e>
          <m:sub>
            <m:r>
              <m:t xml:space="preserve">0</m:t>
            </m:r>
          </m:sub>
        </m:sSub>
      </m:oMath>
      <w:r>
        <w:t xml:space="preserve">: with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
          <m:t xml:space="preserve">&gt;</m:t>
        </m:r>
        <m:r>
          <m:t xml:space="preserve">0</m:t>
        </m:r>
      </m:oMath>
      <w:r>
        <w:t xml:space="preserve"> and </w:t>
      </w:r>
      <m:oMath>
        <m:r>
          <m:t xml:space="preserve">β</m:t>
        </m:r>
        <m:r>
          <m:t xml:space="preserve">≥</m:t>
        </m:r>
        <m:r>
          <m:t xml:space="preserve">δ</m:t>
        </m:r>
      </m:oMath>
      <w:r>
        <w:t xml:space="preserve"> by (3), take </w:t>
      </w:r>
      <m:oMath>
        <m:sSup>
          <m:e>
            <m:r>
              <m:t xml:space="preserve">C</m:t>
            </m:r>
          </m:e>
          <m:sup>
            <m:r>
              <m:t xml:space="preserve">H</m:t>
            </m:r>
          </m:sup>
        </m:sSup>
        <m:r>
          <m:t xml:space="preserve">=</m:t>
        </m:r>
        <m:d>
          <m:dPr>
            <m:begChr m:val="("/>
            <m:endChr m:val=")"/>
          </m:dPr>
          <m:e>
            <m:m>
              <m:mr>
                <m:e>
                  <m:r>
                    <m:t xml:space="preserve">α</m:t>
                  </m:r>
                </m:e>
                <m:e>
                  <m:r>
                    <m:t xml:space="preserve">δ</m:t>
                  </m:r>
                </m:e>
                <m:e>
                  <m:r>
                    <m:t xml:space="preserve">0</m:t>
                  </m:r>
                </m:e>
              </m:mr>
              <m:mr>
                <m:e>
                  <m:r>
                    <m:t xml:space="preserve">0</m:t>
                  </m:r>
                </m:e>
                <m:e>
                  <m:r>
                    <m:t xml:space="preserve">0</m:t>
                  </m:r>
                </m:e>
                <m:e>
                  <m:r>
                    <m:t xml:space="preserve">β</m:t>
                  </m:r>
                </m:e>
              </m:mr>
            </m:m>
          </m:e>
        </m:d>
      </m:oMath>
      <w:r>
        <w:t xml:space="preserve"> and </w:t>
      </w:r>
      <m:oMath>
        <m:r>
          <m:t xml:space="preserve">h</m:t>
        </m:r>
        <m:r>
          <m:t xml:space="preserve">̂</m:t>
        </m:r>
        <m:r>
          <m:t xml:space="preserve">=</m:t>
        </m:r>
        <m:sSup>
          <m:e>
            <m:d>
              <m:dPr>
                <m:begChr m:val="("/>
                <m:endChr m:val=")"/>
              </m:dPr>
              <m:e>
                <m:r>
                  <m:t xml:space="preserve">a</m:t>
                </m:r>
                <m:r>
                  <m:t xml:space="preserve">,</m:t>
                </m:r>
                <m:d>
                  <m:dPr>
                    <m:begChr m:val="("/>
                    <m:endChr m:val=")"/>
                  </m:dPr>
                  <m:e>
                    <m:sSub>
                      <m:e>
                        <m:r>
                          <m:t xml:space="preserve">I</m:t>
                        </m:r>
                      </m:e>
                      <m:sub>
                        <m:r>
                          <m:t xml:space="preserve">0</m:t>
                        </m:r>
                      </m:sub>
                    </m:sSub>
                    <m:r>
                      <m:t xml:space="preserve">−</m:t>
                    </m:r>
                    <m:r>
                      <m:t xml:space="preserve">α</m:t>
                    </m:r>
                    <m:r>
                      <m:t xml:space="preserve">a</m:t>
                    </m:r>
                  </m:e>
                </m:d>
                <m:r>
                  <m:t xml:space="preserve">/</m:t>
                </m:r>
                <m:r>
                  <m:t xml:space="preserve">δ</m:t>
                </m:r>
                <m:r>
                  <m:t xml:space="preserve">,</m:t>
                </m:r>
                <m:r>
                  <m:t xml:space="preserve">0</m:t>
                </m:r>
              </m:e>
            </m:d>
          </m:e>
          <m:sup>
            <m:r>
              <m:t xml:space="preserve">T</m:t>
            </m:r>
          </m:sup>
        </m:sSup>
      </m:oMath>
      <w:r>
        <w:t xml:space="preserve">, for which </w:t>
      </w:r>
      <m:oMath>
        <m:sSup>
          <m:e>
            <m:r>
              <m:t xml:space="preserve">C</m:t>
            </m:r>
          </m:e>
          <m:sup>
            <m:r>
              <m:t xml:space="preserve">H</m:t>
            </m:r>
          </m:sup>
        </m:sSup>
        <m:r>
          <m:t xml:space="preserve">h</m:t>
        </m:r>
        <m:r>
          <m:t xml:space="preserve">̂</m:t>
        </m:r>
        <m:r>
          <m:t xml:space="preserve">=</m:t>
        </m:r>
        <m:sSup>
          <m:e>
            <m:d>
              <m:dPr>
                <m:begChr m:val="("/>
                <m:endChr m:val=")"/>
              </m:dPr>
              <m:e>
                <m:sSub>
                  <m:e>
                    <m:r>
                      <m:t xml:space="preserve">I</m:t>
                    </m:r>
                  </m:e>
                  <m:sub>
                    <m:r>
                      <m:t xml:space="preserve">0</m:t>
                    </m:r>
                  </m:sub>
                </m:sSub>
                <m:r>
                  <m:t xml:space="preserve">,</m:t>
                </m:r>
                <m:r>
                  <m:t xml:space="preserve">0</m:t>
                </m:r>
              </m:e>
            </m:d>
          </m:e>
          <m:sup>
            <m:r>
              <m:t xml:space="preserve">T</m:t>
            </m:r>
          </m:sup>
        </m:sSup>
      </m:oMath>
      <w:r>
        <w:t xml:space="preserve">,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δ</m:t>
            </m:r>
            <m:r>
              <m:t xml:space="preserve">,</m:t>
            </m:r>
            <m:r>
              <m:t xml:space="preserve">β</m:t>
            </m:r>
          </m:e>
        </m:d>
        <m:r>
          <m:t xml:space="preserve">=</m:t>
        </m:r>
        <m:r>
          <m:t xml:space="preserve">β</m:t>
        </m:r>
      </m:oMath>
      <w:r>
        <w:t xml:space="preserve"> and </w:t>
      </w:r>
      <m:oMath>
        <m:r>
          <m:t xml:space="preserve">∥</m:t>
        </m:r>
        <m:r>
          <m:t xml:space="preserve">C</m:t>
        </m:r>
        <m:sSub>
          <m:e>
            <m:r>
              <m:t xml:space="preserve">∥</m:t>
            </m:r>
          </m:e>
          <m:sub>
            <m:r>
              <m:t xml:space="preserve">2</m:t>
            </m:r>
          </m:sub>
        </m:sSub>
        <m:r>
          <m:t xml:space="preserve">=</m:t>
        </m:r>
        <m:r>
          <m:rPr>
            <m:nor/>
          </m:rPr>
          <m:t xml:space="preserve">max</m:t>
        </m:r>
        <m:d>
          <m:dPr>
            <m:begChr m:val="{"/>
            <m:endChr m:val="}"/>
          </m:dPr>
          <m:e>
            <m:rad>
              <m:radPr>
                <m:degHide m:val="1"/>
              </m:radPr>
              <m:deg/>
              <m:e>
                <m:sSup>
                  <m:e>
                    <m:r>
                      <m:t xml:space="preserve">α</m:t>
                    </m:r>
                  </m:e>
                  <m:sup>
                    <m:r>
                      <m:t xml:space="preserve">2</m:t>
                    </m:r>
                  </m:sup>
                </m:sSup>
                <m:r>
                  <m:t xml:space="preserve">+</m:t>
                </m:r>
                <m:sSup>
                  <m:e>
                    <m:r>
                      <m:t xml:space="preserve">δ</m:t>
                    </m:r>
                  </m:e>
                  <m:sup>
                    <m:r>
                      <m:t xml:space="preserve">2</m:t>
                    </m:r>
                  </m:sup>
                </m:sSup>
              </m:e>
            </m:rad>
            <m:r>
              <m:t xml:space="preserve">,</m:t>
            </m:r>
            <m:r>
              <m:t xml:space="preserve">β</m:t>
            </m:r>
          </m:e>
        </m:d>
        <m:r>
          <m:t xml:space="preserve">=</m:t>
        </m:r>
        <m:sSub>
          <m:e>
            <m:r>
              <m:t xml:space="preserve">β</m:t>
            </m:r>
          </m:e>
          <m:sub>
            <m:r>
              <m:t xml:space="preserve">0</m:t>
            </m:r>
          </m:sub>
        </m:sSub>
      </m:oMath>
      <w:r>
        <w:t xml:space="preserve">. </w:t>
      </w:r>
      <w:r>
        <w:rPr>
          <w:b/>
        </w:rPr>
        <w:t>(E)</w:t>
      </w:r>
      <w:r>
        <w:t xml:space="preserve"> </w:t>
      </w:r>
      <m:oMath>
        <m:sSub>
          <m:e>
            <m:r>
              <m:t xml:space="preserve">β</m:t>
            </m:r>
          </m:e>
          <m:sub>
            <m:r>
              <m:t xml:space="preserve">0</m:t>
            </m:r>
          </m:sub>
        </m:sSub>
        <m:r>
          <m:t xml:space="preserve">=</m:t>
        </m:r>
        <m:r>
          <m:t xml:space="preserve">α</m:t>
        </m:r>
        <m:r>
          <m:t xml:space="preserve">&gt;</m:t>
        </m:r>
        <m:r>
          <m:t xml:space="preserve">0</m:t>
        </m:r>
      </m:oMath>
      <w:r>
        <w:t xml:space="preserve">, </w:t>
      </w:r>
      <m:oMath>
        <m:r>
          <m:t xml:space="preserve">β</m:t>
        </m:r>
        <m:r>
          <m:t xml:space="preserve">&gt;</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r>
          <m:rPr>
            <m:nor/>
          </m:rPr>
          <m:t xml:space="preserve">diag</m:t>
        </m:r>
        <m:d>
          <m:dPr>
            <m:begChr m:val="("/>
            <m:endChr m:val=")"/>
          </m:dPr>
          <m:e>
            <m:r>
              <m:t xml:space="preserve">α</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J</m:t>
                    </m:r>
                  </m:e>
                  <m:sub>
                    <m:r>
                      <m:t xml:space="preserve">⊥</m:t>
                    </m:r>
                  </m:sub>
                </m:sSub>
                <m:r>
                  <m:t xml:space="preserve">/</m:t>
                </m:r>
                <m:r>
                  <m:t xml:space="preserve">β</m:t>
                </m:r>
              </m:e>
            </m:d>
          </m:e>
          <m:sup>
            <m:r>
              <m:t xml:space="preserve">T</m:t>
            </m:r>
          </m:sup>
        </m:sSup>
      </m:oMath>
      <w:r>
        <w:t xml:space="preserve"> with </w:t>
      </w: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oMath>
      <w:r>
        <w:t xml:space="preserve">, giving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oMath>
      <w:r>
        <w:t xml:space="preserve">. Every branch realizes the six summaries exactly; (D) covers all </w:t>
      </w:r>
      <m:oMath>
        <m:sSub>
          <m:e>
            <m:r>
              <m:t xml:space="preserve">I</m:t>
            </m:r>
          </m:e>
          <m:sub>
            <m:r>
              <m:t xml:space="preserve">0</m:t>
            </m:r>
          </m:sub>
        </m:sSub>
        <m:r>
          <m:t xml:space="preserve">≥</m:t>
        </m:r>
        <m:r>
          <m:t xml:space="preserve">0</m:t>
        </m:r>
      </m:oMath>
      <w:r>
        <w:t xml:space="preserve"> with a single formula. □</w:t>
      </w:r>
    </w:p>
    <w:p>
      <w:pPr>
        <w:pStyle w:val="Heading2"/>
      </w:pPr>
      <w:r>
        <w:t>2.3 Six-scalar information model and certification hierarchy</w:t>
      </w:r>
    </w:p>
    <w:p>
      <w:r>
        <w:t xml:space="preserve">The six retained summaries define an information map, not a physical channel model. Let </w:t>
      </w:r>
      <m:oMath>
        <m:r>
          <m:t xml:space="preserve">ℐ</m:t>
        </m:r>
        <m:d>
          <m:dPr>
            <m:begChr m:val="("/>
            <m:endChr m:val=")"/>
          </m:dPr>
          <m:e>
            <m:r>
              <m:t xml:space="preserve">𝒳</m:t>
            </m:r>
          </m:e>
        </m:d>
      </m:oMath>
      <w:r>
        <w:t xml:space="preserve"> denote the six-scalar summary of a full configuration instance </w:t>
      </w:r>
      <m:oMath>
        <m:r>
          <m:t xml:space="preserve">𝒳</m:t>
        </m:r>
        <m:r>
          <m:t xml:space="preserve">=</m:t>
        </m:r>
        <m:d>
          <m:dPr>
            <m:begChr m:val="("/>
            <m:endChr m:val=")"/>
          </m:dPr>
          <m:e>
            <m:r>
              <m:t xml:space="preserve">b</m:t>
            </m:r>
            <m:r>
              <m:t xml:space="preserve">,</m:t>
            </m:r>
            <m:r>
              <m:t xml:space="preserve">h</m:t>
            </m:r>
            <m:r>
              <m:t xml:space="preserve">̂</m:t>
            </m:r>
            <m:r>
              <m:t xml:space="preserve">,</m:t>
            </m:r>
            <m:r>
              <m:t xml:space="preserve">C</m:t>
            </m:r>
          </m:e>
        </m:d>
      </m:oMath>
      <w:r>
        <w:t xml:space="preserve"> at a user, and let</w:t>
      </w:r>
    </w:p>
    <w:p>
      <w:pPr>
        <w:pStyle w:val="Equation"/>
      </w:pPr>
      <m:oMath>
        <m:r>
          <m:t xml:space="preserve">𝒞</m:t>
        </m:r>
        <m:d>
          <m:dPr>
            <m:begChr m:val="("/>
            <m:endChr m:val=")"/>
          </m:dPr>
          <m:e>
            <m:r>
              <m:t xml:space="preserve">s</m:t>
            </m:r>
          </m:e>
        </m:d>
        <m:r>
          <m:t xml:space="preserve">=</m:t>
        </m:r>
        <m:d>
          <m:dPr>
            <m:begChr m:val="{"/>
            <m:endChr m:val="}"/>
          </m:dPr>
          <m:e>
            <m:r>
              <m:t xml:space="preserve">𝒳</m:t>
            </m:r>
            <m:r>
              <m:t xml:space="preserve">:</m:t>
            </m:r>
            <m:r>
              <m:t xml:space="preserve">ℐ</m:t>
            </m:r>
            <m:d>
              <m:dPr>
                <m:begChr m:val="("/>
                <m:endChr m:val=")"/>
              </m:dPr>
              <m:e>
                <m:r>
                  <m:t xml:space="preserve">𝒳</m:t>
                </m:r>
              </m:e>
            </m:d>
            <m:r>
              <m:t xml:space="preserve">=</m:t>
            </m:r>
            <m:r>
              <m:t xml:space="preserve">s</m:t>
            </m:r>
          </m:e>
        </m:d>
      </m:oMath>
      <w:r>
        <w:tab/>
        <w:t>(2c)</w:t>
      </w:r>
    </w:p>
    <w:p>
      <w:r>
        <w:t xml:space="preserve">be the class of all instances indistinguishable to a certificate that observes only </w:t>
      </w:r>
      <m:oMath>
        <m:r>
          <m:t xml:space="preserve">s</m:t>
        </m:r>
      </m:oMath>
      <w:r>
        <w:t xml:space="preserve">. Throughout, the error radius </w:t>
      </w:r>
      <m:oMath>
        <m:r>
          <m:t xml:space="preserve">r</m:t>
        </m:r>
      </m:oMath>
      <w:r>
        <w:t xml:space="preserve">, the SINR level </w:t>
      </w:r>
      <m:oMath>
        <m:r>
          <m:t xml:space="preserve">γ</m:t>
        </m:r>
      </m:oMath>
      <w:r>
        <w:t xml:space="preserve">, the noise power </w:t>
      </w:r>
      <m:oMath>
        <m:sSup>
          <m:e>
            <m:r>
              <m:t xml:space="preserve">σ</m:t>
            </m:r>
          </m:e>
          <m:sup>
            <m:r>
              <m:t xml:space="preserve">2</m:t>
            </m:r>
          </m:sup>
        </m:sSup>
      </m:oMath>
      <w:r>
        <w:t xml:space="preserve"> and the dimensions </w:t>
      </w:r>
      <m:oMath>
        <m:r>
          <m:t xml:space="preserve">n</m:t>
        </m:r>
        <m:r>
          <m:t xml:space="preserve">,</m:t>
        </m:r>
        <m:r>
          <m:t xml:space="preserve">m</m:t>
        </m:r>
      </m:oMath>
      <w:r>
        <w:t xml:space="preserve"> are fixed external parameters of the certification problem; they are not part of the summary </w:t>
      </w:r>
      <m:oMath>
        <m:r>
          <m:t xml:space="preserve">s</m:t>
        </m:r>
      </m:oMath>
      <w:r>
        <w:t xml:space="preserve"> and are never varied inside an information class. A six-scalar certificate is any function </w:t>
      </w:r>
      <m:oMath>
        <m:r>
          <m:t xml:space="preserve">B</m:t>
        </m:r>
        <m:d>
          <m:dPr>
            <m:begChr m:val="("/>
            <m:endChr m:val=")"/>
          </m:dPr>
          <m:e>
            <m:r>
              <m:t xml:space="preserve">s</m:t>
            </m:r>
          </m:e>
        </m:d>
      </m:oMath>
      <w:r>
        <w:t xml:space="preserve"> of the retained summaries that must remain valid across the entire class, </w:t>
      </w:r>
      <m:oMath>
        <m:r>
          <m:t xml:space="preserve">B</m:t>
        </m:r>
        <m:d>
          <m:dPr>
            <m:begChr m:val="("/>
            <m:endChr m:val=")"/>
          </m:dPr>
          <m:e>
            <m:r>
              <m:t xml:space="preserve">s</m:t>
            </m:r>
          </m:e>
        </m:d>
        <m:r>
          <m:t xml:space="preserve">≤</m:t>
        </m:r>
        <m:sSup>
          <m:e>
            <m:r>
              <m:t xml:space="preserve">q</m:t>
            </m:r>
          </m:e>
          <m:sup>
            <m:r>
              <m:t xml:space="preserve">*</m:t>
            </m:r>
          </m:sup>
        </m:sSup>
        <m:d>
          <m:dPr>
            <m:begChr m:val="("/>
            <m:endChr m:val=")"/>
          </m:dPr>
          <m:e>
            <m:r>
              <m:t xml:space="preserve">𝒳</m:t>
            </m:r>
          </m:e>
        </m:d>
      </m:oMath>
      <w:r>
        <w:t xml:space="preserve"> for all </w:t>
      </w:r>
      <m:oMath>
        <m:r>
          <m:t xml:space="preserve">𝒳</m:t>
        </m:r>
        <m:r>
          <m:t xml:space="preserve">∈</m:t>
        </m:r>
        <m:r>
          <m:t xml:space="preserve">𝒞</m:t>
        </m:r>
        <m:d>
          <m:dPr>
            <m:begChr m:val="("/>
            <m:endChr m:val=")"/>
          </m:dPr>
          <m:e>
            <m:r>
              <m:t xml:space="preserve">s</m:t>
            </m:r>
          </m:e>
        </m:d>
      </m:oMath>
      <w:r>
        <w:t>, and the strongest possible uniform certificate under this information budget is therefore</w:t>
      </w:r>
    </w:p>
    <w:p>
      <w:pPr>
        <w:pStyle w:val="Equation"/>
      </w:pPr>
      <m:oMath>
        <m:sSup>
          <m:e>
            <m:r>
              <m:t xml:space="preserve">B</m:t>
            </m:r>
          </m:e>
          <m:sup>
            <m:r>
              <m:t xml:space="preserve">*</m:t>
            </m:r>
          </m:sup>
        </m:sSup>
        <m:d>
          <m:dPr>
            <m:begChr m:val="("/>
            <m:endChr m:val=")"/>
          </m:dPr>
          <m:e>
            <m:r>
              <m:t xml:space="preserve">s</m:t>
            </m:r>
          </m:e>
        </m:d>
        <m:r>
          <m:t xml:space="preserve">=</m:t>
        </m:r>
        <m:sSub>
          <m:e>
            <m:r>
              <m:rPr>
                <m:nor/>
              </m:rPr>
              <m:t xml:space="preserve">inf</m:t>
            </m:r>
          </m:e>
          <m:sub>
            <m:r>
              <m:t xml:space="preserve">𝒳</m:t>
            </m:r>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𝒳</m:t>
            </m:r>
          </m:e>
        </m:d>
      </m:oMath>
      <w:r>
        <w:tab/>
        <w:t>(2d)</w:t>
      </w:r>
    </w:p>
    <w:p>
      <w:r>
        <w:t xml:space="preserve">Sections 3–5 characterize this quantity from the retained spectral information: Section 3 solves the directional extremum forced by the operator origin of the summaries; Section 4 proves that the resulting envelope equals </w:t>
      </w:r>
      <m:oMath>
        <m:sSup>
          <m:e>
            <m:r>
              <m:t xml:space="preserve">B</m:t>
            </m:r>
          </m:e>
          <m:sup>
            <m:r>
              <m:t xml:space="preserve">*</m:t>
            </m:r>
          </m:sup>
        </m:sSup>
        <m:d>
          <m:dPr>
            <m:begChr m:val="("/>
            <m:endChr m:val=")"/>
          </m:dPr>
          <m:e>
            <m:r>
              <m:t xml:space="preserve">s</m:t>
            </m:r>
          </m:e>
        </m:d>
      </m:oMath>
      <w:r>
        <w:t xml:space="preserve"> on the nondegenerate class and characterizes the separate optimum of the boundary class </w:t>
      </w:r>
      <m:oMath>
        <m:sSub>
          <m:e>
            <m:r>
              <m:t xml:space="preserve">β</m:t>
            </m:r>
          </m:e>
          <m:sub>
            <m:r>
              <m:t xml:space="preserve">0</m:t>
            </m:r>
          </m:sub>
        </m:sSub>
        <m:r>
          <m:t xml:space="preserve">=</m:t>
        </m:r>
        <m:r>
          <m:t xml:space="preserve">α</m:t>
        </m:r>
      </m:oMath>
      <w:r>
        <w:t>.</w:t>
      </w:r>
    </w:p>
    <w:p>
      <w:r>
        <w:t xml:space="preserve">The information map defines a branched family of certification interfaces rather than a single linear ladder. With the same six scalars one may use the three gains separately (the separate-gain comparison envelope of this paper) or jointly through spectral compatibility (the envelope of this paper). Two distinct one-scalar augmentations are of interest: adjoining </w:t>
      </w:r>
      <m:oMath>
        <m:r>
          <m:t xml:space="preserve">κ</m:t>
        </m:r>
        <m:r>
          <m:t xml:space="preserve">=</m:t>
        </m:r>
        <m:r>
          <m:t xml:space="preserve">∥</m:t>
        </m:r>
        <m:r>
          <m:t xml:space="preserve">A</m:t>
        </m:r>
        <m:r>
          <m:t xml:space="preserve"> </m:t>
        </m:r>
        <m:r>
          <m:t xml:space="preserve">h</m:t>
        </m:r>
        <m:r>
          <m:t xml:space="preserve">̂</m:t>
        </m:r>
        <m:r>
          <m:t xml:space="preserve">∥</m:t>
        </m:r>
      </m:oMath>
      <w:r>
        <w:t xml:space="preserve">, the norm of the gradient of the quadratic objective, yields the quadratic-form bound </w:t>
      </w:r>
      <m:oMath>
        <m:sSub>
          <m:e>
            <m:r>
              <m:t xml:space="preserve">L</m:t>
            </m:r>
          </m:e>
          <m:sub>
            <m:r>
              <m:t xml:space="preserve">q</m:t>
            </m:r>
            <m:r>
              <m:t xml:space="preserve">u</m:t>
            </m:r>
            <m:r>
              <m:t xml:space="preserve">a</m:t>
            </m:r>
            <m:r>
              <m:t xml:space="preserve">d</m:t>
            </m:r>
          </m:sub>
        </m:sSub>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 xml:space="preserve"> of Section 7; adjoining </w:t>
      </w:r>
      <m:oMath>
        <m:r>
          <m:t xml:space="preserve">H</m:t>
        </m:r>
        <m:r>
          <m:t xml:space="preserve">=</m:t>
        </m:r>
        <m:r>
          <m:t xml:space="preserve">∥</m:t>
        </m:r>
        <m:r>
          <m:t xml:space="preserve">h</m:t>
        </m:r>
        <m:r>
          <m:t xml:space="preserve">̂</m:t>
        </m:r>
        <m:r>
          <m:t xml:space="preserve">∥</m:t>
        </m:r>
      </m:oMath>
      <w:r>
        <w:t xml:space="preserve"> restricts the class itself, for which we give a necessary compatibility condition but no complete envelope. Finally, the full quadratic data support cheap bounds and exact trust-region or S-procedure solvers. The two augmentations are different information branches and are not merged into a single seven-scalar class. Adding information can only leave the strongest uniform certificate </w:t>
      </w:r>
      <m:oMath>
        <m:sSup>
          <m:e>
            <m:r>
              <m:t xml:space="preserve">B</m:t>
            </m:r>
          </m:e>
          <m:sup>
            <m:r>
              <m:t xml:space="preserve">*</m:t>
            </m:r>
          </m:sup>
        </m:sSup>
      </m:oMath>
      <w:r>
        <w:t xml:space="preserve"> unchanged or tighter; it does not imply that any particular computable bound tightens, and indeed </w:t>
      </w:r>
      <m:oMath>
        <m:sSub>
          <m:e>
            <m:r>
              <m:t xml:space="preserve">Q</m:t>
            </m:r>
          </m:e>
          <m:sub>
            <m:r>
              <m:t xml:space="preserve">G</m:t>
            </m:r>
          </m:sub>
        </m:sSub>
      </m:oMath>
      <w:r>
        <w:t xml:space="preserve"> and </w:t>
      </w:r>
      <m:oMath>
        <m:sSub>
          <m:e>
            <m:r>
              <m:t xml:space="preserve">L</m:t>
            </m:r>
          </m:e>
          <m:sub>
            <m:r>
              <m:t xml:space="preserve">q</m:t>
            </m:r>
            <m:r>
              <m:t xml:space="preserve">u</m:t>
            </m:r>
            <m:r>
              <m:t xml:space="preserve">a</m:t>
            </m:r>
            <m:r>
              <m:t xml:space="preserve">d</m:t>
            </m:r>
          </m:sub>
        </m:sSub>
      </m:oMath>
      <w:r>
        <w:t xml:space="preserve"> exhibit no universal dominance relation in either direction. The interfaces also differ in cost structure: the six scalars and </w:t>
      </w:r>
      <m:oMath>
        <m:r>
          <m:t xml:space="preserve">κ</m:t>
        </m:r>
      </m:oMath>
      <w:r>
        <w:t xml:space="preserve"> are built once from matrix geometry; their storage and transfer are then fixed-size; subsequent bound evaluation is scalar work; exact fallback, in contrast, requires the full quadratic data.</w:t>
      </w:r>
    </w:p>
    <w:p>
      <w:r>
        <w:t xml:space="preserve">Why not retain one more scalar? Nothing prevents it: this paper answers the optimality question for exactly one fixed interface, and richer summaries — </w:t>
      </w:r>
      <m:oMath>
        <m:r>
          <m:t xml:space="preserve">κ</m:t>
        </m:r>
      </m:oMath>
      <w:r>
        <w:t xml:space="preserve">, </w:t>
      </w:r>
      <m:oMath>
        <m:r>
          <m:t xml:space="preserve">H</m:t>
        </m:r>
      </m:oMath>
      <w:r>
        <w:t>, or others — are legitimate alternatives whose complete envelopes are open. The six-scalar interface is studied because, together with the nominal amplitudes required by the QoS envelope, it retains the three spectral quantities of one operator, so that joint spectral compatibility and the strongest uniform guarantee can be analyzed in closed form at a fixed summary size. We make no claim that six scalars are the best compression, that only this interface can be fixed-size, or any measured storage or communication saving.</w:t>
      </w:r>
    </w:p>
    <w:p>
      <w:r>
        <w:t>Such a fixed-size interface can arise when candidate configurations are screened repeatedly, when configuration descriptors are cached or exchanged across network components, or when one wishes to evaluate a stored candidate at multiple uncertainty radii without retaining the complete quadratic geometry. These scenarios motivate the abstraction but are not assumptions required by the theory.</w:t>
      </w:r>
    </w:p>
    <w:p>
      <w:pPr>
        <w:pStyle w:val="Heading2"/>
      </w:pPr>
      <w:r>
        <w:t>2.4 Physical interpretation of the retained summaries</w:t>
      </w:r>
    </w:p>
    <w:p>
      <w:r>
        <w:t xml:space="preserve">The retained quantities separate the desired direction from its orthogonal complement and summarize how one interference operator acts on these two subspaces. In wireless terms: </w:t>
      </w:r>
      <m:oMath>
        <m:r>
          <m:t xml:space="preserve">p</m:t>
        </m:r>
      </m:oMath>
      <w:r>
        <w:t xml:space="preserve"> is the desired-stream transmit power; </w:t>
      </w:r>
      <m:oMath>
        <m:r>
          <m:t xml:space="preserve">a</m:t>
        </m:r>
      </m:oMath>
      <w:r>
        <w:t xml:space="preserve"> is the nominal desired-signal amplitude along the desired beam; </w:t>
      </w:r>
      <m:oMath>
        <m:sSub>
          <m:e>
            <m:r>
              <m:t xml:space="preserve">I</m:t>
            </m:r>
          </m:e>
          <m:sub>
            <m:r>
              <m:t xml:space="preserve">0</m:t>
            </m:r>
          </m:sub>
        </m:sSub>
      </m:oMath>
      <w:r>
        <w:t xml:space="preserve"> is the nominal interference amplitude, whose square contributes to the interference power. The three spectral quantities describe how the interference operator maps channel error to interference: </w:t>
      </w:r>
      <m:oMath>
        <m:r>
          <m:t xml:space="preserve">α</m:t>
        </m:r>
      </m:oMath>
      <w:r>
        <w:t xml:space="preserve"> is its response to error parallel to the desired beam; </w:t>
      </w:r>
      <m:oMath>
        <m:r>
          <m:t xml:space="preserve">β</m:t>
        </m:r>
      </m:oMath>
      <w:r>
        <w:t xml:space="preserve"> is the largest amplification any error component orthogonal to the beam can suffer; </w:t>
      </w:r>
      <m:oMath>
        <m:sSub>
          <m:e>
            <m:r>
              <m:t xml:space="preserve">β</m:t>
            </m:r>
          </m:e>
          <m:sub>
            <m:r>
              <m:t xml:space="preserve">0</m:t>
            </m:r>
          </m:sub>
        </m:sSub>
      </m:oMath>
      <w:r>
        <w:t xml:space="preserve"> is the largest amplification any error at all can suffer.</w:t>
      </w:r>
    </w:p>
    <w:p>
      <w:r>
        <w:t>The three spectral quantities should not be viewed as independent uncertainty parameters. They are coupled observations of the same interference operator. Spectral compatibility is therefore a structural consistency condition: a large response in one direction restricts what the same operator can realize in orthogonal directions.</w:t>
      </w:r>
    </w:p>
    <w:p>
      <w:r>
        <w:t>A bound that uses these gains separately may combine individually valid worst cases that cannot be realized simultaneously by one operator and one shared error vector. The proposed directional extremum removes exactly this incompatibility while retaining the same six scalar summaries. Its improvement over the separate-gain envelope therefore comes from using more of the structure already contained in the retained information, rather than from introducing additional channel information.</w:t>
      </w:r>
    </w:p>
    <w:p>
      <w:pPr>
        <w:pStyle w:val="Heading2"/>
      </w:pPr>
      <w:r>
        <w:t>2.5 Related work</w:t>
      </w:r>
    </w:p>
    <w:p>
      <w:r>
        <w:t xml:space="preserve">Robust transmission under imperfect CSI splits along the information available. Full-geometry worst-case design under norm-bounded errors is classical: S-procedure and semidefinite reformulations deliver exact or conservative constraints for MISO downlink, relay, secure, and RIS-aided systems, with [1] an early IRS-aided framework, [4] a current multi-functional RIS design under bounded cascaded CSI error, and [9] a representative worst-case SINR treatment that decomposes the steering-vector error into parallel and orthogonal components. Exact solution of the ball-constrained quadratic rests on the trust-region and S-lemma literature [2],[3]. Decomposing an error into parallel and orthogonal components and bounding the two effects separately is a recurring device in this line; the comparison envelope of the present paper — the shared-budget bound </w:t>
      </w:r>
      <m:oMath>
        <m:r>
          <m:rPr>
            <m:nor/>
          </m:rPr>
          <m:t xml:space="preserve">min</m:t>
        </m:r>
        <m:d>
          <m:dPr>
            <m:begChr m:val="{"/>
            <m:endChr m:val="}"/>
          </m:dPr>
          <m:e>
            <m:sSub>
              <m:e>
                <m:r>
                  <m:t xml:space="preserve">β</m:t>
                </m:r>
              </m:e>
              <m:sub>
                <m:r>
                  <m:t xml:space="preserve">0</m:t>
                </m:r>
              </m:sub>
            </m:sSub>
            <m:r>
              <m:t xml:space="preserve">r</m:t>
            </m:r>
            <m:r>
              <m:t xml:space="preserve">,</m:t>
            </m:r>
            <m:r>
              <m:t xml:space="preserve">α</m:t>
            </m:r>
            <m:r>
              <m:t xml:space="preserve">x</m:t>
            </m:r>
            <m:r>
              <m:t xml:space="preserve">+</m:t>
            </m:r>
            <m:r>
              <m:t xml:space="preserve">β</m:t>
            </m:r>
            <m:r>
              <m:t xml:space="preserve">y</m:t>
            </m:r>
          </m:e>
        </m:d>
      </m:oMath>
      <w:r>
        <w:t xml:space="preserve"> assembled from the two standard norm constraints — is our baseline in that spirit; we have not found this exact envelope stated as a method in the literature and do not attribute it to any specific paper. A second line compresses information probabilistically, using distributional summaries with conservative approximations. Our question differs from both: the uncertainty is deterministic and bounded, and the compressed object is a fixed set of spectral summaries of one operator.</w:t>
      </w:r>
    </w:p>
    <w:p>
      <w:pPr>
        <w:pStyle w:val="Caption"/>
        <w:keepNext/>
      </w:pPr>
      <w:r>
        <w:t>Table 1. Positioning relative to the closest 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Line</w:t>
            </w:r>
          </w:p>
        </w:tc>
        <w:tc>
          <w:tcPr>
            <w:tcW w:type="dxa" w:w="792"/>
            <w:vAlign w:val="center"/>
            <w:tcMar>
              <w:top w:w="65" w:type="dxa"/>
              <w:bottom w:w="65" w:type="dxa"/>
              <w:left w:w="65" w:type="dxa"/>
              <w:right w:w="65" w:type="dxa"/>
            </w:tcMar>
            <w:shd w:fill="E8EDF2"/>
          </w:tcPr>
          <w:p>
            <w:pPr>
              <w:spacing w:after="0" w:line="240" w:lineRule="auto"/>
              <w:jc w:val="center"/>
            </w:pPr>
            <w:r>
              <w:rPr>
                <w:b/>
                <w:sz w:val="18"/>
              </w:rPr>
              <w:t>Info</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Retained data</w:t>
            </w:r>
          </w:p>
        </w:tc>
        <w:tc>
          <w:tcPr>
            <w:tcW w:type="dxa" w:w="1512"/>
            <w:vAlign w:val="center"/>
            <w:tcMar>
              <w:top w:w="65" w:type="dxa"/>
              <w:bottom w:w="65" w:type="dxa"/>
              <w:left w:w="65" w:type="dxa"/>
              <w:right w:w="65" w:type="dxa"/>
            </w:tcMar>
            <w:shd w:fill="E8EDF2"/>
          </w:tcPr>
          <w:p>
            <w:pPr>
              <w:spacing w:after="0" w:line="240" w:lineRule="auto"/>
              <w:jc w:val="center"/>
            </w:pPr>
            <w:r>
              <w:rPr>
                <w:b/>
                <w:sz w:val="18"/>
              </w:rPr>
              <w:t>Result type</w:t>
            </w:r>
          </w:p>
        </w:tc>
        <w:tc>
          <w:tcPr>
            <w:tcW w:type="dxa" w:w="893"/>
            <w:vAlign w:val="center"/>
            <w:tcMar>
              <w:top w:w="65" w:type="dxa"/>
              <w:bottom w:w="65" w:type="dxa"/>
              <w:left w:w="65" w:type="dxa"/>
              <w:right w:w="65" w:type="dxa"/>
            </w:tcMar>
            <w:shd w:fill="E8EDF2"/>
          </w:tcPr>
          <w:p>
            <w:pPr>
              <w:spacing w:after="0" w:line="240" w:lineRule="auto"/>
              <w:jc w:val="center"/>
            </w:pPr>
            <w:r>
              <w:rPr>
                <w:b/>
                <w:sz w:val="18"/>
              </w:rPr>
              <w:t>Shared budget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Spectral compat.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Class-sharp</w:t>
            </w:r>
          </w:p>
        </w:tc>
        <w:tc>
          <w:tcPr>
            <w:tcW w:type="dxa" w:w="792"/>
            <w:vAlign w:val="center"/>
            <w:tcMar>
              <w:top w:w="65" w:type="dxa"/>
              <w:bottom w:w="65" w:type="dxa"/>
              <w:left w:w="65" w:type="dxa"/>
              <w:right w:w="65" w:type="dxa"/>
            </w:tcMar>
            <w:shd w:fill="E8EDF2"/>
          </w:tcPr>
          <w:p>
            <w:pPr>
              <w:spacing w:after="0" w:line="240" w:lineRule="auto"/>
              <w:jc w:val="center"/>
            </w:pPr>
            <w:r>
              <w:rPr>
                <w:b/>
                <w:sz w:val="18"/>
              </w:rPr>
              <w:t>Boundary</w:t>
            </w:r>
          </w:p>
        </w:tc>
      </w:tr>
      <w:tr>
        <w:tc>
          <w:tcPr>
            <w:tcW w:type="dxa" w:w="2448"/>
            <w:vAlign w:val="center"/>
            <w:tcMar>
              <w:top w:w="65" w:type="dxa"/>
              <w:bottom w:w="65" w:type="dxa"/>
              <w:left w:w="65" w:type="dxa"/>
              <w:right w:w="65" w:type="dxa"/>
            </w:tcMar>
          </w:tcPr>
          <w:p>
            <w:pPr>
              <w:spacing w:after="0" w:line="240" w:lineRule="auto"/>
              <w:jc w:val="center"/>
            </w:pPr>
            <w:r>
              <w:rPr>
                <w:b w:val="0"/>
                <w:sz w:val="18"/>
              </w:rPr>
              <w:t>Robust RIS/beamforming [1],[4],[9]</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 / conservative</w:t>
            </w:r>
          </w:p>
        </w:tc>
        <w:tc>
          <w:tcPr>
            <w:tcW w:type="dxa" w:w="893"/>
            <w:vAlign w:val="center"/>
            <w:tcMar>
              <w:top w:w="65" w:type="dxa"/>
              <w:bottom w:w="65" w:type="dxa"/>
              <w:left w:w="65" w:type="dxa"/>
              <w:right w:w="65" w:type="dxa"/>
            </w:tcMar>
          </w:tcPr>
          <w:p>
            <w:pPr>
              <w:spacing w:after="0" w:line="240" w:lineRule="auto"/>
              <w:jc w:val="center"/>
            </w:pPr>
            <w:r>
              <w:rPr>
                <w:b w:val="0"/>
                <w:sz w:val="18"/>
              </w:rPr>
              <w:t>yes (L1)</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Trust region / S-lemma [2],[3]</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hard case</w:t>
            </w:r>
          </w:p>
        </w:tc>
      </w:tr>
      <w:tr>
        <w:tc>
          <w:tcPr>
            <w:tcW w:type="dxa" w:w="2448"/>
            <w:vAlign w:val="center"/>
            <w:tcMar>
              <w:top w:w="65" w:type="dxa"/>
              <w:bottom w:w="65" w:type="dxa"/>
              <w:left w:w="65" w:type="dxa"/>
              <w:right w:w="65" w:type="dxa"/>
            </w:tcMar>
          </w:tcPr>
          <w:p>
            <w:pPr>
              <w:spacing w:after="0" w:line="240" w:lineRule="auto"/>
              <w:jc w:val="center"/>
            </w:pPr>
            <w:r>
              <w:rPr>
                <w:b w:val="0"/>
                <w:sz w:val="18"/>
              </w:rPr>
              <w:t>Probabilistic SINR bounds</w:t>
            </w:r>
          </w:p>
        </w:tc>
        <w:tc>
          <w:tcPr>
            <w:tcW w:type="dxa" w:w="792"/>
            <w:vAlign w:val="center"/>
            <w:tcMar>
              <w:top w:w="65" w:type="dxa"/>
              <w:bottom w:w="65" w:type="dxa"/>
              <w:left w:w="65" w:type="dxa"/>
              <w:right w:w="65" w:type="dxa"/>
            </w:tcMar>
          </w:tcPr>
          <w:p>
            <w:pPr>
              <w:spacing w:after="0" w:line="240" w:lineRule="auto"/>
              <w:jc w:val="center"/>
            </w:pPr>
            <w:r>
              <w:rPr>
                <w:b w:val="0"/>
                <w:sz w:val="18"/>
              </w:rPr>
              <w:t>distill.</w:t>
            </w:r>
          </w:p>
        </w:tc>
        <w:tc>
          <w:tcPr>
            <w:tcW w:type="dxa" w:w="1440"/>
            <w:vAlign w:val="center"/>
            <w:tcMar>
              <w:top w:w="65" w:type="dxa"/>
              <w:bottom w:w="65" w:type="dxa"/>
              <w:left w:w="65" w:type="dxa"/>
              <w:right w:w="65" w:type="dxa"/>
            </w:tcMar>
          </w:tcPr>
          <w:p>
            <w:pPr>
              <w:spacing w:after="0" w:line="240" w:lineRule="auto"/>
              <w:jc w:val="center"/>
            </w:pPr>
            <w:r>
              <w:rPr>
                <w:b w:val="0"/>
                <w:sz w:val="18"/>
              </w:rPr>
              <w:t>moments</w:t>
            </w:r>
          </w:p>
        </w:tc>
        <w:tc>
          <w:tcPr>
            <w:tcW w:type="dxa" w:w="1512"/>
            <w:vAlign w:val="center"/>
            <w:tcMar>
              <w:top w:w="65" w:type="dxa"/>
              <w:bottom w:w="65" w:type="dxa"/>
              <w:left w:w="65" w:type="dxa"/>
              <w:right w:w="65" w:type="dxa"/>
            </w:tcMar>
          </w:tcPr>
          <w:p>
            <w:pPr>
              <w:spacing w:after="0" w:line="240" w:lineRule="auto"/>
              <w:jc w:val="center"/>
            </w:pPr>
            <w:r>
              <w:rPr>
                <w:b w:val="0"/>
                <w:sz w:val="18"/>
              </w:rPr>
              <w:t>conservative</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Buzano-type inequalities [5]</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norms</w:t>
            </w:r>
          </w:p>
        </w:tc>
        <w:tc>
          <w:tcPr>
            <w:tcW w:type="dxa" w:w="1512"/>
            <w:vAlign w:val="center"/>
            <w:tcMar>
              <w:top w:w="65" w:type="dxa"/>
              <w:bottom w:w="65" w:type="dxa"/>
              <w:left w:w="65" w:type="dxa"/>
              <w:right w:w="65" w:type="dxa"/>
            </w:tcMar>
          </w:tcPr>
          <w:p>
            <w:pPr>
              <w:spacing w:after="0" w:line="240" w:lineRule="auto"/>
              <w:jc w:val="center"/>
            </w:pPr>
            <w:r>
              <w:rPr>
                <w:b w:val="0"/>
                <w:sz w:val="18"/>
              </w:rPr>
              <w:t>two-sided inequality</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PSD completion [6]</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specified entries</w:t>
            </w:r>
          </w:p>
        </w:tc>
        <w:tc>
          <w:tcPr>
            <w:tcW w:type="dxa" w:w="1512"/>
            <w:vAlign w:val="center"/>
            <w:tcMar>
              <w:top w:w="65" w:type="dxa"/>
              <w:bottom w:w="65" w:type="dxa"/>
              <w:left w:w="65" w:type="dxa"/>
              <w:right w:w="65" w:type="dxa"/>
            </w:tcMar>
          </w:tcPr>
          <w:p>
            <w:pPr>
              <w:spacing w:after="0" w:line="240" w:lineRule="auto"/>
              <w:jc w:val="center"/>
            </w:pPr>
            <w:r>
              <w:rPr>
                <w:b w:val="0"/>
                <w:sz w:val="18"/>
              </w:rPr>
              <w:t>feasibility</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Contraction completion [7]</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operator values</w:t>
            </w:r>
          </w:p>
        </w:tc>
        <w:tc>
          <w:tcPr>
            <w:tcW w:type="dxa" w:w="1512"/>
            <w:vAlign w:val="center"/>
            <w:tcMar>
              <w:top w:w="65" w:type="dxa"/>
              <w:bottom w:w="65" w:type="dxa"/>
              <w:left w:w="65" w:type="dxa"/>
              <w:right w:w="65" w:type="dxa"/>
            </w:tcMar>
          </w:tcPr>
          <w:p>
            <w:pPr>
              <w:spacing w:after="0" w:line="240" w:lineRule="auto"/>
              <w:jc w:val="center"/>
            </w:pPr>
            <w:r>
              <w:rPr>
                <w:b w:val="0"/>
                <w:sz w:val="18"/>
              </w:rPr>
              <w:t>set description</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Parrott</w:t>
            </w:r>
          </w:p>
        </w:tc>
      </w:tr>
      <w:tr>
        <w:tc>
          <w:tcPr>
            <w:tcW w:type="dxa" w:w="2448"/>
            <w:vAlign w:val="center"/>
            <w:tcMar>
              <w:top w:w="65" w:type="dxa"/>
              <w:bottom w:w="65" w:type="dxa"/>
              <w:left w:w="65" w:type="dxa"/>
              <w:right w:w="65" w:type="dxa"/>
            </w:tcMar>
          </w:tcPr>
          <w:p>
            <w:pPr>
              <w:spacing w:after="0" w:line="240" w:lineRule="auto"/>
              <w:jc w:val="center"/>
            </w:pPr>
            <w:r>
              <w:rPr>
                <w:b w:val="0"/>
                <w:sz w:val="18"/>
              </w:rPr>
              <w:t>Optimal recovery [8]</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finite data</w:t>
            </w:r>
          </w:p>
        </w:tc>
        <w:tc>
          <w:tcPr>
            <w:tcW w:type="dxa" w:w="1512"/>
            <w:vAlign w:val="center"/>
            <w:tcMar>
              <w:top w:w="65" w:type="dxa"/>
              <w:bottom w:w="65" w:type="dxa"/>
              <w:left w:w="65" w:type="dxa"/>
              <w:right w:w="65" w:type="dxa"/>
            </w:tcMar>
          </w:tcPr>
          <w:p>
            <w:pPr>
              <w:spacing w:after="0" w:line="240" w:lineRule="auto"/>
              <w:jc w:val="center"/>
            </w:pPr>
            <w:r>
              <w:rPr>
                <w:b w:val="0"/>
                <w:sz w:val="18"/>
              </w:rPr>
              <w:t>worst-case radius</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radius concept (related)</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(six scalars)</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six scalars</w:t>
            </w:r>
          </w:p>
        </w:tc>
        <w:tc>
          <w:tcPr>
            <w:tcW w:type="dxa" w:w="1512"/>
            <w:vAlign w:val="center"/>
            <w:tcMar>
              <w:top w:w="65" w:type="dxa"/>
              <w:bottom w:w="65" w:type="dxa"/>
              <w:left w:w="65" w:type="dxa"/>
              <w:right w:w="65" w:type="dxa"/>
            </w:tcMar>
          </w:tcPr>
          <w:p>
            <w:pPr>
              <w:spacing w:after="0" w:line="240" w:lineRule="auto"/>
              <w:jc w:val="center"/>
            </w:pPr>
            <w:r>
              <w:rPr>
                <w:b w:val="0"/>
                <w:sz w:val="18"/>
              </w:rPr>
              <w:t>safe + sharp envelope</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 (nondegenerate)</w:t>
            </w:r>
          </w:p>
        </w:tc>
        <w:tc>
          <w:tcPr>
            <w:tcW w:type="dxa" w:w="792"/>
            <w:vAlign w:val="center"/>
            <w:tcMar>
              <w:top w:w="65" w:type="dxa"/>
              <w:bottom w:w="65" w:type="dxa"/>
              <w:left w:w="65" w:type="dxa"/>
              <w:right w:w="65" w:type="dxa"/>
            </w:tcMar>
          </w:tcPr>
          <w:p>
            <w:pPr>
              <w:spacing w:after="0" w:line="240" w:lineRule="auto"/>
              <w:jc w:val="center"/>
            </w:pPr>
            <w:r>
              <w:rPr>
                <w:b w:val="0"/>
                <w:sz w:val="18"/>
              </w:rPr>
              <w:t>yes</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(6+κ branch)</w:t>
            </w:r>
          </w:p>
        </w:tc>
        <w:tc>
          <w:tcPr>
            <w:tcW w:type="dxa" w:w="792"/>
            <w:vAlign w:val="center"/>
            <w:tcMar>
              <w:top w:w="65" w:type="dxa"/>
              <w:bottom w:w="65" w:type="dxa"/>
              <w:left w:w="65" w:type="dxa"/>
              <w:right w:w="65" w:type="dxa"/>
            </w:tcMar>
          </w:tcPr>
          <w:p>
            <w:pPr>
              <w:spacing w:after="0" w:line="240" w:lineRule="auto"/>
              <w:jc w:val="center"/>
            </w:pPr>
            <w:r>
              <w:rPr>
                <w:b w:val="0"/>
                <w:sz w:val="18"/>
              </w:rPr>
              <w:t>+κ</w:t>
            </w:r>
          </w:p>
        </w:tc>
        <w:tc>
          <w:tcPr>
            <w:tcW w:type="dxa" w:w="1440"/>
            <w:vAlign w:val="center"/>
            <w:tcMar>
              <w:top w:w="65" w:type="dxa"/>
              <w:bottom w:w="65" w:type="dxa"/>
              <w:left w:w="65" w:type="dxa"/>
              <w:right w:w="65" w:type="dxa"/>
            </w:tcMar>
          </w:tcPr>
          <w:p>
            <w:pPr>
              <w:spacing w:after="0" w:line="240" w:lineRule="auto"/>
              <w:jc w:val="center"/>
            </w:pPr>
            <w:r>
              <w:rPr>
                <w:b w:val="0"/>
                <w:sz w:val="18"/>
              </w:rPr>
              <w:t>seven scalars</w:t>
            </w:r>
          </w:p>
        </w:tc>
        <w:tc>
          <w:tcPr>
            <w:tcW w:type="dxa" w:w="1512"/>
            <w:vAlign w:val="center"/>
            <w:tcMar>
              <w:top w:w="65" w:type="dxa"/>
              <w:bottom w:w="65" w:type="dxa"/>
              <w:left w:w="65" w:type="dxa"/>
              <w:right w:w="65" w:type="dxa"/>
            </w:tcMar>
          </w:tcPr>
          <w:p>
            <w:pPr>
              <w:spacing w:after="0" w:line="240" w:lineRule="auto"/>
              <w:jc w:val="center"/>
            </w:pPr>
            <w:r>
              <w:rPr>
                <w:b w:val="0"/>
                <w:sz w:val="18"/>
              </w:rPr>
              <w:t>quadratic-form bound</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not claimed</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bl>
    <w:p>
      <w:pPr>
        <w:spacing w:after="40"/>
      </w:pPr>
    </w:p>
    <w:p>
      <w:r>
        <w:t xml:space="preserve">The mathematics we need is classical but dispersed, and we use it at the formula level detailed in Appendix A. The cross-term bound in our extremum is a Buzano-type refinement of Cauchy–Schwarz [5]; the two-by-two positive-semidefinite completion behind our extremum is proved directly by a determinant computation, and the chordal completion theorem [6] and the contraction-completion framework of Parrott [7] place it in a wider theory without our result being a direct substitution of either; and the strongest-uniform-certificate quantity </w:t>
      </w:r>
      <m:oMath>
        <m:sSup>
          <m:e>
            <m:r>
              <m:t xml:space="preserve">B</m:t>
            </m:r>
          </m:e>
          <m:sup>
            <m:r>
              <m:t xml:space="preserve">*</m:t>
            </m:r>
          </m:sup>
        </m:sSup>
        <m:d>
          <m:dPr>
            <m:begChr m:val="("/>
            <m:endChr m:val=")"/>
          </m:dPr>
          <m:e>
            <m:r>
              <m:t xml:space="preserve">s</m:t>
            </m:r>
          </m:e>
        </m:d>
      </m:oMath>
      <w:r>
        <w:t xml:space="preserve"> is related to the information-based viewpoint of optimal recovery [8] — we do not claim equivalence with a radius of information in the sense of a recovery-error bound. To the best of our knowledge, within the searches reported in Appendix A, we have not found an existing result that evaluates the directional extremum in closed form under exactly the three retained spectral summaries and a shared error budget, nor an existing treatment of the β_0=α boundary's phase-coupled envelope; we do not claim these ingredients individually as new.</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 xml:space="preserve">For a fixed operator, </w:t>
      </w:r>
      <m:oMath>
        <m:r>
          <m:t xml:space="preserve">R</m:t>
        </m:r>
      </m:oMath>
      <w:r>
        <w:t xml:space="preserve"> is a safe upper bound on the interference output, possibly strict. The next lemma shows that over the class of operators with the same three spectral summaries the bound is exact, so no smaller uniform interference bound follows from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alone. This is a statement about the direction problem only; the six-scalar QoS sharpness of Section 4 concerns the smaller class that also fixes </w:t>
      </w:r>
      <m:oMath>
        <m:r>
          <m:t xml:space="preserve">a</m:t>
        </m:r>
      </m:oMath>
      <w:r>
        <w:t xml:space="preserve"> and </w:t>
      </w:r>
      <m:oMath>
        <m:sSub>
          <m:e>
            <m:r>
              <m:t xml:space="preserve">I</m:t>
            </m:r>
          </m:e>
          <m:sub>
            <m:r>
              <m:t xml:space="preserve">0</m:t>
            </m:r>
          </m:sub>
        </m:sSub>
      </m:oMath>
      <w:r>
        <w:t xml:space="preserve">, where the nominal channel enters. The envelope is nondecreasing in either nonnegative input amplitude, as follows from (5); the same expression, together with the attainment construction of Lemma 2, yields the Lipschitz control used in Section 6: the envelope is a supremum of realized linear output norms, each Lipschitz with constants </w:t>
      </w:r>
      <m:oMath>
        <m:d>
          <m:dPr>
            <m:begChr m:val="("/>
            <m:endChr m:val=")"/>
          </m:dPr>
          <m:e>
            <m:r>
              <m:t xml:space="preserve">α</m:t>
            </m:r>
            <m:r>
              <m:t xml:space="preserve">,</m:t>
            </m:r>
            <m:r>
              <m:t xml:space="preserve">β</m:t>
            </m:r>
          </m:e>
        </m:d>
      </m:oMath>
      <w:r>
        <w:t>.</w:t>
      </w:r>
    </w:p>
    <w:p>
      <w:r>
        <w:rPr>
          <w:b/>
        </w:rPr>
        <w:t>Lemma 2 (attainment over the three-spectral class).</w:t>
      </w:r>
      <w:r>
        <w:t xml:space="preserve"> Fix compatible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and </w:t>
      </w:r>
      <m:oMath>
        <m:r>
          <m:t xml:space="preserve">x</m:t>
        </m:r>
        <m:r>
          <m:t xml:space="preserve">,</m:t>
        </m:r>
        <m:r>
          <m:t xml:space="preserve">y</m:t>
        </m:r>
        <m:r>
          <m:t xml:space="preserve">≥</m:t>
        </m:r>
        <m:r>
          <m:t xml:space="preserve">0</m:t>
        </m:r>
      </m:oMath>
      <w:r>
        <w:t xml:space="preserve">. Let </w:t>
      </w:r>
      <m:oMath>
        <m:r>
          <m:t xml:space="preserve">𝒟</m:t>
        </m:r>
      </m:oMath>
      <w:r>
        <w:t xml:space="preserve"> be the class of operators </w:t>
      </w:r>
      <m:oMath>
        <m:r>
          <m:t xml:space="preserve">C</m:t>
        </m:r>
      </m:oMath>
      <w:r>
        <w:t xml:space="preserve"> on </w:t>
      </w:r>
      <m:oMath>
        <m:r>
          <m:t xml:space="preserve">n</m:t>
        </m:r>
        <m:r>
          <m:t xml:space="preserve">≥</m:t>
        </m:r>
        <m:r>
          <m:t xml:space="preserve">3</m:t>
        </m:r>
      </m:oMath>
      <w:r>
        <w:t xml:space="preserve"> inputs and </w:t>
      </w:r>
      <m:oMath>
        <m:r>
          <m:t xml:space="preserve">m</m:t>
        </m:r>
        <m:r>
          <m:t xml:space="preserve">≥</m:t>
        </m:r>
        <m:r>
          <m:t xml:space="preserve">3</m:t>
        </m:r>
      </m:oMath>
      <w:r>
        <w:t xml:space="preserve"> outputs with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t xml:space="preserve">β</m:t>
        </m:r>
      </m:oMath>
      <w:r>
        <w:t xml:space="preserv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let </w:t>
      </w:r>
      <m:oMath>
        <m:r>
          <m:t xml:space="preserve">u</m:t>
        </m:r>
        <m:r>
          <m:t xml:space="preserve">⊥</m:t>
        </m:r>
        <m:r>
          <m:t xml:space="preserve">v</m:t>
        </m:r>
      </m:oMath>
      <w:r>
        <w:t xml:space="preserve"> be unit, and let </w:t>
      </w:r>
      <m:oMath>
        <m:r>
          <m:t xml:space="preserve">e</m:t>
        </m:r>
        <m:r>
          <m:t xml:space="preserve">=</m:t>
        </m:r>
        <m:r>
          <m:t xml:space="preserve">x</m:t>
        </m:r>
        <m:r>
          <m:t xml:space="preserve">v</m:t>
        </m:r>
        <m:r>
          <m:t xml:space="preserve">+</m:t>
        </m:r>
        <m:r>
          <m:t xml:space="preserve">y</m:t>
        </m:r>
        <m:r>
          <m:t xml:space="preserve">u</m:t>
        </m:r>
      </m:oMath>
      <w:r>
        <w:t xml:space="preserve">. Then </w:t>
      </w:r>
      <m:oMath>
        <m:sSub>
          <m:e>
            <m:r>
              <m:rPr>
                <m:nor/>
              </m:rPr>
              <m:t xml:space="preserve">max</m:t>
            </m:r>
          </m:e>
          <m:sub>
            <m:r>
              <m:t xml:space="preserve">C</m:t>
            </m:r>
            <m:r>
              <m:t xml:space="preserve">∈</m:t>
            </m:r>
            <m:r>
              <m:t xml:space="preserve">𝒟</m:t>
            </m:r>
          </m:sub>
        </m:sSub>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w:t>
      </w:r>
    </w:p>
    <w:p>
      <w:r>
        <w:rPr>
          <w:b/>
        </w:rPr>
        <w:t>Proof.</w:t>
      </w:r>
      <w:r>
        <w:t xml:space="preserve"> Theorem 1 gives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xml:space="preserve"> for every </w:t>
      </w:r>
      <m:oMath>
        <m:r>
          <m:t xml:space="preserve">C</m:t>
        </m:r>
        <m:r>
          <m:t xml:space="preserve">∈</m:t>
        </m:r>
        <m:r>
          <m:t xml:space="preserve">𝒟</m:t>
        </m:r>
      </m:oMath>
      <w:r>
        <w:t xml:space="preserve">. For attainment, suppose first </w:t>
      </w:r>
      <m:oMath>
        <m:r>
          <m:t xml:space="preserve">α</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(with </w:t>
      </w:r>
      <m:oMath>
        <m:r>
          <m:t xml:space="preserve">k</m:t>
        </m:r>
        <m:r>
          <m:t xml:space="preserve">=</m:t>
        </m:r>
        <m:r>
          <m:t xml:space="preserve">α</m:t>
        </m:r>
      </m:oMath>
      <w:r>
        <w:t xml:space="preserve"> if </w:t>
      </w:r>
      <m:oMath>
        <m:r>
          <m:t xml:space="preserve">y</m:t>
        </m:r>
        <m:r>
          <m:t xml:space="preserve">=</m:t>
        </m:r>
        <m:r>
          <m:t xml:space="preserve">0</m:t>
        </m:r>
      </m:oMath>
      <w:r>
        <w:t xml:space="preserve">) and set </w:t>
      </w:r>
      <m:oMath>
        <m:r>
          <m:t xml:space="preserve">d</m:t>
        </m:r>
        <m:r>
          <m:t xml:space="preserve">=</m:t>
        </m:r>
        <m:sSup>
          <m:e>
            <m:d>
              <m:dPr>
                <m:begChr m:val="("/>
                <m:endChr m:val=")"/>
              </m:dPr>
              <m:e>
                <m:r>
                  <m:t xml:space="preserve">α</m:t>
                </m:r>
                <m:r>
                  <m:t xml:space="preserve">,</m:t>
                </m:r>
                <m:r>
                  <m:t xml:space="preserve">0</m:t>
                </m:r>
                <m:r>
                  <m:t xml:space="preserve">,</m:t>
                </m:r>
                <m:r>
                  <m:t xml:space="preserve">0</m:t>
                </m:r>
              </m:e>
            </m:d>
          </m:e>
          <m:sup>
            <m:r>
              <m:t xml:space="preserve">T</m:t>
            </m:r>
          </m:sup>
        </m:sSup>
      </m:oMath>
      <w:r>
        <w:t xml:space="preserve">, </w:t>
      </w:r>
      <m:oMath>
        <m:r>
          <m:t xml:space="preserve">ℓ</m:t>
        </m:r>
        <m:r>
          <m:t xml:space="preserve">=</m:t>
        </m:r>
        <m:sSup>
          <m:e>
            <m:d>
              <m:dPr>
                <m:begChr m:val="("/>
                <m:endChr m:val=")"/>
              </m:dPr>
              <m:e>
                <m:r>
                  <m:t xml:space="preserve">δ</m:t>
                </m:r>
                <m:r>
                  <m:t xml:space="preserve">k</m:t>
                </m:r>
                <m:r>
                  <m:t xml:space="preserve">/</m:t>
                </m:r>
                <m:r>
                  <m:t xml:space="preserve">α</m:t>
                </m:r>
                <m:r>
                  <m:t xml:space="preserve">,</m:t>
                </m:r>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r>
                  <m:t xml:space="preserve">,</m:t>
                </m:r>
                <m:r>
                  <m:t xml:space="preserve">0</m:t>
                </m:r>
              </m:e>
            </m:d>
          </m:e>
          <m:sup>
            <m:r>
              <m:t xml:space="preserve">T</m:t>
            </m:r>
          </m:sup>
        </m:sSup>
      </m:oMath>
      <w:r>
        <w:t xml:space="preserve">. A direct computation gives </w:t>
      </w:r>
      <m:oMath>
        <m:r>
          <m:t xml:space="preserve">∥</m:t>
        </m:r>
        <m:r>
          <m:t xml:space="preserve">d</m:t>
        </m:r>
        <m:r>
          <m:t xml:space="preserve">∥</m:t>
        </m:r>
        <m:r>
          <m:t xml:space="preserve">=</m:t>
        </m:r>
        <m:r>
          <m:t xml:space="preserve">α</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w:t>
      </w:r>
      <m:oMath>
        <m:r>
          <m:t xml:space="preserve">∥</m:t>
        </m:r>
        <m:r>
          <m:t xml:space="preserve">ℓ</m:t>
        </m:r>
        <m:sSup>
          <m:e>
            <m:r>
              <m:t xml:space="preserve">∥</m:t>
            </m:r>
          </m:e>
          <m:sup>
            <m:r>
              <m:t xml:space="preserve">2</m:t>
            </m:r>
          </m:sup>
        </m:sSup>
        <m:r>
          <m:t xml:space="preserve">=</m:t>
        </m:r>
        <m:sSup>
          <m:e>
            <m:sSub>
              <m:e>
                <m:r>
                  <m:t xml:space="preserve">β</m:t>
                </m:r>
              </m:e>
              <m:sub>
                <m:r>
                  <m:t xml:space="preserve">0</m:t>
                </m:r>
              </m:sub>
            </m:sSub>
          </m:e>
          <m:sup>
            <m:r>
              <m:t xml:space="preserve">2</m:t>
            </m:r>
          </m:sup>
        </m:sSup>
        <m:r>
          <m:t xml:space="preserve">−</m:t>
        </m:r>
        <m:sSup>
          <m:e>
            <m:r>
              <m:t xml:space="preserve">k</m:t>
            </m:r>
          </m:e>
          <m:sup>
            <m:r>
              <m:t xml:space="preserve">2</m:t>
            </m:r>
          </m:sup>
        </m:sSup>
      </m:oMath>
      <w:r>
        <w:t xml:space="preserve">, and the Gram matrix </w:t>
      </w:r>
      <m:oMath>
        <m:sSup>
          <m:e>
            <m:d>
              <m:dPr>
                <m:begChr m:val="["/>
                <m:endChr m:val="]"/>
              </m:dPr>
              <m:e>
                <m:r>
                  <m:t xml:space="preserve">d</m:t>
                </m:r>
                <m:r>
                  <m:t xml:space="preserve">,</m:t>
                </m:r>
                <m:r>
                  <m:t xml:space="preserve">ℓ</m:t>
                </m:r>
              </m:e>
            </m:d>
          </m:e>
          <m:sup>
            <m:r>
              <m:t xml:space="preserve">H</m:t>
            </m:r>
          </m:sup>
        </m:sSup>
        <m:d>
          <m:dPr>
            <m:begChr m:val="["/>
            <m:endChr m:val="]"/>
          </m:dPr>
          <m:e>
            <m:r>
              <m:t xml:space="preserve">d</m:t>
            </m:r>
            <m:r>
              <m:t xml:space="preserve">,</m:t>
            </m:r>
            <m:r>
              <m:t xml:space="preserve">ℓ</m:t>
            </m:r>
          </m:e>
        </m:d>
      </m:oMath>
      <w:r>
        <w:t xml:space="preserve"> has </w:t>
      </w:r>
      <m:oMath>
        <m:sSup>
          <m:e>
            <m:sSub>
              <m:e>
                <m:r>
                  <m:t xml:space="preserve">β</m:t>
                </m:r>
              </m:e>
              <m:sub>
                <m:r>
                  <m:t xml:space="preserve">0</m:t>
                </m:r>
              </m:sub>
            </m:sSub>
          </m:e>
          <m:sup>
            <m:r>
              <m:t xml:space="preserve">2</m:t>
            </m:r>
          </m:sup>
        </m:sSup>
      </m:oMath>
      <w:r>
        <w:t xml:space="preserve"> as an eigenvalue — its characteristic polynomial </w:t>
      </w:r>
      <m:oMath>
        <m:d>
          <m:dPr>
            <m:begChr m:val="("/>
            <m:endChr m:val=")"/>
          </m:dPr>
          <m:e>
            <m:sSup>
              <m:e>
                <m:r>
                  <m:t xml:space="preserve">α</m:t>
                </m:r>
              </m:e>
              <m:sup>
                <m:r>
                  <m:t xml:space="preserve">2</m:t>
                </m:r>
              </m:sup>
            </m:sSup>
            <m:r>
              <m:t xml:space="preserve">−</m:t>
            </m:r>
            <m:r>
              <m:t xml:space="preserve">λ</m:t>
            </m:r>
          </m:e>
        </m:d>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r>
              <m:t xml:space="preserve">−</m:t>
            </m:r>
            <m:r>
              <m:t xml:space="preserve">λ</m:t>
            </m:r>
          </m:e>
        </m:d>
        <m:r>
          <m:t xml:space="preserve">−</m:t>
        </m:r>
        <m:sSup>
          <m:e>
            <m:r>
              <m:t xml:space="preserve">δ</m:t>
            </m:r>
          </m:e>
          <m:sup>
            <m:r>
              <m:t xml:space="preserve">2</m:t>
            </m:r>
          </m:sup>
        </m:sSup>
        <m:sSup>
          <m:e>
            <m:r>
              <m:t xml:space="preserve">k</m:t>
            </m:r>
          </m:e>
          <m:sup>
            <m:r>
              <m:t xml:space="preserve">2</m:t>
            </m:r>
          </m:sup>
        </m:sSup>
      </m:oMath>
      <w:r>
        <w:t xml:space="preserve"> vanishes at </w:t>
      </w:r>
      <m:oMath>
        <m:r>
          <m:t xml:space="preserve">λ</m:t>
        </m:r>
        <m:r>
          <m:t xml:space="preserve">=</m:t>
        </m:r>
        <m:sSup>
          <m:e>
            <m:sSub>
              <m:e>
                <m:r>
                  <m:t xml:space="preserve">β</m:t>
                </m:r>
              </m:e>
              <m:sub>
                <m:r>
                  <m:t xml:space="preserve">0</m:t>
                </m:r>
              </m:sub>
            </m:sSub>
          </m:e>
          <m:sup>
            <m:r>
              <m:t xml:space="preserve">2</m:t>
            </m:r>
          </m:sup>
        </m:sSup>
      </m:oMath>
      <w:r>
        <w:t xml:space="preserve"> because </w:t>
      </w:r>
      <m:oMath>
        <m:sSup>
          <m:e>
            <m:r>
              <m:t xml:space="preserve">α</m:t>
            </m:r>
          </m:e>
          <m:sup>
            <m:r>
              <m:t xml:space="preserve">2</m:t>
            </m:r>
          </m:sup>
        </m:sSup>
        <m:r>
          <m:t xml:space="preserve">+</m:t>
        </m:r>
        <m:sSup>
          <m:e>
            <m:r>
              <m:t xml:space="preserve">δ</m:t>
            </m:r>
          </m:e>
          <m:sup>
            <m:r>
              <m:t xml:space="preserve">2</m:t>
            </m:r>
          </m:sup>
        </m:sSup>
        <m:r>
          <m:t xml:space="preserve">=</m:t>
        </m:r>
        <m:sSup>
          <m:e>
            <m:sSub>
              <m:e>
                <m:r>
                  <m:t xml:space="preserve">β</m:t>
                </m:r>
              </m:e>
              <m:sub>
                <m:r>
                  <m:t xml:space="preserve">0</m:t>
                </m:r>
              </m:sub>
            </m:sSub>
          </m:e>
          <m:sup>
            <m:r>
              <m:t xml:space="preserve">2</m:t>
            </m:r>
          </m:sup>
        </m:sSup>
      </m:oMath>
      <w:r>
        <w:t xml:space="preserve">, and the other eigenvalue </w:t>
      </w:r>
      <m:oMath>
        <m:sSup>
          <m:e>
            <m:r>
              <m:t xml:space="preserve">α</m:t>
            </m:r>
          </m:e>
          <m:sup>
            <m:r>
              <m:t xml:space="preserve">2</m:t>
            </m:r>
          </m:sup>
        </m:sSup>
        <m:r>
          <m:t xml:space="preserve">−</m:t>
        </m:r>
        <m:sSup>
          <m:e>
            <m:r>
              <m:t xml:space="preserve">k</m:t>
            </m:r>
          </m:e>
          <m:sup>
            <m:r>
              <m:t xml:space="preserve">2</m:t>
            </m:r>
          </m:sup>
        </m:sSup>
      </m:oMath>
      <w:r>
        <w:t xml:space="preserve"> does not exceed it since </w:t>
      </w:r>
      <m:oMath>
        <m:r>
          <m:t xml:space="preserve">k</m:t>
        </m:r>
        <m:r>
          <m:t xml:space="preserve">∈</m:t>
        </m:r>
        <m:d>
          <m:dPr>
            <m:begChr m:val="["/>
            <m:endChr m:val="]"/>
          </m:dPr>
          <m:e>
            <m:r>
              <m:t xml:space="preserve">ν</m:t>
            </m:r>
            <m:r>
              <m:t xml:space="preserve">,</m:t>
            </m:r>
            <m:r>
              <m:t xml:space="preserve">α</m:t>
            </m:r>
          </m:e>
        </m:d>
      </m:oMath>
      <w:r>
        <w:t xml:space="preserve"> — so </w:t>
      </w:r>
      <m:oMath>
        <m:r>
          <m:t xml:space="preserve">∥</m:t>
        </m:r>
        <m:d>
          <m:dPr>
            <m:begChr m:val="["/>
            <m:endChr m:val="]"/>
          </m:dPr>
          <m:e>
            <m:r>
              <m:t xml:space="preserve">d</m:t>
            </m:r>
            <m:r>
              <m:t xml:space="preserve">,</m:t>
            </m:r>
            <m:r>
              <m:t xml:space="preserve">ℓ</m:t>
            </m:r>
          </m:e>
        </m:d>
        <m:sSup>
          <m:e>
            <m:sSub>
              <m:e>
                <m:r>
                  <m:t xml:space="preserve">∥</m:t>
                </m:r>
              </m:e>
              <m:sub>
                <m:r>
                  <m:t xml:space="preserve">2</m:t>
                </m:r>
              </m:sub>
            </m:sSub>
          </m:e>
          <m:sup>
            <m:r>
              <m:t xml:space="preserve">2</m:t>
            </m:r>
          </m:sup>
        </m:sSup>
        <m:r>
          <m:t xml:space="preserve">=</m:t>
        </m:r>
        <m:sSup>
          <m:e>
            <m:sSub>
              <m:e>
                <m:r>
                  <m:t xml:space="preserve">β</m:t>
                </m:r>
              </m:e>
              <m:sub>
                <m:r>
                  <m:t xml:space="preserve">0</m:t>
                </m:r>
              </m:sub>
            </m:sSub>
          </m:e>
          <m:sup>
            <m:r>
              <m:t xml:space="preserve">2</m:t>
            </m:r>
          </m:sup>
        </m:sSup>
      </m:oMath>
      <w:r>
        <w:t xml:space="preserve"> and </w:t>
      </w:r>
      <m:oMath>
        <m:r>
          <m:t xml:space="preserve">∥</m:t>
        </m:r>
        <m:r>
          <m:t xml:space="preserve">x</m:t>
        </m:r>
        <m:r>
          <m:t xml:space="preserve">d</m:t>
        </m:r>
        <m:r>
          <m:t xml:space="preserve">+</m:t>
        </m:r>
        <m:r>
          <m:t xml:space="preserve">y</m:t>
        </m:r>
        <m:r>
          <m:t xml:space="preserve">ℓ</m:t>
        </m:r>
        <m:sSup>
          <m:e>
            <m:r>
              <m:t xml:space="preserve">∥</m:t>
            </m:r>
          </m:e>
          <m:sup>
            <m:r>
              <m:t xml:space="preserve">2</m:t>
            </m:r>
          </m:sup>
        </m:sSup>
        <m:r>
          <m:t xml:space="preserve">=</m:t>
        </m:r>
        <m:sSup>
          <m:e>
            <m:r>
              <m:t xml:space="preserve">α</m:t>
            </m:r>
          </m:e>
          <m:sup>
            <m:r>
              <m:t xml:space="preserve">2</m:t>
            </m:r>
          </m:sup>
        </m:sSup>
        <m:sSup>
          <m:e>
            <m:r>
              <m:t xml:space="preserve">x</m:t>
            </m:r>
          </m:e>
          <m:sup>
            <m:r>
              <m:t xml:space="preserve">2</m:t>
            </m:r>
          </m:sup>
        </m:sSup>
        <m:r>
          <m:t xml:space="preserve">+</m:t>
        </m:r>
        <m:sSup>
          <m:e>
            <m:r>
              <m:t xml:space="preserve">y</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e>
        </m:d>
        <m:r>
          <m:t xml:space="preserve">+</m:t>
        </m:r>
        <m:r>
          <m:t xml:space="preserve">2</m:t>
        </m:r>
        <m:r>
          <m:t xml:space="preserve">x</m:t>
        </m:r>
        <m:r>
          <m:t xml:space="preserve">y</m:t>
        </m:r>
        <m:r>
          <m:t xml:space="preserve">δ</m:t>
        </m:r>
        <m:r>
          <m:t xml:space="preserve">k</m:t>
        </m:r>
        <m:r>
          <m:t xml:space="preserve">=</m:t>
        </m:r>
        <m:sSup>
          <m:e>
            <m:r>
              <m:t xml:space="preserve">R</m:t>
            </m:r>
          </m:e>
          <m:sup>
            <m:r>
              <m:t xml:space="preserve">2</m:t>
            </m:r>
          </m:sup>
        </m:sSup>
        <m:d>
          <m:dPr>
            <m:begChr m:val="("/>
            <m:endChr m:val=")"/>
          </m:dPr>
          <m:e>
            <m:r>
              <m:t xml:space="preserve">x</m:t>
            </m:r>
            <m:r>
              <m:t xml:space="preserve">,</m:t>
            </m:r>
            <m:r>
              <m:t xml:space="preserve">y</m:t>
            </m:r>
          </m:e>
        </m:d>
      </m:oMath>
      <w:r>
        <w:t xml:space="preserve"> by the branch evaluation in the proof of Theorem 1. Let </w:t>
      </w:r>
      <m:oMath>
        <m:r>
          <m:t xml:space="preserve">u</m:t>
        </m:r>
        <m:r>
          <m:t xml:space="preserve">'</m:t>
        </m:r>
      </m:oMath>
      <w:r>
        <w:t xml:space="preserve"> be a unit vector orthogonal to both </w:t>
      </w:r>
      <m:oMath>
        <m:r>
          <m:t xml:space="preserve">v</m:t>
        </m:r>
      </m:oMath>
      <w:r>
        <w:t xml:space="preserve"> and </w:t>
      </w:r>
      <m:oMath>
        <m:r>
          <m:t xml:space="preserve">u</m:t>
        </m:r>
      </m:oMath>
      <w:r>
        <w:t xml:space="preserve">, and set </w:t>
      </w:r>
      <m:oMath>
        <m:sSup>
          <m:e>
            <m:r>
              <m:t xml:space="preserve">C</m:t>
            </m:r>
          </m:e>
          <m:sup>
            <m:r>
              <m:t xml:space="preserve">H</m:t>
            </m:r>
          </m:sup>
        </m:sSup>
        <m:r>
          <m:t xml:space="preserve">=</m:t>
        </m:r>
        <m:d>
          <m:dPr>
            <m:begChr m:val="["/>
            <m:endChr m:val="]"/>
          </m:dPr>
          <m:e>
            <m:r>
              <m:t xml:space="preserve">d</m:t>
            </m:r>
            <m:r>
              <m:t xml:space="preserve">,</m:t>
            </m:r>
            <m:r>
              <m:t xml:space="preserve">ℓ</m:t>
            </m:r>
            <m:r>
              <m:t xml:space="preserve">,</m:t>
            </m:r>
            <m:sSub>
              <m:e>
                <m:r>
                  <m:t xml:space="preserve">ℓ</m:t>
                </m:r>
              </m:e>
              <m:sub>
                <m:r>
                  <m:t xml:space="preserve">2</m:t>
                </m:r>
              </m:sub>
            </m:sSub>
          </m:e>
        </m:d>
        <m:sSup>
          <m:e>
            <m:d>
              <m:dPr>
                <m:begChr m:val="["/>
                <m:endChr m:val="]"/>
              </m:dPr>
              <m:e>
                <m:r>
                  <m:t xml:space="preserve">v</m:t>
                </m:r>
                <m:r>
                  <m:t xml:space="preserve">,</m:t>
                </m:r>
                <m:r>
                  <m:t xml:space="preserve">u</m:t>
                </m:r>
                <m:r>
                  <m:t xml:space="preserve">,</m:t>
                </m:r>
                <m:r>
                  <m:t xml:space="preserve">u</m:t>
                </m:r>
                <m:r>
                  <m:t xml:space="preserve">'</m:t>
                </m:r>
              </m:e>
            </m:d>
          </m:e>
          <m:sup>
            <m:r>
              <m:t xml:space="preserve">H</m:t>
            </m:r>
          </m:sup>
        </m:sSup>
      </m:oMath>
      <w:r>
        <w:t xml:space="preserve"> with </w:t>
      </w:r>
      <m:oMath>
        <m:sSub>
          <m:e>
            <m:r>
              <m:t xml:space="preserve">ℓ</m:t>
            </m:r>
          </m:e>
          <m:sub>
            <m:r>
              <m:t xml:space="preserve">2</m:t>
            </m:r>
          </m:sub>
        </m:sSub>
        <m:r>
          <m:t xml:space="preserve">=</m:t>
        </m:r>
        <m:r>
          <m:t xml:space="preserve">β</m:t>
        </m:r>
        <m:sSub>
          <m:e>
            <m:r>
              <m:t xml:space="preserve">e</m:t>
            </m:r>
          </m:e>
          <m:sub>
            <m:r>
              <m:t xml:space="preserve">3</m:t>
            </m:r>
          </m:sub>
        </m:sSub>
      </m:oMath>
      <w:r>
        <w:t xml:space="preserve">; this is allowed since </w:t>
      </w:r>
      <m:oMath>
        <m:r>
          <m:t xml:space="preserve">∥</m:t>
        </m:r>
        <m:r>
          <m:t xml:space="preserve">ℓ</m:t>
        </m:r>
        <m:r>
          <m:t xml:space="preserve">∥</m:t>
        </m:r>
        <m:r>
          <m:t xml:space="preserve">=</m:t>
        </m:r>
        <m:rad>
          <m:radPr>
            <m:degHide m:val="1"/>
          </m:radPr>
          <m:deg/>
          <m:e>
            <m:sSup>
              <m:e>
                <m:sSub>
                  <m:e>
                    <m:r>
                      <m:t xml:space="preserve">β</m:t>
                    </m:r>
                  </m:e>
                  <m:sub>
                    <m:r>
                      <m:t xml:space="preserve">0</m:t>
                    </m:r>
                  </m:sub>
                </m:sSub>
              </m:e>
              <m:sup>
                <m:r>
                  <m:t xml:space="preserve">2</m:t>
                </m:r>
              </m:sup>
            </m:sSup>
            <m:r>
              <m:t xml:space="preserve">−</m:t>
            </m:r>
            <m:sSup>
              <m:e>
                <m:r>
                  <m:t xml:space="preserve">k</m:t>
                </m:r>
              </m:e>
              <m:sup>
                <m:r>
                  <m:t xml:space="preserve">2</m:t>
                </m:r>
              </m:sup>
            </m:sSup>
          </m:e>
        </m:rad>
        <m:r>
          <m:t xml:space="preserve">≤</m:t>
        </m:r>
        <m:r>
          <m:t xml:space="preserve">β</m:t>
        </m:r>
      </m:oMath>
      <w:r>
        <w:t xml:space="preserve"> (as </w:t>
      </w:r>
      <m:oMath>
        <m:r>
          <m:t xml:space="preserve">k</m:t>
        </m:r>
        <m:r>
          <m:t xml:space="preserve">≥</m:t>
        </m:r>
        <m:r>
          <m:t xml:space="preserve">ν</m:t>
        </m:r>
      </m:oMath>
      <w:r>
        <w:t xml:space="preserve">) and </w:t>
      </w:r>
      <m:oMath>
        <m:sSub>
          <m:e>
            <m:r>
              <m:t xml:space="preserve">e</m:t>
            </m:r>
          </m:e>
          <m:sub>
            <m:r>
              <m:t xml:space="preserve">3</m:t>
            </m:r>
          </m:sub>
        </m:sSub>
      </m:oMath>
      <w:r>
        <w:t xml:space="preserve"> is orthogonal to </w:t>
      </w:r>
      <m:oMath>
        <m:r>
          <m:t xml:space="preserve">d</m:t>
        </m:r>
      </m:oMath>
      <w:r>
        <w:t xml:space="preserve"> and </w:t>
      </w:r>
      <m:oMath>
        <m:r>
          <m:t xml:space="preserve">ℓ</m:t>
        </m:r>
      </m:oMath>
      <w:r>
        <w:t xml:space="preserve">. Then </w:t>
      </w:r>
      <m:oMath>
        <m:sSup>
          <m:e>
            <m:r>
              <m:t xml:space="preserve">C</m:t>
            </m:r>
          </m:e>
          <m:sup>
            <m:r>
              <m:t xml:space="preserve">H</m:t>
            </m:r>
          </m:sup>
        </m:sSup>
        <m:r>
          <m:t xml:space="preserve">v</m:t>
        </m:r>
        <m:r>
          <m:t xml:space="preserve">=</m:t>
        </m:r>
        <m:r>
          <m:t xml:space="preserve">d</m:t>
        </m:r>
      </m:oMath>
      <w:r>
        <w:t xml:space="preserve"> and </w:t>
      </w:r>
      <m:oMath>
        <m:sSup>
          <m:e>
            <m:r>
              <m:t xml:space="preserve">C</m:t>
            </m:r>
          </m:e>
          <m:sup>
            <m:r>
              <m:t xml:space="preserve">H</m:t>
            </m:r>
          </m:sup>
        </m:sSup>
        <m:r>
          <m:t xml:space="preserve">u</m:t>
        </m:r>
        <m:r>
          <m:t xml:space="preserve">=</m:t>
        </m:r>
        <m:r>
          <m:t xml:space="preserve">ℓ</m:t>
        </m:r>
      </m:oMath>
      <w:r>
        <w:t xml:space="preserve">, so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sSup>
          <m:e>
            <m:r>
              <m:t xml:space="preserve">C</m:t>
            </m:r>
          </m:e>
          <m:sup>
            <m:r>
              <m:t xml:space="preserve">H</m:t>
            </m:r>
          </m:sup>
        </m:sSup>
        <m:r>
          <m:t xml:space="preserve">P</m:t>
        </m:r>
      </m:oMath>
      <w:r>
        <w:t xml:space="preserve"> acts as </w:t>
      </w:r>
      <m:oMath>
        <m:r>
          <m:t xml:space="preserve">ℓ</m:t>
        </m:r>
        <m:d>
          <m:dPr>
            <m:begChr m:val="("/>
            <m:endChr m:val=")"/>
          </m:dPr>
          <m:e>
            <m:sSup>
              <m:e>
                <m:r>
                  <m:t xml:space="preserve">u</m:t>
                </m:r>
              </m:e>
              <m:sup>
                <m:r>
                  <m:t xml:space="preserve">H</m:t>
                </m:r>
              </m:sup>
            </m:sSup>
            <m:r>
              <m:t xml:space="preserve">z</m:t>
            </m:r>
          </m:e>
        </m:d>
        <m:r>
          <m:t xml:space="preserve">+</m:t>
        </m:r>
        <m:sSub>
          <m:e>
            <m:r>
              <m:t xml:space="preserve">ℓ</m:t>
            </m:r>
          </m:e>
          <m:sub>
            <m:r>
              <m:t xml:space="preserve">2</m:t>
            </m:r>
          </m:sub>
        </m:sSub>
        <m:d>
          <m:dPr>
            <m:begChr m:val="("/>
            <m:endChr m:val=")"/>
          </m:dPr>
          <m:e>
            <m:r>
              <m:t xml:space="preserve">u</m:t>
            </m:r>
            <m:sSup>
              <m:e>
                <m:r>
                  <m:t xml:space="preserve">'</m:t>
                </m:r>
              </m:e>
              <m:sup>
                <m:r>
                  <m:t xml:space="preserve">H</m:t>
                </m:r>
              </m:sup>
            </m:sSup>
            <m:r>
              <m:t xml:space="preserve">z</m:t>
            </m:r>
          </m:e>
        </m:d>
      </m:oMath>
      <w:r>
        <w:t xml:space="preserve"> on inputs </w:t>
      </w:r>
      <m:oMath>
        <m:r>
          <m:t xml:space="preserve">z</m:t>
        </m:r>
        <m:r>
          <m:t xml:space="preserve">⊥</m:t>
        </m:r>
        <m:r>
          <m:t xml:space="preserve">v</m:t>
        </m:r>
      </m:oMath>
      <w:r>
        <w:t xml:space="preserve">, so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m:t>
            </m:r>
            <m:r>
              <m:t xml:space="preserve">ℓ</m:t>
            </m:r>
            <m:r>
              <m:t xml:space="preserve">∥</m:t>
            </m:r>
            <m:r>
              <m:t xml:space="preserve">,</m:t>
            </m:r>
            <m:r>
              <m:t xml:space="preserve">β</m:t>
            </m:r>
          </m:e>
        </m:d>
        <m:r>
          <m:t xml:space="preserve">=</m:t>
        </m:r>
        <m:r>
          <m:t xml:space="preserve">β</m:t>
        </m:r>
      </m:oMath>
      <w:r>
        <w:t xml:space="preserve">; and </w:t>
      </w:r>
      <m:oMath>
        <m:r>
          <m:t xml:space="preserve">∥</m:t>
        </m:r>
        <m:r>
          <m:t xml:space="preserve">C</m:t>
        </m:r>
        <m:sSup>
          <m:e>
            <m:sSub>
              <m:e>
                <m:r>
                  <m:t xml:space="preserve">∥</m:t>
                </m:r>
              </m:e>
              <m:sub>
                <m:r>
                  <m:t xml:space="preserve">2</m:t>
                </m:r>
              </m:sub>
            </m:sSub>
          </m:e>
          <m:sup>
            <m:r>
              <m:t xml:space="preserve">2</m:t>
            </m:r>
          </m:sup>
        </m:sSup>
        <m:r>
          <m:t xml:space="preserve">=</m:t>
        </m:r>
        <m:sSub>
          <m:e>
            <m:r>
              <m:t xml:space="preserve">λ</m:t>
            </m:r>
          </m:e>
          <m:sub>
            <m:r>
              <m:rPr>
                <m:nor/>
              </m:rPr>
              <m:t xml:space="preserve">max</m:t>
            </m:r>
          </m:sub>
        </m:sSub>
        <m:d>
          <m:dPr>
            <m:begChr m:val="("/>
            <m:endChr m:val=")"/>
          </m:dPr>
          <m:e>
            <m:r>
              <m:t xml:space="preserve">C</m:t>
            </m:r>
            <m:sSup>
              <m:e>
                <m:r>
                  <m:t xml:space="preserve">C</m:t>
                </m:r>
              </m:e>
              <m:sup>
                <m:r>
                  <m:t xml:space="preserve">H</m:t>
                </m:r>
              </m:sup>
            </m:sSup>
          </m:e>
        </m:d>
      </m:oMath>
      <w:r>
        <w:t xml:space="preserve"> equals the largest eigenvalue of the block diagonal Gram </w:t>
      </w:r>
      <m:oMath>
        <m:d>
          <m:dPr>
            <m:begChr m:val="["/>
            <m:endChr m:val="]"/>
          </m:dPr>
          <m:e>
            <m:d>
              <m:dPr>
                <m:begChr m:val="["/>
                <m:endChr m:val="]"/>
              </m:dPr>
              <m:e>
                <m:sSup>
                  <m:e>
                    <m:r>
                      <m:t xml:space="preserve">α</m:t>
                    </m:r>
                  </m:e>
                  <m:sup>
                    <m:r>
                      <m:t xml:space="preserve">2</m:t>
                    </m:r>
                  </m:sup>
                </m:sSup>
                <m:r>
                  <m:t xml:space="preserve">,</m:t>
                </m:r>
                <m:r>
                  <m:t xml:space="preserve">δ</m:t>
                </m:r>
                <m:r>
                  <m:t xml:space="preserve">k</m:t>
                </m:r>
              </m:e>
            </m:d>
            <m:r>
              <m:t xml:space="preserve">,</m:t>
            </m:r>
            <m:d>
              <m:dPr>
                <m:begChr m:val="["/>
                <m:endChr m:val="]"/>
              </m:dPr>
              <m:e>
                <m:r>
                  <m:t xml:space="preserve">δ</m:t>
                </m:r>
                <m:r>
                  <m:t xml:space="preserve">k</m:t>
                </m:r>
                <m:r>
                  <m:t xml:space="preserve">,</m:t>
                </m:r>
                <m:r>
                  <m:t xml:space="preserve">∥</m:t>
                </m:r>
                <m:r>
                  <m:t xml:space="preserve">ℓ</m:t>
                </m:r>
                <m:sSup>
                  <m:e>
                    <m:r>
                      <m:t xml:space="preserve">∥</m:t>
                    </m:r>
                  </m:e>
                  <m:sup>
                    <m:r>
                      <m:t xml:space="preserve">2</m:t>
                    </m:r>
                  </m:sup>
                </m:sSup>
              </m:e>
            </m:d>
          </m:e>
        </m:d>
        <m:r>
          <m:t xml:space="preserve">⊕</m:t>
        </m:r>
        <m:d>
          <m:dPr>
            <m:begChr m:val="["/>
            <m:endChr m:val="]"/>
          </m:dPr>
          <m:e>
            <m:sSup>
              <m:e>
                <m:r>
                  <m:t xml:space="preserve">β</m:t>
                </m:r>
              </m:e>
              <m:sup>
                <m:r>
                  <m:t xml:space="preserve">2</m:t>
                </m:r>
              </m:sup>
            </m:sSup>
          </m:e>
        </m:d>
      </m:oMath>
      <w:r>
        <w:t xml:space="preserve"> — the other eigenvalue on the </w:t>
      </w:r>
      <m:oMath>
        <m:d>
          <m:dPr>
            <m:begChr m:val="("/>
            <m:endChr m:val=")"/>
          </m:dPr>
          <m:e>
            <m:r>
              <m:t xml:space="preserve">d</m:t>
            </m:r>
            <m:r>
              <m:t xml:space="preserve">,</m:t>
            </m:r>
            <m:r>
              <m:t xml:space="preserve">ℓ</m:t>
            </m:r>
          </m:e>
        </m:d>
      </m:oMath>
      <w:r>
        <w:t xml:space="preserve"> block is </w:t>
      </w:r>
      <m:oMath>
        <m:sSup>
          <m:e>
            <m:r>
              <m:t xml:space="preserve">α</m:t>
            </m:r>
          </m:e>
          <m:sup>
            <m:r>
              <m:t xml:space="preserve">2</m:t>
            </m:r>
          </m:sup>
        </m:sSup>
        <m:r>
          <m:t xml:space="preserve">−</m:t>
        </m:r>
        <m:sSup>
          <m:e>
            <m:r>
              <m:t xml:space="preserve">k</m:t>
            </m:r>
          </m:e>
          <m:sup>
            <m:r>
              <m:t xml:space="preserve">2</m:t>
            </m:r>
          </m:sup>
        </m:sSup>
        <m:r>
          <m:t xml:space="preserve">≤</m:t>
        </m:r>
        <m:sSup>
          <m:e>
            <m:r>
              <m:t xml:space="preserve">α</m:t>
            </m:r>
          </m:e>
          <m:sup>
            <m:r>
              <m:t xml:space="preserve">2</m:t>
            </m:r>
          </m:sup>
        </m:sSup>
        <m:r>
          <m:t xml:space="preserve">≤</m:t>
        </m:r>
        <m:sSup>
          <m:e>
            <m:sSub>
              <m:e>
                <m:r>
                  <m:t xml:space="preserve">β</m:t>
                </m:r>
              </m:e>
              <m:sub>
                <m:r>
                  <m:t xml:space="preserve">0</m:t>
                </m:r>
              </m:sub>
            </m:sSub>
          </m:e>
          <m:sup>
            <m:r>
              <m:t xml:space="preserve">2</m:t>
            </m:r>
          </m:sup>
        </m:sSup>
      </m:oMath>
      <w:r>
        <w:t xml:space="preserve"> since </w:t>
      </w:r>
      <m:oMath>
        <m:r>
          <m:t xml:space="preserve">k</m:t>
        </m:r>
        <m:r>
          <m:t xml:space="preserve">∈</m:t>
        </m:r>
        <m:d>
          <m:dPr>
            <m:begChr m:val="["/>
            <m:endChr m:val="]"/>
          </m:dPr>
          <m:e>
            <m:r>
              <m:t xml:space="preserve">ν</m:t>
            </m:r>
            <m:r>
              <m:t xml:space="preserve">,</m:t>
            </m:r>
            <m:r>
              <m:t xml:space="preserve">α</m:t>
            </m:r>
          </m:e>
        </m:d>
      </m:oMath>
      <w:r>
        <w:t xml:space="preserve"> — so </w:t>
      </w:r>
      <m:oMath>
        <m:r>
          <m:t xml:space="preserve">∥</m:t>
        </m:r>
        <m:r>
          <m:t xml:space="preserve">C</m:t>
        </m:r>
        <m:sSup>
          <m:e>
            <m:sSub>
              <m:e>
                <m:r>
                  <m:t xml:space="preserve">∥</m:t>
                </m:r>
              </m:e>
              <m:sub>
                <m:r>
                  <m:t xml:space="preserve">2</m:t>
                </m:r>
              </m:sub>
            </m:sSub>
          </m:e>
          <m:sup>
            <m:r>
              <m:t xml:space="preserve">2</m:t>
            </m:r>
          </m:sup>
        </m:sSup>
        <m:r>
          <m:t xml:space="preserve">=</m:t>
        </m:r>
        <m:r>
          <m:rPr>
            <m:nor/>
          </m:rPr>
          <m:t xml:space="preserve">max</m:t>
        </m:r>
        <m:d>
          <m:dPr>
            <m:begChr m:val="{"/>
            <m:endChr m:val="}"/>
          </m:dPr>
          <m:e>
            <m:sSup>
              <m:e>
                <m:sSub>
                  <m:e>
                    <m:r>
                      <m:t xml:space="preserve">β</m:t>
                    </m:r>
                  </m:e>
                  <m:sub>
                    <m:r>
                      <m:t xml:space="preserve">0</m:t>
                    </m:r>
                  </m:sub>
                </m:sSub>
              </m:e>
              <m:sup>
                <m:r>
                  <m:t xml:space="preserve">2</m:t>
                </m:r>
              </m:sup>
            </m:sSup>
            <m:r>
              <m:t xml:space="preserve">,</m:t>
            </m:r>
            <m:sSup>
              <m:e>
                <m:r>
                  <m:t xml:space="preserve">β</m:t>
                </m:r>
              </m:e>
              <m:sup>
                <m:r>
                  <m:t xml:space="preserve">2</m:t>
                </m:r>
              </m:sup>
            </m:sSup>
          </m:e>
        </m:d>
        <m:r>
          <m:t xml:space="preserve">=</m:t>
        </m:r>
        <m:sSup>
          <m:e>
            <m:sSub>
              <m:e>
                <m:r>
                  <m:t xml:space="preserve">β</m:t>
                </m:r>
              </m:e>
              <m:sub>
                <m:r>
                  <m:t xml:space="preserve">0</m:t>
                </m:r>
              </m:sub>
            </m:sSub>
          </m:e>
          <m:sup>
            <m:r>
              <m:t xml:space="preserve">2</m:t>
            </m:r>
          </m:sup>
        </m:sSup>
      </m:oMath>
      <w:r>
        <w:t xml:space="preserve">, i.e.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Finally </w:t>
      </w:r>
      <m:oMath>
        <m:sSup>
          <m:e>
            <m:r>
              <m:t xml:space="preserve">C</m:t>
            </m:r>
          </m:e>
          <m:sup>
            <m:r>
              <m:t xml:space="preserve">H</m:t>
            </m:r>
          </m:sup>
        </m:sSup>
        <m:r>
          <m:t xml:space="preserve">e</m:t>
        </m:r>
        <m:r>
          <m:t xml:space="preserve">=</m:t>
        </m:r>
        <m:r>
          <m:t xml:space="preserve">x</m:t>
        </m:r>
        <m:r>
          <m:t xml:space="preserve">d</m:t>
        </m:r>
        <m:r>
          <m:t xml:space="preserve">+</m:t>
        </m:r>
        <m:r>
          <m:t xml:space="preserve">y</m:t>
        </m:r>
        <m:r>
          <m:t xml:space="preserve">ℓ</m:t>
        </m:r>
      </m:oMath>
      <w:r>
        <w:t xml:space="preserve"> has norm </w:t>
      </w:r>
      <m:oMath>
        <m:r>
          <m:t xml:space="preserve">R</m:t>
        </m:r>
        <m:d>
          <m:dPr>
            <m:begChr m:val="("/>
            <m:endChr m:val=")"/>
          </m:dPr>
          <m:e>
            <m:r>
              <m:t xml:space="preserve">x</m:t>
            </m:r>
            <m:r>
              <m:t xml:space="preserve">,</m:t>
            </m:r>
            <m:r>
              <m:t xml:space="preserve">y</m:t>
            </m:r>
          </m:e>
        </m:d>
      </m:oMath>
      <w:r>
        <w:t xml:space="preserve">. If </w:t>
      </w:r>
      <m:oMath>
        <m:r>
          <m:t xml:space="preserve">α</m:t>
        </m:r>
        <m:r>
          <m:t xml:space="preserve">=</m:t>
        </m:r>
        <m:r>
          <m:t xml:space="preserve">0</m:t>
        </m:r>
      </m:oMath>
      <w:r>
        <w:t xml:space="preserve"> (so </w:t>
      </w:r>
      <m:oMath>
        <m:sSub>
          <m:e>
            <m:r>
              <m:t xml:space="preserve">β</m:t>
            </m:r>
          </m:e>
          <m:sub>
            <m:r>
              <m:t xml:space="preserve">0</m:t>
            </m:r>
          </m:sub>
        </m:sSub>
        <m:r>
          <m:t xml:space="preserve">=</m:t>
        </m:r>
        <m:r>
          <m:t xml:space="preserve">β</m:t>
        </m:r>
      </m:oMath>
      <w:r>
        <w:t xml:space="preserve">), take </w:t>
      </w:r>
      <m:oMath>
        <m:r>
          <m:t xml:space="preserve">d</m:t>
        </m:r>
        <m:r>
          <m:t xml:space="preserve">=</m:t>
        </m:r>
        <m:r>
          <m:t xml:space="preserve">0</m:t>
        </m:r>
      </m:oMath>
      <w:r>
        <w:t xml:space="preserve">, </w:t>
      </w:r>
      <m:oMath>
        <m:r>
          <m:t xml:space="preserve">ℓ</m:t>
        </m:r>
        <m:r>
          <m:t xml:space="preserve">=</m:t>
        </m:r>
        <m:sSup>
          <m:e>
            <m:d>
              <m:dPr>
                <m:begChr m:val="("/>
                <m:endChr m:val=")"/>
              </m:dPr>
              <m:e>
                <m:r>
                  <m:t xml:space="preserve">β</m:t>
                </m:r>
                <m:r>
                  <m:t xml:space="preserve">,</m:t>
                </m:r>
                <m:r>
                  <m:t xml:space="preserve">0</m:t>
                </m:r>
                <m:r>
                  <m:t xml:space="preserve">,</m:t>
                </m:r>
                <m:r>
                  <m:t xml:space="preserve">0</m:t>
                </m:r>
              </m:e>
            </m:d>
          </m:e>
          <m:sup>
            <m:r>
              <m:t xml:space="preserve">T</m:t>
            </m:r>
          </m:sup>
        </m:sSup>
      </m:oMath>
      <w:r>
        <w:t xml:space="preserve">, </w:t>
      </w:r>
      <m:oMath>
        <m:sSub>
          <m:e>
            <m:r>
              <m:t xml:space="preserve">ℓ</m:t>
            </m:r>
          </m:e>
          <m:sub>
            <m:r>
              <m:t xml:space="preserve">2</m:t>
            </m:r>
          </m:sub>
        </m:sSub>
        <m:r>
          <m:t xml:space="preserve">=</m:t>
        </m:r>
        <m:sSup>
          <m:e>
            <m:d>
              <m:dPr>
                <m:begChr m:val="("/>
                <m:endChr m:val=")"/>
              </m:dPr>
              <m:e>
                <m:r>
                  <m:t xml:space="preserve">0</m:t>
                </m:r>
                <m:r>
                  <m:t xml:space="preserve">,</m:t>
                </m:r>
                <m:r>
                  <m:t xml:space="preserve">β</m:t>
                </m:r>
                <m:r>
                  <m:t xml:space="preserve">,</m:t>
                </m:r>
                <m:r>
                  <m:t xml:space="preserve">0</m:t>
                </m:r>
              </m:e>
            </m:d>
          </m:e>
          <m:sup>
            <m:r>
              <m:t xml:space="preserve">T</m:t>
            </m:r>
          </m:sup>
        </m:sSup>
      </m:oMath>
      <w:r>
        <w:t xml:space="preserve"> in the same construction: </w:t>
      </w:r>
      <m:oMath>
        <m:r>
          <m:t xml:space="preserve">∥</m:t>
        </m:r>
        <m:sSup>
          <m:e>
            <m:r>
              <m:t xml:space="preserve">C</m:t>
            </m:r>
          </m:e>
          <m:sup>
            <m:r>
              <m:t xml:space="preserve">H</m:t>
            </m:r>
          </m:sup>
        </m:sSup>
        <m:r>
          <m:t xml:space="preserve">e</m:t>
        </m:r>
        <m:r>
          <m:t xml:space="preserve">∥</m:t>
        </m:r>
        <m:r>
          <m:t xml:space="preserve">=</m:t>
        </m:r>
        <m:r>
          <m:t xml:space="preserve">β</m:t>
        </m:r>
        <m:r>
          <m:t xml:space="preserve">y</m:t>
        </m:r>
        <m:r>
          <m:t xml:space="preserve">=</m:t>
        </m:r>
        <m:r>
          <m:t xml:space="preserve">R</m:t>
        </m:r>
        <m:d>
          <m:dPr>
            <m:begChr m:val="("/>
            <m:endChr m:val=")"/>
          </m:dPr>
          <m:e>
            <m:r>
              <m:t xml:space="preserve">x</m:t>
            </m:r>
            <m:r>
              <m:t xml:space="preserve">,</m:t>
            </m:r>
            <m:r>
              <m:t xml:space="preserve">y</m:t>
            </m:r>
          </m:e>
        </m:d>
      </m:oMath>
      <w:r>
        <w:t xml:space="preserve">. If </w:t>
      </w:r>
      <m:oMath>
        <m:r>
          <m:t xml:space="preserve">β</m:t>
        </m:r>
        <m:r>
          <m:t xml:space="preserve">=</m:t>
        </m:r>
        <m:r>
          <m:t xml:space="preserve">0</m:t>
        </m:r>
      </m:oMath>
      <w:r>
        <w:t xml:space="preserve"> (so </w:t>
      </w:r>
      <m:oMath>
        <m:sSub>
          <m:e>
            <m:r>
              <m:t xml:space="preserve">β</m:t>
            </m:r>
          </m:e>
          <m:sub>
            <m:r>
              <m:t xml:space="preserve">0</m:t>
            </m:r>
          </m:sub>
        </m:sSub>
        <m:r>
          <m:t xml:space="preserve">=</m:t>
        </m:r>
        <m:r>
          <m:t xml:space="preserve">α</m:t>
        </m:r>
      </m:oMath>
      <w:r>
        <w:t xml:space="preserve">), take </w:t>
      </w:r>
      <m:oMath>
        <m:sSup>
          <m:e>
            <m:r>
              <m:t xml:space="preserve">C</m:t>
            </m:r>
          </m:e>
          <m:sup>
            <m:r>
              <m:t xml:space="preserve">H</m:t>
            </m:r>
          </m:sup>
        </m:sSup>
        <m:r>
          <m:t xml:space="preserve">=</m:t>
        </m:r>
        <m:r>
          <m:t xml:space="preserve">α</m:t>
        </m:r>
        <m:r>
          <m:t xml:space="preserve">z</m:t>
        </m:r>
        <m:sSup>
          <m:e>
            <m:r>
              <m:t xml:space="preserve">v</m:t>
            </m:r>
          </m:e>
          <m:sup>
            <m:r>
              <m:t xml:space="preserve">H</m:t>
            </m:r>
          </m:sup>
        </m:sSup>
      </m:oMath>
      <w:r>
        <w:t xml:space="preserve"> with any unit </w:t>
      </w:r>
      <m:oMath>
        <m:r>
          <m:t xml:space="preserve">z</m:t>
        </m:r>
        <m:r>
          <m:t xml:space="preserve">∈</m:t>
        </m:r>
        <m:sSup>
          <m:e>
            <m:r>
              <m:t xml:space="preserve">ℂ</m:t>
            </m:r>
          </m:e>
          <m:sup>
            <m:r>
              <m:t xml:space="preserve">m</m:t>
            </m:r>
          </m:sup>
        </m:sSup>
      </m:oMath>
      <w:r>
        <w:t xml:space="preserve">: then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sSup>
          <m:e>
            <m:r>
              <m:t xml:space="preserve">C</m:t>
            </m:r>
          </m:e>
          <m:sup>
            <m:r>
              <m:t xml:space="preserve">H</m:t>
            </m:r>
          </m:sup>
        </m:sSup>
        <m:r>
          <m:t xml:space="preserve">P</m:t>
        </m:r>
        <m:r>
          <m:t xml:space="preserve">=</m:t>
        </m:r>
        <m:r>
          <m:t xml:space="preserve">0</m:t>
        </m:r>
      </m:oMath>
      <w:r>
        <w:t xml:space="preserve"> and </w:t>
      </w:r>
      <m:oMath>
        <m:r>
          <m:t xml:space="preserve">∥</m:t>
        </m:r>
        <m:r>
          <m:t xml:space="preserve">C</m:t>
        </m:r>
        <m:sSub>
          <m:e>
            <m:r>
              <m:t xml:space="preserve">∥</m:t>
            </m:r>
          </m:e>
          <m:sub>
            <m:r>
              <m:t xml:space="preserve">2</m:t>
            </m:r>
          </m:sub>
        </m:sSub>
        <m:r>
          <m:t xml:space="preserve">=</m:t>
        </m:r>
        <m:r>
          <m:t xml:space="preserve">α</m:t>
        </m:r>
      </m:oMath>
      <w:r>
        <w:t xml:space="preserve">, and </w:t>
      </w:r>
      <m:oMath>
        <m:r>
          <m:t xml:space="preserve">∥</m:t>
        </m:r>
        <m:sSup>
          <m:e>
            <m:r>
              <m:t xml:space="preserve">C</m:t>
            </m:r>
          </m:e>
          <m:sup>
            <m:r>
              <m:t xml:space="preserve">H</m:t>
            </m:r>
          </m:sup>
        </m:sSup>
        <m:d>
          <m:dPr>
            <m:begChr m:val="("/>
            <m:endChr m:val=")"/>
          </m:dPr>
          <m:e>
            <m:r>
              <m:t xml:space="preserve">x</m:t>
            </m:r>
            <m:r>
              <m:t xml:space="preserve">v</m:t>
            </m:r>
            <m:r>
              <m:t xml:space="preserve">+</m:t>
            </m:r>
            <m:r>
              <m:t xml:space="preserve">y</m:t>
            </m:r>
            <m:r>
              <m:t xml:space="preserve">u</m:t>
            </m:r>
          </m:e>
        </m:d>
        <m:r>
          <m:t xml:space="preserve">∥</m:t>
        </m:r>
        <m:r>
          <m:t xml:space="preserve">=</m:t>
        </m:r>
        <m:r>
          <m:t xml:space="preserve">α</m:t>
        </m:r>
        <m:r>
          <m:t xml:space="preserve">x</m:t>
        </m:r>
        <m:r>
          <m:t xml:space="preserve">=</m:t>
        </m:r>
        <m:r>
          <m:t xml:space="preserve">R</m:t>
        </m:r>
        <m:d>
          <m:dPr>
            <m:begChr m:val="("/>
            <m:endChr m:val=")"/>
          </m:dPr>
          <m:e>
            <m:r>
              <m:t xml:space="preserve">x</m:t>
            </m:r>
            <m:r>
              <m:t xml:space="preserve">,</m:t>
            </m:r>
            <m:r>
              <m:t xml:space="preserve">y</m:t>
            </m:r>
          </m:e>
        </m:d>
      </m:oMath>
      <w:r>
        <w:t xml:space="preserve"> for every </w:t>
      </w:r>
      <m:oMath>
        <m:r>
          <m:t xml:space="preserve">m</m:t>
        </m:r>
        <m:r>
          <m:t xml:space="preserve">,</m:t>
        </m:r>
        <m:r>
          <m:t xml:space="preserve">n</m:t>
        </m:r>
      </m:oMath>
      <w:r>
        <w:t xml:space="preserve">; the zero operator is trivial. Zero padding reaches any </w:t>
      </w:r>
      <m:oMath>
        <m:r>
          <m:t xml:space="preserve">n</m:t>
        </m:r>
        <m:r>
          <m:t xml:space="preserve">≥</m:t>
        </m:r>
        <m:r>
          <m:t xml:space="preserve">3</m:t>
        </m:r>
        <m:r>
          <m:t xml:space="preserve">,</m:t>
        </m:r>
        <m:r>
          <m:t xml:space="preserve">m</m:t>
        </m:r>
        <m:r>
          <m:t xml:space="preserve">≥</m:t>
        </m:r>
        <m:r>
          <m:t xml:space="preserve">3</m:t>
        </m:r>
      </m:oMath>
      <w:r>
        <w:t>. □</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separate-gain comparison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a summary vector </w:t>
      </w:r>
      <m:oMath>
        <m:r>
          <m:t xml:space="preserve">s</m:t>
        </m:r>
      </m:oMath>
      <w:r>
        <w:t xml:space="preserve"> for which </w:t>
      </w:r>
      <m:oMath>
        <m:sSub>
          <m:e>
            <m:r>
              <m:t xml:space="preserve">𝒞</m:t>
            </m:r>
          </m:e>
          <m:sub>
            <m:r>
              <m:t xml:space="preserve">n</m:t>
            </m:r>
            <m:r>
              <m:t xml:space="preserve">,</m:t>
            </m:r>
            <m:r>
              <m:t xml:space="preserve">m</m:t>
            </m:r>
          </m:sub>
        </m:sSub>
        <m:d>
          <m:dPr>
            <m:begChr m:val="("/>
            <m:endChr m:val=")"/>
          </m:dPr>
          <m:e>
            <m:r>
              <m:t xml:space="preserve">s</m:t>
            </m:r>
          </m:e>
        </m:d>
      </m:oMath>
      <w:r>
        <w:t xml:space="preserve"> is nonempty (Lemma 1). With </w:t>
      </w:r>
      <m:oMath>
        <m:r>
          <m:t xml:space="preserve">r</m:t>
        </m:r>
        <m:r>
          <m:t xml:space="preserve">,</m:t>
        </m:r>
        <m:r>
          <m:t xml:space="preserve">γ</m:t>
        </m:r>
        <m:r>
          <m:t xml:space="preserve">,</m:t>
        </m:r>
        <m:sSup>
          <m:e>
            <m:r>
              <m:t xml:space="preserve">σ</m:t>
            </m:r>
          </m:e>
          <m:sup>
            <m:r>
              <m:t xml:space="preserve">2</m:t>
            </m:r>
          </m:sup>
        </m:sSup>
        <m:r>
          <m:t xml:space="preserve">,</m:t>
        </m:r>
        <m:r>
          <m:t xml:space="preserve">n</m:t>
        </m:r>
        <m:r>
          <m:t xml:space="preserve">,</m:t>
        </m:r>
        <m:r>
          <m:t xml:space="preserve">m</m:t>
        </m:r>
      </m:oMath>
      <w:r>
        <w:t xml:space="preserve"> held fixed, the strongest uniform six-scalar certificate equals the spectral-compatible envelope:</w:t>
      </w:r>
    </w:p>
    <w:p>
      <w:pPr>
        <w:pStyle w:val="Equation"/>
      </w:pPr>
      <m:oMath>
        <m:sSub>
          <m:e>
            <m:r>
              <m:rPr>
                <m:nor/>
              </m:rPr>
              <m:t xml:space="preserve">inf</m:t>
            </m:r>
          </m:e>
          <m:sub>
            <m:d>
              <m:dPr>
                <m:begChr m:val="("/>
                <m:endChr m:val=")"/>
              </m:dPr>
              <m:e>
                <m:r>
                  <m:t xml:space="preserve">b</m:t>
                </m:r>
                <m:r>
                  <m:t xml:space="preserve">,</m:t>
                </m:r>
                <m:r>
                  <m:t xml:space="preserve">h</m:t>
                </m:r>
                <m:r>
                  <m:t xml:space="preserve">̂</m:t>
                </m:r>
                <m:r>
                  <m:t xml:space="preserve">,</m:t>
                </m:r>
                <m:r>
                  <m:t xml:space="preserve">C</m:t>
                </m:r>
              </m:e>
            </m:d>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 xml:space="preserve">The dimensions are sufficient for the construction; no minimal dimension claim is made. The theorem asserts three distinct facts: (a) </w:t>
      </w:r>
      <m:oMath>
        <m:sSub>
          <m:e>
            <m:r>
              <m:t xml:space="preserve">Q</m:t>
            </m:r>
          </m:e>
          <m:sub>
            <m:r>
              <m:t xml:space="preserve">G</m:t>
            </m:r>
          </m:sub>
        </m:sSub>
      </m:oMath>
      <w:r>
        <w:t xml:space="preserve"> is safe on the whole class (Proposition 1); (b) the class infimum of the true worst-case margin equals </w:t>
      </w:r>
      <m:oMath>
        <m:sSub>
          <m:e>
            <m:r>
              <m:t xml:space="preserve">Q</m:t>
            </m:r>
          </m:e>
          <m:sub>
            <m:r>
              <m:t xml:space="preserve">G</m:t>
            </m:r>
          </m:sub>
        </m:sSub>
      </m:oMath>
      <w:r>
        <w:t xml:space="preserve">; and (c) an explicit construction sequence approaches the infimum. Finite attainment is proved in three cases: </w:t>
      </w:r>
      <m:oMath>
        <m:r>
          <m:t xml:space="preserve">r</m:t>
        </m:r>
        <m:r>
          <m:t xml:space="preserve">=</m:t>
        </m:r>
        <m:r>
          <m:t xml:space="preserve">0</m:t>
        </m:r>
      </m:oMath>
      <w:r>
        <w:t xml:space="preserve"> (every instance attains it); </w:t>
      </w:r>
      <m:oMath>
        <m:r>
          <m:t xml:space="preserve">α</m:t>
        </m:r>
        <m:r>
          <m:t xml:space="preserve">=</m:t>
        </m:r>
        <m:r>
          <m:t xml:space="preserve">0</m:t>
        </m:r>
      </m:oMath>
      <w:r>
        <w:t xml:space="preserve"> with </w:t>
      </w:r>
      <m:oMath>
        <m:r>
          <m:t xml:space="preserve">β</m:t>
        </m:r>
        <m:r>
          <m:t xml:space="preserve">&gt;</m:t>
        </m:r>
        <m:r>
          <m:t xml:space="preserve">0</m:t>
        </m:r>
      </m:oMath>
      <w:r>
        <w:t xml:space="preserve"> (the explicit construction below attains (9) exactly); and the boundary class of Theorem 3 (attained by an explicit instance). For the remaining nondegenerate cases (</w:t>
      </w:r>
      <m:oMath>
        <m:r>
          <m:t xml:space="preserve">α</m:t>
        </m:r>
        <m:r>
          <m:t xml:space="preserve">&gt;</m:t>
        </m:r>
        <m:r>
          <m:t xml:space="preserve">0</m:t>
        </m:r>
      </m:oMath>
      <w:r>
        <w:t xml:space="preserve">, </w:t>
      </w:r>
      <m:oMath>
        <m:r>
          <m:t xml:space="preserve">r</m:t>
        </m:r>
        <m:r>
          <m:t xml:space="preserve">&gt;</m:t>
        </m:r>
        <m:r>
          <m:t xml:space="preserve">0</m:t>
        </m:r>
      </m:oMath>
      <w:r>
        <w:t>), the construction does not furnish a uniform bound on the nominal-channel norm over the information class; divergence may occur in particular parameter families (Section 5 exhibits one), but is not asserted for every nondegenerate summary vector, and finite attainment is proved below for at least one nondegenerate instance (at the upper spectral endpoint). Whether every summary vector admits a finite-norm attaining instance is open.</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 a direct two-by-two determinant computation, not an invocation of a general completion theorem.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xml:space="preserve"> is invertible, so </w:t>
      </w: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oMath>
      <w:r>
        <w:t xml:space="preserve"> has full row rank three.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r>
          <m:t xml:space="preserve">,</m:t>
        </m:r>
      </m:oMath>
      <w:r>
        <w:tab/>
        <w:t>(19)</w:t>
      </w:r>
    </w:p>
    <w:p>
      <w:r>
        <w:t xml:space="preserve">with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exact values </w:t>
      </w:r>
      <m:oMath>
        <m:r>
          <m:t xml:space="preserve">α</m:t>
        </m:r>
        <m:r>
          <m:t xml:space="preserve">,</m:t>
        </m:r>
        <m:r>
          <m:t xml:space="preserve">β</m:t>
        </m:r>
        <m:r>
          <m:t xml:space="preserve">,</m:t>
        </m:r>
        <m:sSub>
          <m:e>
            <m:r>
              <m:t xml:space="preserve">β</m:t>
            </m:r>
          </m:e>
          <m:sub>
            <m:r>
              <m:t xml:space="preserve">0</m:t>
            </m:r>
          </m:sub>
        </m:sSub>
      </m:oMath>
      <w:r>
        <w:t>; the nominal channel below fixes the remaining three summaries exactly.</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and </w:t>
      </w:r>
      <m:oMath>
        <m:sSup>
          <m:e>
            <m:sSub>
              <m:e>
                <m:r>
                  <m:t xml:space="preserve">C</m:t>
                </m:r>
              </m:e>
              <m:sub>
                <m:r>
                  <m:t xml:space="preserve">ε</m:t>
                </m:r>
              </m:sub>
            </m:sSub>
          </m:e>
          <m:sup>
            <m:r>
              <m:t xml:space="preserve">H</m:t>
            </m:r>
          </m:sup>
        </m:sSup>
        <m:r>
          <m:t xml:space="preserve">h</m:t>
        </m:r>
        <m:sSub>
          <m:e>
            <m:r>
              <m:t xml:space="preserve">̂</m:t>
            </m:r>
          </m:e>
          <m:sub>
            <m:r>
              <m:t xml:space="preserve">ε</m:t>
            </m:r>
          </m:sub>
        </m:sSub>
        <m:r>
          <m:t xml:space="preserve">=</m:t>
        </m:r>
        <m:sSub>
          <m:e>
            <m:r>
              <m:t xml:space="preserve">z</m:t>
            </m:r>
          </m:e>
          <m:sub>
            <m:r>
              <m:t xml:space="preserve">ε</m:t>
            </m:r>
          </m:sub>
        </m:sSub>
      </m:oMath>
      <w:r>
        <w:t xml:space="preserve">, so </w:t>
      </w:r>
      <m:oMath>
        <m:r>
          <m:t xml:space="preserve">a</m:t>
        </m:r>
      </m:oMath>
      <w:r>
        <w:t xml:space="preserve"> and </w:t>
      </w:r>
      <m:oMath>
        <m:sSub>
          <m:e>
            <m:r>
              <m:t xml:space="preserve">I</m:t>
            </m:r>
          </m:e>
          <m:sub>
            <m:r>
              <m:t xml:space="preserve">0</m:t>
            </m:r>
          </m:sub>
        </m:sSub>
      </m:oMath>
      <w:r>
        <w:t xml:space="preserve"> are matched exactly,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xml:space="preserve">: nominal and perturbation interference are aligned, and the signal phase is worst-case simultaneously — the error components </w:t>
      </w:r>
      <m:oMath>
        <m:r>
          <m:t xml:space="preserve">−</m:t>
        </m:r>
        <m:r>
          <m:t xml:space="preserve">x</m:t>
        </m:r>
      </m:oMath>
      <w:r>
        <w:t xml:space="preserve"> and </w:t>
      </w:r>
      <m:oMath>
        <m:r>
          <m:t xml:space="preserve">−</m:t>
        </m:r>
        <m:r>
          <m:t xml:space="preserve">y</m:t>
        </m:r>
      </m:oMath>
      <w:r>
        <w:t xml:space="preserve"> are jointly feasible and share the phase that realizes the envelope.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xml:space="preserve">, because the constructed vectors have nonnegative real coordinates; this is where the nonnegativity of the coordinates of </w:t>
      </w:r>
      <m:oMath>
        <m:r>
          <m:t xml:space="preserve">d</m:t>
        </m:r>
      </m:oMath>
      <w:r>
        <w:t xml:space="preserve"> and </w:t>
      </w:r>
      <m:oMath>
        <m:sSub>
          <m:e>
            <m:r>
              <m:t xml:space="preserve">ℓ</m:t>
            </m:r>
          </m:e>
          <m:sub>
            <m:r>
              <m:t xml:space="preserve">ε</m:t>
            </m:r>
          </m:sub>
        </m:sSub>
      </m:oMath>
      <w:r>
        <w:t xml:space="preserve"> is used.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and </w:t>
      </w:r>
      <m:oMath>
        <m:r>
          <m:t xml:space="preserve">ε</m:t>
        </m:r>
        <m:r>
          <m:t xml:space="preserve">&gt;</m:t>
        </m:r>
        <m:r>
          <m:t xml:space="preserve">0</m:t>
        </m:r>
      </m:oMath>
      <w:r>
        <w:t xml:space="preserve"> is arbitrary, the class infimum is at most </w:t>
      </w:r>
      <m:oMath>
        <m:sSub>
          <m:e>
            <m:r>
              <m:t xml:space="preserve">Q</m:t>
            </m:r>
          </m:e>
          <m:sub>
            <m:r>
              <m:t xml:space="preserve">G</m:t>
            </m:r>
          </m:sub>
        </m:sSub>
      </m:oMath>
      <w:r>
        <w:t>. Proposition 1 proves the reverse inequality, giving (12).</w:t>
      </w:r>
    </w:p>
    <w:p>
      <w:r>
        <w:rPr>
          <w:b/>
        </w:rPr>
        <w:t>Remark (bounded construction at the upper spectral endpoint).</w:t>
      </w:r>
      <w:r>
        <w:t xml:space="preserve"> At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we have </w:t>
      </w:r>
      <m:oMath>
        <m:r>
          <m:t xml:space="preserve">δ</m:t>
        </m:r>
        <m:r>
          <m:t xml:space="preserve">=</m:t>
        </m:r>
        <m:r>
          <m:t xml:space="preserve">β</m:t>
        </m:r>
      </m:oMath>
      <w:r>
        <w:t xml:space="preserve"> and </w:t>
      </w:r>
      <m:oMath>
        <m:r>
          <m:t xml:space="preserve">ν</m:t>
        </m:r>
        <m:r>
          <m:t xml:space="preserve">=</m:t>
        </m:r>
        <m:r>
          <m:t xml:space="preserve">α</m:t>
        </m:r>
      </m:oMath>
      <w:r>
        <w:t xml:space="preserve">, so the projection gives </w:t>
      </w:r>
      <m:oMath>
        <m:r>
          <m:t xml:space="preserve">k</m:t>
        </m:r>
        <m:r>
          <m:t xml:space="preserve">=</m:t>
        </m:r>
        <m:r>
          <m:t xml:space="preserve">α</m:t>
        </m:r>
      </m:oMath>
      <w:r>
        <w:t xml:space="preserve"> for every </w:t>
      </w:r>
      <m:oMath>
        <m:d>
          <m:dPr>
            <m:begChr m:val="("/>
            <m:endChr m:val=")"/>
          </m:dPr>
          <m:e>
            <m:r>
              <m:t xml:space="preserve">x</m:t>
            </m:r>
            <m:r>
              <m:t xml:space="preserve">,</m:t>
            </m:r>
            <m:r>
              <m:t xml:space="preserve">y</m:t>
            </m:r>
          </m:e>
        </m:d>
      </m:oMath>
      <w:r>
        <w:t xml:space="preserve">: </w:t>
      </w:r>
      <m:oMath>
        <m:r>
          <m:t xml:space="preserve">d</m:t>
        </m:r>
        <m:r>
          <m:t xml:space="preserve">=</m:t>
        </m:r>
        <m:r>
          <m:t xml:space="preserve">α</m:t>
        </m:r>
        <m:sSub>
          <m:e>
            <m:r>
              <m:t xml:space="preserve">e</m:t>
            </m:r>
          </m:e>
          <m:sub>
            <m:r>
              <m:t xml:space="preserve">1</m:t>
            </m:r>
          </m:sub>
        </m:sSub>
      </m:oMath>
      <w:r>
        <w:t xml:space="preserve"> and </w:t>
      </w:r>
      <m:oMath>
        <m:r>
          <m:t xml:space="preserve">ℓ</m:t>
        </m:r>
        <m:r>
          <m:t xml:space="preserve">=</m:t>
        </m:r>
        <m:r>
          <m:t xml:space="preserve">δ</m:t>
        </m:r>
        <m:sSub>
          <m:e>
            <m:r>
              <m:t xml:space="preserve">e</m:t>
            </m:r>
          </m:e>
          <m:sub>
            <m:r>
              <m:t xml:space="preserve">1</m:t>
            </m:r>
          </m:sub>
        </m:sSub>
      </m:oMath>
      <w:r>
        <w:t xml:space="preserve"> are collinear, </w:t>
      </w:r>
      <m:oMath>
        <m:sSub>
          <m:e>
            <m:r>
              <m:t xml:space="preserve">t</m:t>
            </m:r>
          </m:e>
          <m:sub>
            <m:r>
              <m:t xml:space="preserve">ε</m:t>
            </m:r>
          </m:sub>
        </m:sSub>
        <m:r>
          <m:t xml:space="preserve">=</m:t>
        </m:r>
        <m:r>
          <m:t xml:space="preserve">1</m:t>
        </m:r>
      </m:oMath>
      <w:r>
        <w:t xml:space="preserve">, and </w:t>
      </w:r>
      <m:oMath>
        <m:sSub>
          <m:e>
            <m:r>
              <m:t xml:space="preserve">u</m:t>
            </m:r>
          </m:e>
          <m:sub>
            <m:r>
              <m:t xml:space="preserve">ε</m:t>
            </m:r>
          </m:sub>
        </m:sSub>
        <m:r>
          <m:t xml:space="preserve">=</m:t>
        </m:r>
        <m:r>
          <m:t xml:space="preserve">−</m:t>
        </m:r>
        <m:d>
          <m:dPr>
            <m:begChr m:val="("/>
            <m:endChr m:val=")"/>
          </m:dPr>
          <m:e>
            <m:r>
              <m:t xml:space="preserve">α</m:t>
            </m:r>
            <m:r>
              <m:t xml:space="preserve">x</m:t>
            </m:r>
            <m:r>
              <m:t xml:space="preserve">+</m:t>
            </m:r>
            <m:d>
              <m:dPr>
                <m:begChr m:val="("/>
                <m:endChr m:val=")"/>
              </m:dPr>
              <m:e>
                <m:r>
                  <m:t xml:space="preserve">1</m:t>
                </m:r>
                <m:r>
                  <m:t xml:space="preserve">−</m:t>
                </m:r>
                <m:r>
                  <m:t xml:space="preserve">ε</m:t>
                </m:r>
              </m:e>
            </m:d>
            <m:r>
              <m:t xml:space="preserve">δ</m:t>
            </m:r>
            <m:r>
              <m:t xml:space="preserve">y</m:t>
            </m:r>
          </m:e>
        </m:d>
        <m:sSub>
          <m:e>
            <m:r>
              <m:t xml:space="preserve">e</m:t>
            </m:r>
          </m:e>
          <m:sub>
            <m:r>
              <m:t xml:space="preserve">1</m:t>
            </m:r>
          </m:sub>
        </m:sSub>
      </m:oMath>
      <w:r>
        <w:t xml:space="preserve"> points along </w:t>
      </w:r>
      <m:oMath>
        <m:sSub>
          <m:e>
            <m:r>
              <m:t xml:space="preserve">e</m:t>
            </m:r>
          </m:e>
          <m:sub>
            <m:r>
              <m:t xml:space="preserve">1</m:t>
            </m:r>
          </m:sub>
        </m:sSub>
      </m:oMath>
      <w:r>
        <w:t xml:space="preserve"> for every </w:t>
      </w:r>
      <m:oMath>
        <m:r>
          <m:t xml:space="preserve">ε</m:t>
        </m:r>
      </m:oMath>
      <w:r>
        <w:t xml:space="preserve">. The right-hand side of (20) then lies in </w:t>
      </w:r>
      <m:oMath>
        <m:r>
          <m:t xml:space="preserve">\</m:t>
        </m:r>
        <m:r>
          <m:t xml:space="preserve">m</m:t>
        </m:r>
        <m:r>
          <m:t xml:space="preserve">a</m:t>
        </m:r>
        <m:r>
          <m:t xml:space="preserve">t</m:t>
        </m:r>
        <m:r>
          <m:t xml:space="preserve">h</m:t>
        </m:r>
        <m:r>
          <m:t xml:space="preserve">r</m:t>
        </m:r>
        <m:r>
          <m:t xml:space="preserve">m</m:t>
        </m:r>
        <m:d>
          <m:dPr>
            <m:begChr m:val="{"/>
            <m:endChr m:val="}"/>
          </m:dPr>
          <m:e>
            <m:r>
              <m:t xml:space="preserve">s</m:t>
            </m:r>
            <m:r>
              <m:t xml:space="preserve">p</m:t>
            </m:r>
            <m:r>
              <m:t xml:space="preserve">a</m:t>
            </m:r>
            <m:r>
              <m:t xml:space="preserve">n</m:t>
            </m:r>
          </m:e>
        </m:d>
        <m:d>
          <m:dPr>
            <m:begChr m:val="{"/>
            <m:endChr m:val="}"/>
          </m:dPr>
          <m:e>
            <m:sSub>
              <m:e>
                <m:r>
                  <m:t xml:space="preserve">e</m:t>
                </m:r>
              </m:e>
              <m:sub>
                <m:r>
                  <m:t xml:space="preserve">1</m:t>
                </m:r>
              </m:sub>
            </m:sSub>
          </m:e>
        </m:d>
      </m:oMath>
      <w:r>
        <w:t xml:space="preserve">, and the minimum-norm solution has </w:t>
      </w:r>
      <m:oMath>
        <m:r>
          <m:t xml:space="preserve">ε</m:t>
        </m:r>
      </m:oMath>
      <w:r>
        <w:t xml:space="preserve">-independent norm; the construction family therefore keeps </w:t>
      </w:r>
      <m:oMath>
        <m:r>
          <m:t xml:space="preserve">∥</m:t>
        </m:r>
        <m:r>
          <m:t xml:space="preserve">h</m:t>
        </m:r>
        <m:sSub>
          <m:e>
            <m:r>
              <m:t xml:space="preserve">̂</m:t>
            </m:r>
          </m:e>
          <m:sub>
            <m:r>
              <m:t xml:space="preserve">ε</m:t>
            </m:r>
          </m:sub>
        </m:sSub>
        <m:r>
          <m:t xml:space="preserve">∥</m:t>
        </m:r>
      </m:oMath>
      <w:r>
        <w:t xml:space="preserve"> bounded. Numerically, for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γ</m:t>
        </m:r>
        <m:r>
          <m:t xml:space="preserve">=</m:t>
        </m:r>
        <m:r>
          <m:t xml:space="preserve">1</m:t>
        </m:r>
      </m:oMath>
      <w:r>
        <w:t xml:space="preserve">, </w:t>
      </w:r>
      <m:oMath>
        <m:sSub>
          <m:e>
            <m:r>
              <m:t xml:space="preserve">β</m:t>
            </m:r>
          </m:e>
          <m:sub>
            <m:r>
              <m:t xml:space="preserve">0</m:t>
            </m:r>
          </m:sub>
        </m:sSub>
        <m:r>
          <m:t xml:space="preserve">=</m:t>
        </m:r>
        <m:rad>
          <m:radPr>
            <m:degHide m:val="1"/>
          </m:radPr>
          <m:deg/>
          <m:e>
            <m:r>
              <m:t xml:space="preserve">2</m:t>
            </m:r>
          </m:e>
        </m:rad>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w:t>
      </w:r>
      <m:oMath>
        <m:r>
          <m:t xml:space="preserve">r</m:t>
        </m:r>
        <m:r>
          <m:t xml:space="preserve">=</m:t>
        </m:r>
        <m:r>
          <m:t xml:space="preserve">0</m:t>
        </m:r>
        <m:r>
          <m:t xml:space="preserve">.</m:t>
        </m:r>
        <m:r>
          <m:t xml:space="preserve">2</m:t>
        </m:r>
      </m:oMath>
      <w:r>
        <w:t xml:space="preserve"> (minimizer </w:t>
      </w:r>
      <m:oMath>
        <m:sSup>
          <m:e>
            <m:r>
              <m:t xml:space="preserve">x</m:t>
            </m:r>
          </m:e>
          <m:sup>
            <m:r>
              <m:t xml:space="preserve">*</m:t>
            </m:r>
          </m:sup>
        </m:sSup>
        <m:r>
          <m:t xml:space="preserve">≈</m:t>
        </m:r>
        <m:r>
          <m:t xml:space="preserve">0</m:t>
        </m:r>
        <m:r>
          <m:t xml:space="preserve">.</m:t>
        </m:r>
        <m:r>
          <m:t xml:space="preserve">1</m:t>
        </m:r>
        <m:r>
          <m:t xml:space="preserve">8</m:t>
        </m:r>
        <m:r>
          <m:t xml:space="preserve">3</m:t>
        </m:r>
        <m:r>
          <m:t xml:space="preserve">3</m:t>
        </m:r>
        <m:r>
          <m:t xml:space="preserve">2</m:t>
        </m:r>
      </m:oMath>
      <w:r>
        <w:t xml:space="preserve">, </w:t>
      </w:r>
      <m:oMath>
        <m:sSup>
          <m:e>
            <m:r>
              <m:t xml:space="preserve">y</m:t>
            </m:r>
          </m:e>
          <m:sup>
            <m:r>
              <m:t xml:space="preserve">*</m:t>
            </m:r>
          </m:sup>
        </m:sSup>
        <m:r>
          <m:t xml:space="preserve">≈</m:t>
        </m:r>
        <m:r>
          <m:t xml:space="preserve">0</m:t>
        </m:r>
        <m:r>
          <m:t xml:space="preserve">.</m:t>
        </m:r>
        <m:r>
          <m:t xml:space="preserve">0</m:t>
        </m:r>
        <m:r>
          <m:t xml:space="preserve">7</m:t>
        </m:r>
        <m:r>
          <m:t xml:space="preserve">9</m:t>
        </m:r>
        <m:r>
          <m:t xml:space="preserve">9</m:t>
        </m:r>
        <m:r>
          <m:t xml:space="preserve">5</m:t>
        </m:r>
      </m:oMath>
      <w:r>
        <w:t xml:space="preserve">), </w:t>
      </w:r>
      <m:oMath>
        <m:r>
          <m:t xml:space="preserve">∥</m:t>
        </m:r>
        <m:r>
          <m:t xml:space="preserve">h</m:t>
        </m:r>
        <m:sSub>
          <m:e>
            <m:r>
              <m:t xml:space="preserve">̂</m:t>
            </m:r>
          </m:e>
          <m:sub>
            <m:r>
              <m:t xml:space="preserve">ε</m:t>
            </m:r>
          </m:sub>
        </m:sSub>
        <m:r>
          <m:t xml:space="preserve">∥</m:t>
        </m:r>
        <m:r>
          <m:t xml:space="preserve">=</m:t>
        </m:r>
        <m:rad>
          <m:radPr>
            <m:degHide m:val="1"/>
          </m:radPr>
          <m:deg/>
          <m:e>
            <m:r>
              <m:t xml:space="preserve">5</m:t>
            </m:r>
          </m:e>
        </m:rad>
      </m:oMath>
      <w:r>
        <w:t xml:space="preserve"> for every tested </w:t>
      </w:r>
      <m:oMath>
        <m:r>
          <m:t xml:space="preserve">ε</m:t>
        </m:r>
      </m:oMath>
      <w:r>
        <w:t xml:space="preserve">, while </w:t>
      </w:r>
      <m:oMath>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r>
          <m:t xml:space="preserve">=</m:t>
        </m:r>
        <m:r>
          <m:t xml:space="preserve">O</m:t>
        </m:r>
        <m:d>
          <m:dPr>
            <m:begChr m:val="("/>
            <m:endChr m:val=")"/>
          </m:dPr>
          <m:e>
            <m:r>
              <m:t xml:space="preserve">ε</m:t>
            </m:r>
          </m:e>
        </m:d>
      </m:oMath>
      <w:r>
        <w:t xml:space="preserve"> as guaranteed by (22). At this endpoint the infimum is in fact attained finitely: with </w:t>
      </w:r>
      <m:oMath>
        <m:sSup>
          <m:e>
            <m:r>
              <m:t xml:space="preserve">C</m:t>
            </m:r>
          </m:e>
          <m:sup>
            <m:r>
              <m:t xml:space="preserve">H</m:t>
            </m:r>
          </m:sup>
        </m:sSup>
        <m:r>
          <m:t xml:space="preserve">=</m:t>
        </m:r>
        <m:d>
          <m:dPr>
            <m:begChr m:val="["/>
            <m:endChr m:val="]"/>
          </m:dPr>
          <m:e>
            <m:d>
              <m:dPr>
                <m:begChr m:val="["/>
                <m:endChr m:val="]"/>
              </m:dPr>
              <m:e>
                <m:r>
                  <m:t xml:space="preserve">1</m:t>
                </m:r>
                <m:r>
                  <m:t xml:space="preserve">,</m:t>
                </m:r>
                <m:r>
                  <m:t xml:space="preserve">1</m:t>
                </m:r>
                <m:r>
                  <m:t xml:space="preserve">,</m:t>
                </m:r>
                <m:r>
                  <m:t xml:space="preserve">0</m:t>
                </m:r>
                <m:r>
                  <m:t xml:space="preserve">,</m:t>
                </m:r>
                <m:r>
                  <m:t xml:space="preserve">0</m:t>
                </m:r>
                <m:r>
                  <m:t xml:space="preserve">,</m:t>
                </m:r>
                <m:r>
                  <m:t xml:space="preserve">0</m:t>
                </m:r>
              </m:e>
            </m:d>
            <m:r>
              <m:t xml:space="preserve">,</m:t>
            </m:r>
            <m:d>
              <m:dPr>
                <m:begChr m:val="["/>
                <m:endChr m:val="]"/>
              </m:dPr>
              <m:e>
                <m:r>
                  <m:t xml:space="preserve">0</m:t>
                </m:r>
                <m:r>
                  <m:t xml:space="preserve">,</m:t>
                </m:r>
                <m:r>
                  <m:t xml:space="preserve">0</m:t>
                </m:r>
                <m:r>
                  <m:t xml:space="preserve">,</m:t>
                </m:r>
                <m:r>
                  <m:t xml:space="preserve">0</m:t>
                </m:r>
                <m:r>
                  <m:t xml:space="preserve">,</m:t>
                </m:r>
                <m:r>
                  <m:t xml:space="preserve">1</m:t>
                </m:r>
                <m:r>
                  <m:t xml:space="preserve">,</m:t>
                </m:r>
                <m:r>
                  <m:t xml:space="preserve">0</m:t>
                </m:r>
              </m:e>
            </m:d>
            <m:r>
              <m:t xml:space="preserve">,</m:t>
            </m:r>
            <m:d>
              <m:dPr>
                <m:begChr m:val="["/>
                <m:endChr m:val="]"/>
              </m:dPr>
              <m:e>
                <m:r>
                  <m:t xml:space="preserve">0</m:t>
                </m:r>
                <m:r>
                  <m:t xml:space="preserve">,</m:t>
                </m:r>
                <m:r>
                  <m:t xml:space="preserve">0</m:t>
                </m:r>
                <m:r>
                  <m:t xml:space="preserve">,</m:t>
                </m:r>
                <m:r>
                  <m:t xml:space="preserve">0</m:t>
                </m:r>
                <m:r>
                  <m:t xml:space="preserve">,</m:t>
                </m:r>
                <m:r>
                  <m:t xml:space="preserve">0</m:t>
                </m:r>
                <m:r>
                  <m:t xml:space="preserve">,</m:t>
                </m:r>
                <m:r>
                  <m:t xml:space="preserve">1</m:t>
                </m:r>
              </m:e>
            </m:d>
          </m:e>
        </m:d>
      </m:oMath>
      <w:r>
        <w:t xml:space="preserve">, </w:t>
      </w:r>
      <m:oMath>
        <m:r>
          <m:t xml:space="preserve">b</m:t>
        </m:r>
        <m:r>
          <m:t xml:space="preserve">=</m:t>
        </m:r>
        <m:rad>
          <m:radPr>
            <m:degHide m:val="1"/>
          </m:radPr>
          <m:deg/>
          <m:e>
            <m:r>
              <m:t xml:space="preserve">2</m:t>
            </m:r>
          </m:e>
        </m:rad>
        <m:sSub>
          <m:e>
            <m:r>
              <m:t xml:space="preserve">e</m:t>
            </m:r>
          </m:e>
          <m:sub>
            <m:r>
              <m:t xml:space="preserve">1</m:t>
            </m:r>
          </m:sub>
        </m:sSub>
      </m:oMath>
      <w:r>
        <w:t xml:space="preserve"> and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0</m:t>
                </m:r>
                <m:r>
                  <m:t xml:space="preserve">,</m:t>
                </m:r>
                <m:r>
                  <m:t xml:space="preserve">0</m:t>
                </m:r>
                <m:r>
                  <m:t xml:space="preserve">,</m:t>
                </m:r>
                <m:r>
                  <m:t xml:space="preserve">0</m:t>
                </m:r>
              </m:e>
            </m:d>
          </m:e>
          <m:sup>
            <m:r>
              <m:t xml:space="preserve">T</m:t>
            </m:r>
          </m:sup>
        </m:sSup>
      </m:oMath>
      <w:r>
        <w:t xml:space="preserve">, the six summaries are exactly </w:t>
      </w:r>
      <m:oMath>
        <m:d>
          <m:dPr>
            <m:begChr m:val="("/>
            <m:endChr m:val=")"/>
          </m:dPr>
          <m:e>
            <m:r>
              <m:t xml:space="preserve">2</m:t>
            </m:r>
            <m:r>
              <m:t xml:space="preserve">,</m:t>
            </m:r>
            <m:r>
              <m:t xml:space="preserve">1</m:t>
            </m:r>
            <m:r>
              <m:t xml:space="preserve">,</m:t>
            </m:r>
            <m:r>
              <m:t xml:space="preserve">1</m:t>
            </m:r>
            <m:r>
              <m:t xml:space="preserve">,</m:t>
            </m:r>
            <m:r>
              <m:t xml:space="preserve">1</m:t>
            </m:r>
            <m:r>
              <m:t xml:space="preserve">,</m:t>
            </m:r>
            <m:r>
              <m:t xml:space="preserve">1</m:t>
            </m:r>
            <m:r>
              <m:t xml:space="preserve">,</m:t>
            </m:r>
            <m:rad>
              <m:radPr>
                <m:degHide m:val="1"/>
              </m:radPr>
              <m:deg/>
              <m:e>
                <m:r>
                  <m:t xml:space="preserve">2</m:t>
                </m:r>
              </m:e>
            </m:rad>
          </m:e>
        </m:d>
      </m:oMath>
      <w:r>
        <w:t xml:space="preserve"> and the error </w:t>
      </w:r>
      <m:oMath>
        <m:r>
          <m:t xml:space="preserve">e</m:t>
        </m:r>
        <m:r>
          <m:t xml:space="preserve">=</m:t>
        </m:r>
        <m:sSup>
          <m:e>
            <m:d>
              <m:dPr>
                <m:begChr m:val="("/>
                <m:endChr m:val=")"/>
              </m:dPr>
              <m:e>
                <m:r>
                  <m:t xml:space="preserve">−</m:t>
                </m:r>
                <m:sSup>
                  <m:e>
                    <m:r>
                      <m:t xml:space="preserve">x</m:t>
                    </m:r>
                  </m:e>
                  <m:sup>
                    <m:r>
                      <m:t xml:space="preserve">*</m:t>
                    </m:r>
                  </m:sup>
                </m:sSup>
                <m:r>
                  <m:t xml:space="preserve">,</m:t>
                </m:r>
                <m:r>
                  <m:t xml:space="preserve">−</m:t>
                </m:r>
                <m:sSup>
                  <m:e>
                    <m:r>
                      <m:t xml:space="preserve">y</m:t>
                    </m:r>
                  </m:e>
                  <m:sup>
                    <m:r>
                      <m:t xml:space="preserve">*</m:t>
                    </m:r>
                  </m:sup>
                </m:sSup>
                <m:r>
                  <m:t xml:space="preserve">,</m:t>
                </m:r>
                <m:r>
                  <m:t xml:space="preserve">0</m:t>
                </m:r>
                <m:r>
                  <m:t xml:space="preserve">,</m:t>
                </m:r>
                <m:r>
                  <m:t xml:space="preserve">0</m:t>
                </m:r>
                <m:r>
                  <m:t xml:space="preserve">,</m:t>
                </m:r>
                <m:r>
                  <m:t xml:space="preserve">0</m:t>
                </m:r>
              </m:e>
            </m:d>
          </m:e>
          <m:sup>
            <m:r>
              <m:t xml:space="preserve">T</m:t>
            </m:r>
          </m:sup>
        </m:sSup>
      </m:oMath>
      <w:r>
        <w:t xml:space="preserve"> satisfies </w:t>
      </w:r>
      <m:oMath>
        <m:sSup>
          <m:e>
            <m:r>
              <m:t xml:space="preserve">C</m:t>
            </m:r>
          </m:e>
          <m:sup>
            <m:r>
              <m:t xml:space="preserve">H</m:t>
            </m:r>
          </m:sup>
        </m:sSup>
        <m:r>
          <m:t xml:space="preserve">e</m:t>
        </m:r>
        <m:r>
          <m:t xml:space="preserve">=</m:t>
        </m:r>
        <m:r>
          <m:t xml:space="preserve">−</m:t>
        </m:r>
        <m:d>
          <m:dPr>
            <m:begChr m:val="("/>
            <m:endChr m:val=")"/>
          </m:dPr>
          <m:e>
            <m:sSup>
              <m:e>
                <m:r>
                  <m:t xml:space="preserve">x</m:t>
                </m:r>
              </m:e>
              <m:sup>
                <m:r>
                  <m:t xml:space="preserve">*</m:t>
                </m:r>
              </m:sup>
            </m:sSup>
            <m:r>
              <m:t xml:space="preserve">+</m:t>
            </m:r>
            <m:sSup>
              <m:e>
                <m:r>
                  <m:t xml:space="preserve">y</m:t>
                </m:r>
              </m:e>
              <m:sup>
                <m:r>
                  <m:t xml:space="preserve">*</m:t>
                </m:r>
              </m:sup>
            </m:sSup>
          </m:e>
        </m:d>
        <m:sSub>
          <m:e>
            <m:r>
              <m:t xml:space="preserve">e</m:t>
            </m:r>
          </m:e>
          <m:sub>
            <m:r>
              <m:t xml:space="preserve">1</m:t>
            </m:r>
          </m:sub>
        </m:sSub>
      </m:oMath>
      <w:r>
        <w:t xml:space="preserve"> parallel to </w:t>
      </w:r>
      <m:oMath>
        <m:sSup>
          <m:e>
            <m:r>
              <m:t xml:space="preserve">C</m:t>
            </m:r>
          </m:e>
          <m:sup>
            <m:r>
              <m:t xml:space="preserve">H</m:t>
            </m:r>
          </m:sup>
        </m:sSup>
        <m:r>
          <m:t xml:space="preserve">h</m:t>
        </m:r>
        <m:r>
          <m:t xml:space="preserve">̂</m:t>
        </m:r>
        <m:r>
          <m:t xml:space="preserve">=</m:t>
        </m:r>
        <m:r>
          <m:t xml:space="preserve">−</m:t>
        </m:r>
        <m:sSub>
          <m:e>
            <m:r>
              <m:t xml:space="preserve">e</m:t>
            </m:r>
          </m:e>
          <m:sub>
            <m:r>
              <m:t xml:space="preserve">1</m:t>
            </m:r>
          </m:sub>
        </m:sSub>
      </m:oMath>
      <w:r>
        <w:t xml:space="preserve">, so </w:t>
      </w:r>
      <m:oMath>
        <m:r>
          <m:t xml:space="preserve">q</m:t>
        </m:r>
        <m:d>
          <m:dPr>
            <m:begChr m:val="("/>
            <m:endChr m:val=")"/>
          </m:dPr>
          <m:e>
            <m:r>
              <m:t xml:space="preserve">e</m:t>
            </m:r>
          </m:e>
        </m:d>
        <m:r>
          <m:t xml:space="preserve">=</m:t>
        </m:r>
        <m:r>
          <m:t xml:space="preserve">2</m:t>
        </m:r>
        <m:sSup>
          <m:e>
            <m:d>
              <m:dPr>
                <m:begChr m:val="("/>
                <m:endChr m:val=")"/>
              </m:dPr>
              <m:e>
                <m:r>
                  <m:t xml:space="preserve">1</m:t>
                </m:r>
                <m:r>
                  <m:t xml:space="preserve">−</m:t>
                </m:r>
                <m:sSup>
                  <m:e>
                    <m:r>
                      <m:t xml:space="preserve">x</m:t>
                    </m:r>
                  </m:e>
                  <m:sup>
                    <m:r>
                      <m:t xml:space="preserve">*</m:t>
                    </m:r>
                  </m:sup>
                </m:sSup>
              </m:e>
            </m:d>
          </m:e>
          <m:sup>
            <m:r>
              <m:t xml:space="preserve">2</m:t>
            </m:r>
          </m:sup>
        </m:sSup>
        <m:r>
          <m:t xml:space="preserve">−</m:t>
        </m:r>
        <m:sSup>
          <m:e>
            <m:d>
              <m:dPr>
                <m:begChr m:val="("/>
                <m:endChr m:val=")"/>
              </m:dPr>
              <m:e>
                <m:r>
                  <m:t xml:space="preserve">1</m:t>
                </m:r>
                <m:r>
                  <m:t xml:space="preserve">+</m:t>
                </m:r>
                <m:sSup>
                  <m:e>
                    <m:r>
                      <m:t xml:space="preserve">x</m:t>
                    </m:r>
                  </m:e>
                  <m:sup>
                    <m:r>
                      <m:t xml:space="preserve">*</m:t>
                    </m:r>
                  </m:sup>
                </m:sSup>
                <m:r>
                  <m:t xml:space="preserve">+</m:t>
                </m:r>
                <m:sSup>
                  <m:e>
                    <m:r>
                      <m:t xml:space="preserve">y</m:t>
                    </m:r>
                  </m:e>
                  <m:sup>
                    <m:r>
                      <m:t xml:space="preserve">*</m:t>
                    </m:r>
                  </m:sup>
                </m:sSup>
              </m:e>
            </m:d>
          </m:e>
          <m:sup>
            <m:r>
              <m:t xml:space="preserve">2</m:t>
            </m:r>
          </m:sup>
        </m:sSup>
        <m:r>
          <m:t xml:space="preserve">−</m:t>
        </m:r>
        <m:r>
          <m:t xml:space="preserve">0</m:t>
        </m:r>
        <m:r>
          <m:t xml:space="preserve">.</m:t>
        </m:r>
        <m:r>
          <m:t xml:space="preserve">0</m:t>
        </m:r>
        <m:r>
          <m:t xml:space="preserve">5</m:t>
        </m:r>
        <m:r>
          <m:t xml:space="preserve">=</m:t>
        </m:r>
        <m:sSub>
          <m:e>
            <m:r>
              <m:t xml:space="preserve">Q</m:t>
            </m:r>
          </m:e>
          <m:sub>
            <m:r>
              <m:t xml:space="preserve">G</m:t>
            </m:r>
          </m:sub>
        </m:sSub>
        <m:r>
          <m:t xml:space="preserve">=</m:t>
        </m:r>
        <m:sSup>
          <m:e>
            <m:r>
              <m:t xml:space="preserve">q</m:t>
            </m:r>
          </m:e>
          <m:sup>
            <m:r>
              <m:t xml:space="preserve">*</m:t>
            </m:r>
          </m:sup>
        </m:sSup>
      </m:oMath>
      <w:r>
        <w:t xml:space="preserve"> (verified to </w:t>
      </w:r>
      <m:oMath>
        <m:r>
          <m:t xml:space="preserve">7</m:t>
        </m:r>
        <m:r>
          <m:t xml:space="preserve">×</m:t>
        </m:r>
        <m:r>
          <m:t xml:space="preserve">1</m:t>
        </m:r>
        <m:sSup>
          <m:e>
            <m:r>
              <m:t xml:space="preserve">0</m:t>
            </m:r>
          </m:e>
          <m:sup>
            <m:r>
              <m:t xml:space="preserve">−</m:t>
            </m:r>
            <m:r>
              <m:t xml:space="preserve">1</m:t>
            </m:r>
            <m:r>
              <m:t xml:space="preserve">6</m:t>
            </m:r>
          </m:sup>
        </m:sSup>
      </m:oMath>
      <w:r>
        <w:t>). We do not claim finite attainment for the whole upper-endpoint family.</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so here the infimum is attained.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r>
          <m:t xml:space="preserve">=</m:t>
        </m:r>
        <m:sSub>
          <m:e>
            <m:r>
              <m:t xml:space="preserve">Q</m:t>
            </m:r>
          </m:e>
          <m:sub>
            <m:r>
              <m:t xml:space="preserve">G</m:t>
            </m:r>
          </m:sub>
        </m:sSub>
        <m:d>
          <m:dPr>
            <m:begChr m:val="("/>
            <m:endChr m:val=")"/>
          </m:dPr>
          <m:e>
            <m:r>
              <m:t xml:space="preserve">0</m:t>
            </m:r>
          </m:e>
        </m:d>
      </m:oMath>
      <w:r>
        <w:t>, and the infimum is attained trivially.</w:t>
      </w:r>
    </w:p>
    <w:p>
      <w:r>
        <w:rPr>
          <w:b/>
        </w:rPr>
        <w:t>Padding to general dimensions.</w:t>
      </w:r>
      <w:r>
        <w:t xml:space="preserve"> Given any of the above instances with </w:t>
      </w:r>
      <m:oMath>
        <m:r>
          <m:t xml:space="preserve">n</m:t>
        </m:r>
        <m:r>
          <m:t xml:space="preserve">'</m:t>
        </m:r>
        <m:r>
          <m:t xml:space="preserve">≤</m:t>
        </m:r>
        <m:r>
          <m:t xml:space="preserve">n</m:t>
        </m:r>
      </m:oMath>
      <w:r>
        <w:t xml:space="preserve"> inputs and </w:t>
      </w:r>
      <m:oMath>
        <m:r>
          <m:t xml:space="preserve">m</m:t>
        </m:r>
        <m:r>
          <m:t xml:space="preserve">'</m:t>
        </m:r>
        <m:r>
          <m:t xml:space="preserve">≤</m:t>
        </m:r>
        <m:r>
          <m:t xml:space="preserve">m</m:t>
        </m:r>
      </m:oMath>
      <w:r>
        <w:t xml:space="preserve"> outputs, append </w:t>
      </w:r>
      <m:oMath>
        <m:r>
          <m:t xml:space="preserve">n</m:t>
        </m:r>
        <m:r>
          <m:t xml:space="preserve">−</m:t>
        </m:r>
        <m:r>
          <m:t xml:space="preserve">n</m:t>
        </m:r>
        <m:r>
          <m:t xml:space="preserve">'</m:t>
        </m:r>
      </m:oMath>
      <w:r>
        <w:t xml:space="preserve"> zero coordinates to every input vector (</w:t>
      </w:r>
      <m:oMath>
        <m:r>
          <m:t xml:space="preserve">b</m:t>
        </m:r>
        <m:r>
          <m:t xml:space="preserve">,</m:t>
        </m:r>
        <m:r>
          <m:t xml:space="preserve">h</m:t>
        </m:r>
        <m:r>
          <m:t xml:space="preserve">̂</m:t>
        </m:r>
      </m:oMath>
      <w:r>
        <w:t xml:space="preserve">, the columns of </w:t>
      </w:r>
      <m:oMath>
        <m:r>
          <m:t xml:space="preserve">C</m:t>
        </m:r>
      </m:oMath>
      <w:r>
        <w:t xml:space="preserve">, and the error) and </w:t>
      </w:r>
      <m:oMath>
        <m:r>
          <m:t xml:space="preserve">m</m:t>
        </m:r>
        <m:r>
          <m:t xml:space="preserve">−</m:t>
        </m:r>
        <m:r>
          <m:t xml:space="preserve">m</m:t>
        </m:r>
        <m:r>
          <m:t xml:space="preserve">'</m:t>
        </m:r>
      </m:oMath>
      <w:r>
        <w:t xml:space="preserve"> zero rows to </w:t>
      </w:r>
      <m:oMath>
        <m:sSup>
          <m:e>
            <m:r>
              <m:t xml:space="preserve">C</m:t>
            </m:r>
          </m:e>
          <m:sup>
            <m:r>
              <m:t xml:space="preserve">H</m:t>
            </m:r>
          </m:sup>
        </m:sSup>
      </m:oMath>
      <w:r>
        <w:t xml:space="preserve">. All six summaries, the error norm, the ball feasibility and every objective value are unchanged — the padded error coordinates enter neither the desired nor the interference term, so the infimum in (1) is unchanged — and the construction transfers verbatim to any fixed </w:t>
      </w:r>
      <m:oMath>
        <m:r>
          <m:t xml:space="preserve">n</m:t>
        </m:r>
        <m:r>
          <m:t xml:space="preserve">≥</m:t>
        </m:r>
        <m:r>
          <m:t xml:space="preserve">5</m:t>
        </m:r>
        <m:r>
          <m:t xml:space="preserve">,</m:t>
        </m:r>
        <m:r>
          <m:t xml:space="preserve">m</m:t>
        </m:r>
        <m:r>
          <m:t xml:space="preserve">≥</m:t>
        </m:r>
        <m:r>
          <m:t xml:space="preserve">3</m:t>
        </m:r>
      </m:oMath>
      <w:r>
        <w:t xml:space="preserve">. The proof covers the upper spectral endpoint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and the case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The equality </w:t>
      </w:r>
      <m:oMath>
        <m:sSub>
          <m:e>
            <m:r>
              <m:t xml:space="preserve">β</m:t>
            </m:r>
          </m:e>
          <m:sub>
            <m:r>
              <m:t xml:space="preserve">0</m:t>
            </m:r>
          </m:sub>
        </m:sSub>
        <m:r>
          <m:t xml:space="preserve">=</m:t>
        </m:r>
        <m:r>
          <m:t xml:space="preserve">α</m:t>
        </m:r>
      </m:oMath>
      <w:r>
        <w:t xml:space="preserve"> is itself one of the six summaries; what changes at the boundary is the structure it forces.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so the interference generated by any orthogonal error component is orthogonal to the interference generated along the beam: the parallel interference output is a fixed complex multiple of the desired signal output, and the two share one phase within the whole boundary class. In nondegenerate classes the phases can be chosen independently by suitable instances of the class — a statement about the class, not about any single fixed operator. The completion construction of Theorem 2 exploits precisely this class-level freedom, which is why the boundary needs a separate analysis.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is the nonemptiness condition of Lemma 1: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then </w:t>
      </w:r>
      <m:oMath>
        <m:sSub>
          <m:e>
            <m:r>
              <m:t xml:space="preserve">I</m:t>
            </m:r>
          </m:e>
          <m:sub>
            <m:r>
              <m:t xml:space="preserve">0</m:t>
            </m:r>
          </m:sub>
        </m:sSub>
        <m:r>
          <m:t xml:space="preserve">=</m:t>
        </m:r>
        <m:r>
          <m:t xml:space="preserve">α</m:t>
        </m:r>
        <m:r>
          <m:t xml:space="preserve">a</m:t>
        </m:r>
      </m:oMath>
      <w:r>
        <w:t xml:space="preserve"> and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min</m:t>
            </m:r>
          </m:e>
          <m:sub>
            <m:r>
              <m:t xml:space="preserve">𝒞</m:t>
            </m:r>
            <m:d>
              <m:dPr>
                <m:begChr m:val="("/>
                <m:endChr m:val=")"/>
              </m:dPr>
              <m:e>
                <m:r>
                  <m:t xml:space="preserve">s</m:t>
                </m:r>
              </m:e>
            </m:d>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and this value is attained by an explicit instance.</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r>
          <m:t xml:space="preserve">|</m:t>
        </m:r>
        <m:r>
          <m:t xml:space="preserve">a</m:t>
        </m:r>
        <m:r>
          <m:t xml:space="preserve">−</m:t>
        </m:r>
        <m:r>
          <m:t xml:space="preserve">x</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then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so multiplying the inequality by the negative number </w:t>
      </w:r>
      <m:oMath>
        <m:sSub>
          <m:e>
            <m:r>
              <m:t xml:space="preserve">c</m:t>
            </m:r>
          </m:e>
          <m:sub>
            <m:r>
              <m:t xml:space="preserve">∥</m:t>
            </m:r>
          </m:sub>
        </m:sSub>
      </m:oMath>
      <w:r>
        <w:t xml:space="preserve"> reverses it: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The triangle inequality and minimization yield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Let </w:t>
      </w:r>
      <m:oMath>
        <m:sSup>
          <m:e>
            <m:r>
              <m:t xml:space="preserve">x</m:t>
            </m:r>
          </m:e>
          <m:sup>
            <m:r>
              <m:t xml:space="preserve">*</m:t>
            </m:r>
          </m:sup>
        </m:sSup>
      </m:oMath>
      <w:r>
        <w:t xml:space="preserve"> minimize (25) and put </w:t>
      </w:r>
      <m:oMath>
        <m:sSup>
          <m:e>
            <m:r>
              <m:t xml:space="preserve">y</m:t>
            </m:r>
          </m:e>
          <m:sup>
            <m:r>
              <m:t xml:space="preserve">*</m:t>
            </m:r>
          </m:sup>
        </m:sSup>
        <m:r>
          <m:t xml:space="preserve">=</m:t>
        </m:r>
        <m:rad>
          <m:radPr>
            <m:degHide m:val="1"/>
          </m:radPr>
          <m:deg/>
          <m:e>
            <m:sSup>
              <m:e>
                <m:r>
                  <m:t xml:space="preserve">r</m:t>
                </m:r>
              </m:e>
              <m:sup>
                <m:r>
                  <m:t xml:space="preserve">2</m:t>
                </m:r>
              </m:sup>
            </m:sSup>
            <m:r>
              <m:t xml:space="preserve">−</m:t>
            </m:r>
            <m:sSup>
              <m:e>
                <m:r>
                  <m:t xml:space="preserve">x</m:t>
                </m:r>
              </m:e>
              <m:sup>
                <m:r>
                  <m:t xml:space="preserve">*</m:t>
                </m:r>
                <m:r>
                  <m:t xml:space="preserve">2</m:t>
                </m:r>
              </m:sup>
            </m:sSup>
          </m:e>
        </m:rad>
      </m:oMath>
      <w:r>
        <w:t xml:space="preserve">; choose </w:t>
      </w:r>
      <m:oMath>
        <m:r>
          <m:t xml:space="preserve">e</m:t>
        </m:r>
        <m:r>
          <m:t xml:space="preserve">=</m:t>
        </m:r>
        <m:sSup>
          <m:e>
            <m:d>
              <m:dPr>
                <m:begChr m:val="("/>
                <m:endChr m:val=")"/>
              </m:dPr>
              <m:e>
                <m:r>
                  <m:t xml:space="preserve">−</m:t>
                </m:r>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&lt;</m:t>
        </m:r>
        <m:r>
          <m:t xml:space="preserve">0</m:t>
        </m:r>
      </m:oMath>
      <w:r>
        <w:t xml:space="preserve">. At this common point, the parallel term in (24)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sSup>
              <m:e>
                <m:r>
                  <m:t xml:space="preserve">x</m:t>
                </m:r>
              </m:e>
              <m:sup>
                <m:r>
                  <m:t xml:space="preserve">*</m:t>
                </m:r>
              </m:sup>
            </m:sSup>
          </m:e>
        </m:d>
      </m:oMath>
      <w:r>
        <w:t xml:space="preserve"> and the orthogonal interference norm equals </w:t>
      </w:r>
      <m:oMath>
        <m:sSub>
          <m:e>
            <m:r>
              <m:t xml:space="preserve">J</m:t>
            </m:r>
          </m:e>
          <m:sub>
            <m:r>
              <m:t xml:space="preserve">⊥</m:t>
            </m:r>
          </m:sub>
        </m:sSub>
        <m:r>
          <m:t xml:space="preserve">+</m:t>
        </m:r>
        <m:r>
          <m:t xml:space="preserve">β</m:t>
        </m:r>
        <m:sSup>
          <m:e>
            <m:r>
              <m:t xml:space="preserve">y</m:t>
            </m:r>
          </m:e>
          <m:sup>
            <m:r>
              <m:t xml:space="preserve">*</m:t>
            </m:r>
          </m:sup>
        </m:sSup>
      </m:oMath>
      <w:r>
        <w:t xml:space="preserve">: the signal phase and the orthogonal error are optimized jointly at the same minimizing </w:t>
      </w:r>
      <m:oMath>
        <m:sSup>
          <m:e>
            <m:r>
              <m:t xml:space="preserve">x</m:t>
            </m:r>
          </m:e>
          <m:sup>
            <m:r>
              <m:t xml:space="preserve">*</m:t>
            </m:r>
          </m:sup>
        </m:sSup>
      </m:oMath>
      <w:r>
        <w:t xml:space="preserve">. The error is feasible and its objective equals </w:t>
      </w:r>
      <m:oMath>
        <m:sSub>
          <m:e>
            <m:r>
              <m:t xml:space="preserve">Q</m:t>
            </m:r>
          </m:e>
          <m:sub>
            <m:r>
              <m:t xml:space="preserve">∂</m:t>
            </m:r>
          </m:sub>
        </m:sSub>
      </m:oMath>
      <w:r>
        <w:t xml:space="preserve">; safety gives equality with the class minimum at this instance. Zero padding establishes attainment in larger dimensions. If </w:t>
      </w:r>
      <m:oMath>
        <m:r>
          <m:t xml:space="preserve">β</m:t>
        </m:r>
        <m:r>
          <m:t xml:space="preserve">=</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which is (25) with </w:t>
      </w:r>
      <m:oMath>
        <m:sSub>
          <m:e>
            <m:r>
              <m:t xml:space="preserve">J</m:t>
            </m:r>
          </m:e>
          <m:sub>
            <m:r>
              <m:t xml:space="preserve">⊥</m:t>
            </m:r>
          </m:sub>
        </m:sSub>
        <m:r>
          <m:t xml:space="preserve">=</m:t>
        </m:r>
        <m:r>
          <m:t xml:space="preserve">0</m:t>
        </m:r>
      </m:oMath>
      <w:r>
        <w:t xml:space="preserve">.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the phase compatibility that the boundary class enforces.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 The nominal channels do not approach a finite fixed channel: when nondegenerate families approach the boundary, the class over which the infimum is taken changes, so the optimum jumps — an information-class discontinuity, not a physical one.</w:t>
      </w:r>
    </w:p>
    <w:p>
      <w:pPr>
        <w:pStyle w:val="Caption"/>
        <w:keepNext/>
      </w:pPr>
      <w:r>
        <w:t>Table 2.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xml:space="preserve">. Cauchy–Schwarz with the orthogonal nominal channel component proves (28). This condition excludes some constructions requiring an unbounded channel norm; the complete envelope of the </w:t>
      </w:r>
      <m:oMath>
        <m:r>
          <m:t xml:space="preserve">H</m:t>
        </m:r>
      </m:oMath>
      <w:r>
        <w:t xml:space="preserve">-restricted class is left open. The </w:t>
      </w:r>
      <m:oMath>
        <m:r>
          <m:t xml:space="preserve">H</m:t>
        </m:r>
      </m:oMath>
      <w:r>
        <w:t xml:space="preserve">-branch and the </w:t>
      </w:r>
      <m:oMath>
        <m:r>
          <m:t xml:space="preserve">κ</m:t>
        </m:r>
      </m:oMath>
      <w:r>
        <w:t>-branch of Section 2.3 are different augmented interfaces and are not merged.</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Theorem 2 approaches the scalar extremum for each direction. Degenerate spectra have explicit compatible diagonal or collinear constructions (Lemma 1).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separate-gain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 The analytical inequality is exact; the reported implementation uses floating-point arithmetic with conservative numerical safeguards rather than formally verified directed rounding.</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H</m:t>
            </m:r>
          </m:sup>
        </m:sSup>
        <m:r>
          <m:t xml:space="preserve">A</m:t>
        </m:r>
        <m:r>
          <m:t xml:space="preserve">h</m:t>
        </m:r>
        <m:r>
          <m:t xml:space="preserve">̂</m:t>
        </m:r>
        <m:r>
          <m:t xml:space="preserve">−</m:t>
        </m:r>
        <m:r>
          <m:t xml:space="preserve">γ</m:t>
        </m:r>
        <m:sSup>
          <m:e>
            <m:r>
              <m:t xml:space="preserve">σ</m:t>
            </m:r>
          </m:e>
          <m:sup>
            <m:r>
              <m:t xml:space="preserve">2</m:t>
            </m:r>
          </m:sup>
        </m:sSup>
        <m:r>
          <m:t xml:space="preserve">=</m:t>
        </m:r>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xml:space="preserve">. The fixed 200 iteration multiplier bisection used in early timing over resolves the multiplier: stopping the bisection once the bracket width falls below </w:t>
      </w:r>
      <m:oMath>
        <m:r>
          <m:t xml:space="preserve">1</m:t>
        </m:r>
        <m:sSup>
          <m:e>
            <m:r>
              <m:t xml:space="preserve">0</m:t>
            </m:r>
          </m:e>
          <m:sup>
            <m:r>
              <m:t xml:space="preserve">−</m:t>
            </m:r>
            <m:r>
              <m:t xml:space="preserve">1</m:t>
            </m:r>
            <m:r>
              <m:t xml:space="preserve">2</m:t>
            </m:r>
          </m:sup>
        </m:sSup>
      </m:oMath>
      <w:r>
        <w:t xml:space="preserve"> of its magnitude changes no computed value by more than </w:t>
      </w:r>
      <m:oMath>
        <m:r>
          <m:t xml:space="preserve">5</m:t>
        </m:r>
        <m:r>
          <m:t xml:space="preserve">.</m:t>
        </m:r>
        <m:r>
          <m:t xml:space="preserve">7</m:t>
        </m:r>
        <m:r>
          <m:t xml:space="preserve">×</m:t>
        </m:r>
        <m:r>
          <m:t xml:space="preserve">1</m:t>
        </m:r>
        <m:sSup>
          <m:e>
            <m:r>
              <m:t xml:space="preserve">0</m:t>
            </m:r>
          </m:e>
          <m:sup>
            <m:r>
              <m:t xml:space="preserve">−</m:t>
            </m:r>
            <m:r>
              <m:t xml:space="preserve">1</m:t>
            </m:r>
            <m:r>
              <m:t xml:space="preserve">0</m:t>
            </m:r>
          </m:sup>
        </m:sSup>
      </m:oMath>
      <w:r>
        <w:t xml:space="preserve">, preserves every validity check, and uses a median of 40 iterations. A </w:t>
      </w:r>
      <m:oMath>
        <m:r>
          <m:t xml:space="preserve">1</m:t>
        </m:r>
        <m:sSup>
          <m:e>
            <m:r>
              <m:t xml:space="preserve">0</m:t>
            </m:r>
          </m:e>
          <m:sup>
            <m:r>
              <m:t xml:space="preserve">−</m:t>
            </m:r>
            <m:r>
              <m:t xml:space="preserve">1</m:t>
            </m:r>
            <m:r>
              <m:t xml:space="preserve">0</m:t>
            </m:r>
          </m:sup>
        </m:sSup>
      </m:oMath>
      <w:r>
        <w:t xml:space="preserve"> stop already shifts some values by up to </w:t>
      </w:r>
      <m:oMath>
        <m:r>
          <m:t xml:space="preserve">2</m:t>
        </m:r>
        <m:r>
          <m:t xml:space="preserve">.</m:t>
        </m:r>
        <m:r>
          <m:t xml:space="preserve">8</m:t>
        </m:r>
        <m:r>
          <m:t xml:space="preserve">×</m:t>
        </m:r>
        <m:r>
          <m:t xml:space="preserve">1</m:t>
        </m:r>
        <m:sSup>
          <m:e>
            <m:r>
              <m:t xml:space="preserve">0</m:t>
            </m:r>
          </m:e>
          <m:sup>
            <m:r>
              <m:t xml:space="preserve">−</m:t>
            </m:r>
            <m:r>
              <m:t xml:space="preserve">8</m:t>
            </m:r>
          </m:sup>
        </m:sSup>
      </m:oMath>
      <w:r>
        <w:t xml:space="preserve"> and is not used. All pipeline timings in Section 7 use the tolerance-stopped reference; a supplementary table reproduces the original 200 iteration protocol for transparency.</w:t>
      </w:r>
    </w:p>
    <w:p>
      <w:r>
        <w:t>Fallback skips users already certified by the lower bound and stops at the first clearly infeasible user. Each user's eigenvalue factorization is reused across radii. Screening and reference calculations do not read the truth pass cache during timing. These implementation choices affect measured runtime and are not theoretical contributions.</w:t>
      </w:r>
    </w:p>
    <w:p>
      <w:pPr>
        <w:pStyle w:val="Heading2"/>
      </w:pPr>
      <w:r>
        <w:t>6.3 S procedure SDP baseline</w:t>
      </w:r>
    </w:p>
    <w:p>
      <w:r>
        <w:t xml:space="preserve">As a full information baseline independent of our eigendecomposition reference, we adapt the standard single sphere S procedure LMI to the fixed candidate certification problem: for each user, maximize </w:t>
      </w:r>
      <m:oMath>
        <m:r>
          <m:t xml:space="preserve">t</m:t>
        </m:r>
      </m:oMath>
      <w:r>
        <w:t xml:space="preserve"> subject to </w:t>
      </w:r>
      <m:oMath>
        <m:r>
          <m:t xml:space="preserve">λ</m:t>
        </m:r>
        <m:r>
          <m:t xml:space="preserve">≥</m:t>
        </m:r>
        <m:r>
          <m:t xml:space="preserve">0</m:t>
        </m:r>
      </m:oMath>
      <w:r>
        <w:t xml:space="preserve"> and</w:t>
      </w:r>
    </w:p>
    <w:p>
      <w:pPr>
        <w:pStyle w:val="Equation"/>
      </w:pPr>
      <m:oMath>
        <m:d>
          <m:dPr>
            <m:begChr m:val="("/>
            <m:endChr m:val=")"/>
          </m:dPr>
          <m:e>
            <m:m>
              <m:mr>
                <m:e>
                  <m:r>
                    <m:t xml:space="preserve">A</m:t>
                  </m:r>
                  <m:r>
                    <m:t xml:space="preserve">+</m:t>
                  </m:r>
                  <m:r>
                    <m:t xml:space="preserve">λ</m:t>
                  </m:r>
                  <m:r>
                    <m:t xml:space="preserve">I</m:t>
                  </m:r>
                </m:e>
                <m:e>
                  <m:r>
                    <m:t xml:space="preserve">g</m:t>
                  </m:r>
                </m:e>
              </m:mr>
              <m:mr>
                <m:e>
                  <m:sSup>
                    <m:e>
                      <m:r>
                        <m:t xml:space="preserve">g</m:t>
                      </m:r>
                    </m:e>
                    <m:sup>
                      <m:r>
                        <m:t xml:space="preserve">H</m:t>
                      </m:r>
                    </m:sup>
                  </m:sSup>
                </m:e>
                <m:e>
                  <m:sSub>
                    <m:e>
                      <m:r>
                        <m:t xml:space="preserve">c</m:t>
                      </m:r>
                    </m:e>
                    <m:sub>
                      <m:r>
                        <m:t xml:space="preserve">q</m:t>
                      </m:r>
                    </m:sub>
                  </m:sSub>
                  <m:r>
                    <m:t xml:space="preserve">−</m:t>
                  </m:r>
                  <m:r>
                    <m:t xml:space="preserve">t</m:t>
                  </m:r>
                  <m:r>
                    <m:t xml:space="preserve">−</m:t>
                  </m:r>
                  <m:r>
                    <m:t xml:space="preserve">λ</m:t>
                  </m:r>
                  <m:sSup>
                    <m:e>
                      <m:r>
                        <m:t xml:space="preserve">r</m:t>
                      </m:r>
                    </m:e>
                    <m:sup>
                      <m:r>
                        <m:t xml:space="preserve">2</m:t>
                      </m:r>
                    </m:sup>
                  </m:sSup>
                </m:e>
              </m:mr>
            </m:m>
          </m:e>
        </m:d>
        <m:r>
          <m:t xml:space="preserve">≽</m:t>
        </m:r>
        <m:r>
          <m:t xml:space="preserve">0</m:t>
        </m:r>
        <m:r>
          <m:t xml:space="preserve">,</m:t>
        </m:r>
      </m:oMath>
      <w:r>
        <w:tab/>
        <w:t>(31)</w:t>
      </w:r>
    </w:p>
    <w:p>
      <w:r>
        <w:t xml:space="preserve">whose optimum equals </w:t>
      </w:r>
      <m:oMath>
        <m:sSup>
          <m:e>
            <m:r>
              <m:t xml:space="preserve">q</m:t>
            </m:r>
          </m:e>
          <m:sup>
            <m:r>
              <m:t xml:space="preserve">*</m:t>
            </m:r>
          </m:sup>
        </m:sSup>
        <m:d>
          <m:dPr>
            <m:begChr m:val="("/>
            <m:endChr m:val=")"/>
          </m:dPr>
          <m:e>
            <m:r>
              <m:t xml:space="preserve">r</m:t>
            </m:r>
          </m:e>
        </m:d>
      </m:oMath>
      <w:r>
        <w:t xml:space="preserve"> by the S lemma; the LMI is solved on the real embedding of the Hermitian data with an interior point solver [2],[3],[4]. This is a classical technique, representative of its use in robust RIS design [4], adapted to our certification interface; it is not a reproduction of that literature's system level algorithms and is not claimed as a new method.</w:t>
      </w:r>
    </w:p>
    <w:p>
      <w:r>
        <w:t xml:space="preserve">The SDP provides a lower bound, but a negative lower bound proves nothing about infeasibility, and a solver status of optimal is not a certificate. Our decision rule is two sided. The lower bound </w:t>
      </w:r>
      <m:oMath>
        <m:r>
          <m:t xml:space="preserve">L</m:t>
        </m:r>
      </m:oMath>
      <w:r>
        <w:t xml:space="preserve"> is the residual corrected dual feasible value: the shift </w:t>
      </w:r>
      <m:oMath>
        <m:d>
          <m:dPr>
            <m:begChr m:val="("/>
            <m:endChr m:val=")"/>
          </m:dPr>
          <m:e>
            <m:r>
              <m:t xml:space="preserve">t</m:t>
            </m:r>
            <m:r>
              <m:t xml:space="preserve">,</m:t>
            </m:r>
            <m:r>
              <m:t xml:space="preserve">λ</m:t>
            </m:r>
          </m:e>
        </m:d>
        <m:r>
          <m:t xml:space="preserve">→</m:t>
        </m:r>
        <m:d>
          <m:dPr>
            <m:begChr m:val="("/>
            <m:endChr m:val=")"/>
          </m:dPr>
          <m:e>
            <m:r>
              <m:t xml:space="preserve">t</m:t>
            </m:r>
            <m:r>
              <m:t xml:space="preserve">−</m:t>
            </m:r>
            <m:r>
              <m:t xml:space="preserve">η</m:t>
            </m:r>
            <m:d>
              <m:dPr>
                <m:begChr m:val="("/>
                <m:endChr m:val=")"/>
              </m:dPr>
              <m:e>
                <m:r>
                  <m:t xml:space="preserve">1</m:t>
                </m:r>
                <m:r>
                  <m:t xml:space="preserve">+</m:t>
                </m:r>
                <m:sSup>
                  <m:e>
                    <m:r>
                      <m:t xml:space="preserve">r</m:t>
                    </m:r>
                  </m:e>
                  <m:sup>
                    <m:r>
                      <m:t xml:space="preserve">2</m:t>
                    </m:r>
                  </m:sup>
                </m:sSup>
              </m:e>
            </m:d>
            <m:r>
              <m:t xml:space="preserve">,</m:t>
            </m:r>
            <m:r>
              <m:t xml:space="preserve">λ</m:t>
            </m:r>
            <m:r>
              <m:t xml:space="preserve">+</m:t>
            </m:r>
            <m:r>
              <m:t xml:space="preserve">η</m:t>
            </m:r>
          </m:e>
        </m:d>
      </m:oMath>
      <w:r>
        <w:t xml:space="preserve"> adds blockdiag</w:t>
      </w:r>
      <m:oMath>
        <m:d>
          <m:dPr>
            <m:begChr m:val="("/>
            <m:endChr m:val=")"/>
          </m:dPr>
          <m:e>
            <m:r>
              <m:t xml:space="preserve">η</m:t>
            </m:r>
            <m:r>
              <m:t xml:space="preserve">I</m:t>
            </m:r>
            <m:r>
              <m:t xml:space="preserve">,</m:t>
            </m:r>
            <m:r>
              <m:t xml:space="preserve">η</m:t>
            </m:r>
          </m:e>
        </m:d>
      </m:oMath>
      <w:r>
        <w:t xml:space="preserve"> to the LMI, so Weyl's inequality restores positive semidefiniteness up to eigensolver rounding, with an empirical rounding allowance and a numerical recheck; this is an implementation detail, not a formal error bound. Infeasibility is certified only by an upper bound: from the corrected multiplier we recover the Lagrangian minimizer </w:t>
      </w:r>
      <m:oMath>
        <m:d>
          <m:dPr>
            <m:begChr m:val="("/>
            <m:endChr m:val=")"/>
          </m:dPr>
          <m:e>
            <m:r>
              <m:t xml:space="preserve">A</m:t>
            </m:r>
            <m:r>
              <m:t xml:space="preserve">+</m:t>
            </m:r>
            <m:r>
              <m:t xml:space="preserve">λ</m:t>
            </m:r>
            <m:r>
              <m:t xml:space="preserve">'</m:t>
            </m:r>
            <m:r>
              <m:t xml:space="preserve">I</m:t>
            </m:r>
          </m:e>
        </m:d>
        <m:r>
          <m:t xml:space="preserve">e</m:t>
        </m:r>
        <m:r>
          <m:t xml:space="preserve">=</m:t>
        </m:r>
        <m:r>
          <m:t xml:space="preserve">−</m:t>
        </m:r>
        <m:r>
          <m:t xml:space="preserve">g</m:t>
        </m:r>
      </m:oMath>
      <w:r>
        <w:t xml:space="preserve">, project it onto the ball if </w:t>
      </w:r>
      <m:oMath>
        <m:r>
          <m:t xml:space="preserve">∥</m:t>
        </m:r>
        <m:r>
          <m:t xml:space="preserve">e</m:t>
        </m:r>
        <m:r>
          <m:t xml:space="preserve">∥</m:t>
        </m:r>
        <m:r>
          <m:t xml:space="preserve">&gt;</m:t>
        </m:r>
        <m:r>
          <m:t xml:space="preserve">r</m:t>
        </m:r>
      </m:oMath>
      <w:r>
        <w:t xml:space="preserve">, and re evaluate the true objective </w:t>
      </w:r>
      <m:oMath>
        <m:r>
          <m:t xml:space="preserve">U</m:t>
        </m:r>
        <m:r>
          <m:t xml:space="preserve">=</m:t>
        </m:r>
        <m:r>
          <m:t xml:space="preserve">q</m:t>
        </m:r>
        <m:d>
          <m:dPr>
            <m:begChr m:val="("/>
            <m:endChr m:val=")"/>
          </m:dPr>
          <m:e>
            <m:sSub>
              <m:e>
                <m:r>
                  <m:t xml:space="preserve">e</m:t>
                </m:r>
              </m:e>
              <m:sub>
                <m:r>
                  <m:t xml:space="preserve">w</m:t>
                </m:r>
              </m:sub>
            </m:sSub>
          </m:e>
        </m:d>
      </m:oMath>
      <w:r>
        <w:t xml:space="preserve">. Since </w:t>
      </w:r>
      <m:oMath>
        <m:sSub>
          <m:e>
            <m:r>
              <m:t xml:space="preserve">e</m:t>
            </m:r>
          </m:e>
          <m:sub>
            <m:r>
              <m:t xml:space="preserve">w</m:t>
            </m:r>
          </m:sub>
        </m:sSub>
      </m:oMath>
      <w:r>
        <w:t xml:space="preserve"> is ball feasible, </w:t>
      </w:r>
      <m:oMath>
        <m:r>
          <m:t xml:space="preserve">U</m:t>
        </m:r>
      </m:oMath>
      <w:r>
        <w:t xml:space="preserve"> is a valid upper bound of </w:t>
      </w:r>
      <m:oMath>
        <m:sSup>
          <m:e>
            <m:r>
              <m:t xml:space="preserve">q</m:t>
            </m:r>
          </m:e>
          <m:sup>
            <m:r>
              <m:t xml:space="preserve">*</m:t>
            </m:r>
          </m:sup>
        </m:sSup>
      </m:oMath>
      <w:r>
        <w:t xml:space="preserve">, and </w:t>
      </w:r>
      <m:oMath>
        <m:r>
          <m:t xml:space="preserve">U</m:t>
        </m:r>
        <m:r>
          <m:t xml:space="preserve">&lt;</m:t>
        </m:r>
        <m:r>
          <m:t xml:space="preserve">−</m:t>
        </m:r>
        <m:r>
          <m:t xml:space="preserve">τ</m:t>
        </m:r>
      </m:oMath>
      <w:r>
        <w:t xml:space="preserve"> certifies infeasibility; no optimality of </w:t>
      </w:r>
      <m:oMath>
        <m:sSub>
          <m:e>
            <m:r>
              <m:t xml:space="preserve">e</m:t>
            </m:r>
          </m:e>
          <m:sub>
            <m:r>
              <m:t xml:space="preserve">w</m:t>
            </m:r>
          </m:sub>
        </m:sSub>
      </m:oMath>
      <w:r>
        <w:t xml:space="preserve"> is claimed. All remaining cases return unresolved and are never treated as rejections.</w:t>
      </w:r>
    </w:p>
    <w:p>
      <w:pPr>
        <w:pStyle w:val="Heading1"/>
      </w:pPr>
      <w:r>
        <w:t>7 Numerical verification</w:t>
      </w:r>
    </w:p>
    <w:p>
      <w:pPr>
        <w:pStyle w:val="Heading2"/>
      </w:pPr>
      <w:r>
        <w:t>7.1 Analytical implementation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direction completion matches the three spectral summaries to machine precision (nine formal cases, and 251 additional repaired constructions covering asymmetric tuples, the upper spectral endpoint, </w:t>
      </w:r>
      <m:oMath>
        <m:r>
          <m:t xml:space="preserve">β</m:t>
        </m:r>
        <m:r>
          <m:t xml:space="preserve">=</m:t>
        </m:r>
        <m:sSub>
          <m:e>
            <m:r>
              <m:t xml:space="preserve">β</m:t>
            </m:r>
          </m:e>
          <m:sub>
            <m:r>
              <m:t xml:space="preserve">0</m:t>
            </m:r>
          </m:sub>
        </m:sSub>
      </m:oMath>
      <w:r>
        <w:t xml:space="preserve"> and direction endpoints; maximum six scalar discrepancy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objective identity residual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The nominal channel construction matches all six summaries, and the deficit </w:t>
      </w:r>
      <m:oMath>
        <m:r>
          <m:t xml:space="preserve">q</m:t>
        </m:r>
        <m:d>
          <m:dPr>
            <m:begChr m:val="("/>
            <m:endChr m:val=")"/>
          </m:dPr>
          <m:e>
            <m:sSub>
              <m:e>
                <m:r>
                  <m:t xml:space="preserve">e</m:t>
                </m:r>
              </m:e>
              <m:sub>
                <m:r>
                  <m:t xml:space="preserve">ε</m:t>
                </m:r>
              </m:sub>
            </m:sSub>
          </m:e>
        </m:d>
        <m:r>
          <m:t xml:space="preserve">−</m:t>
        </m:r>
        <m:sSub>
          <m:e>
            <m:r>
              <m:t xml:space="preserve">Q</m:t>
            </m:r>
          </m:e>
          <m:sub>
            <m:r>
              <m:t xml:space="preserve">G</m:t>
            </m:r>
          </m:sub>
        </m:sSub>
      </m:oMath>
      <w:r>
        <w:t xml:space="preserve"> obeys the proven bound (22) and falls by roughly one decade per decade of </w:t>
      </w:r>
      <m:oMath>
        <m:r>
          <m:t xml:space="preserve">ε</m:t>
        </m:r>
      </m:oMath>
      <w:r>
        <w:t xml:space="preserve">. A 36 case degenerate battery covers </w:t>
      </w:r>
      <m:oMath>
        <m:r>
          <m:t xml:space="preserve">α</m:t>
        </m:r>
        <m:r>
          <m:t xml:space="preserve">=</m:t>
        </m:r>
        <m:r>
          <m:t xml:space="preserve">0</m:t>
        </m:r>
      </m:oMath>
      <w:r>
        <w:t xml:space="preserve">, </w:t>
      </w:r>
      <m:oMath>
        <m:r>
          <m:t xml:space="preserve">β</m:t>
        </m:r>
        <m:r>
          <m:t xml:space="preserve">=</m:t>
        </m:r>
        <m:r>
          <m:t xml:space="preserve">0</m:t>
        </m:r>
      </m:oMath>
      <w:r>
        <w:t xml:space="preserve">, </w:t>
      </w:r>
      <m:oMath>
        <m:r>
          <m:t xml:space="preserve">r</m:t>
        </m:r>
        <m:r>
          <m:t xml:space="preserve">=</m:t>
        </m:r>
        <m:r>
          <m:t xml:space="preserve">0</m:t>
        </m:r>
      </m:oMath>
      <w:r>
        <w:t xml:space="preserve">, </w:t>
      </w:r>
      <m:oMath>
        <m:sSub>
          <m:e>
            <m:r>
              <m:t xml:space="preserve">I</m:t>
            </m:r>
          </m:e>
          <m:sub>
            <m:r>
              <m:t xml:space="preserve">0</m:t>
            </m:r>
          </m:sub>
        </m:sSub>
        <m:r>
          <m:t xml:space="preserve">=</m:t>
        </m:r>
        <m:r>
          <m:t xml:space="preserve">0</m:t>
        </m:r>
      </m:oMath>
      <w:r>
        <w:t>, both spectral endpoints, both branch connection points, the trust region hard case equality, repeated minimum eigenvalues and radius equality. For the deterministic flip, the separable bound is −0.0425, the separate-gain approximate minimum is −0.024580 and the new approximate minimum is 0.034624; their interval lower bounds at 256 cells are −0.027068 and +0.027262, and the new lower bound at 65536 cells is 0.0345956. The positive certified lower bound, rather than the approximate minimum, establishes acceptance. These are consistency checks of the analytical proofs, not substitutes for them.</w:t>
      </w:r>
    </w:p>
    <w:p>
      <w:pPr>
        <w:pStyle w:val="Heading2"/>
      </w:pPr>
      <w:r>
        <w:t>7.2 Controlled threshold-crossing examples</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xml:space="preserve">. Each point has an explicit matrix and nominal channel; the channel norm ranges from 2.22 to 9.05. This is an instance family, not an experiment holding a physical channel fixed. The new envelope exceeds the separate-gain envelope at 20 of 21 points, with maximum gain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separate-gain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diagnostics; the dashed interval lower bound is used for certification. The family changes the nominal channel norm.</w:t>
      </w:r>
    </w:p>
    <w:p>
      <w:pPr>
        <w:pStyle w:val="Heading2"/>
      </w:pPr>
      <w:r>
        <w:t>7.3 Fixed-candidate certification study</w:t>
      </w:r>
    </w:p>
    <w:p>
      <w:r>
        <w:t xml:space="preserve">The candidate model has two base stations with four antennas each, four users, and a 16 element RIS with two bit phases. Each seed generates six phase states (all ones plus five random) and two beam types, MRT and RZF (regularization 0.1), giving 12 candidates; per base station power is 1 with 0.5 per stream. 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same-cell scale 1 and cross-cell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and entries of </w:t>
      </w:r>
      <m:oMath>
        <m:sSub>
          <m:e>
            <m:r>
              <m:t xml:space="preserve">f</m:t>
            </m:r>
          </m:e>
          <m:sub>
            <m:r>
              <m:t xml:space="preserve">u</m:t>
            </m:r>
          </m:sub>
        </m:sSub>
      </m:oMath>
      <w:r>
        <w:t xml:space="preserve"> variance 1/16. Channels and beams are stacked into dimension eight; noise power is 0.05. These are normalized dimensionless links, not a fitted propagation model.</w:t>
      </w:r>
    </w:p>
    <w:p>
      <w:r>
        <w:t xml:space="preserve">The original pool (seeds 11–55, </w:t>
      </w:r>
      <m:oMath>
        <m:r>
          <m:t xml:space="preserve">γ</m:t>
        </m:r>
        <m:r>
          <m:t xml:space="preserve">=</m:t>
        </m:r>
        <m:r>
          <m:t xml:space="preserve">0</m:t>
        </m:r>
        <m:r>
          <m:t xml:space="preserve">.</m:t>
        </m:r>
        <m:r>
          <m:t xml:space="preserve">5</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xml:space="preserve">, 720 user problems, 180 units) is an easy baseline: all four methods accept all 180 units, with no false acceptance, no fallback, and zero additional accepts for the new envelope over the separate-gain envelope. The exploratory grid adds seeds 66–110 and evaluates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xml:space="preserve"> — 1080 units and 4320 user problems, every cell reported, no selection by the new bound's gain. All references are valid; 472 units are clearly feasible and 608 clearly infeasible. There is no observed false acceptance or lower bound violation. At 256 cells the new bound directly accepts 390 units versus 380 for the separate-gain envelope (feasible coverage 82.63% versus 80.51%; original seeds contribute six additional accepts, added seeds four).</w:t>
      </w:r>
    </w:p>
    <w:p>
      <w:pPr>
        <w:pStyle w:val="Caption"/>
        <w:keepNext/>
      </w:pPr>
      <w:r>
        <w:t>Table 3.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The quadratic-form bound with one additional gradient-norm summary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r>
          <m:t xml:space="preserve">,</m:t>
        </m:r>
        <m:r>
          <m:t xml:space="preserve"> </m:t>
        </m:r>
        <m:r>
          <m:t xml:space="preserve"> </m:t>
        </m:r>
        <m:r>
          <m:t xml:space="preserve"> </m:t>
        </m:r>
        <m:r>
          <m:t xml:space="preserve">κ</m:t>
        </m:r>
        <m:r>
          <m:t xml:space="preserve">=</m:t>
        </m:r>
        <m:r>
          <m:t xml:space="preserve">∥</m:t>
        </m:r>
        <m:r>
          <m:t xml:space="preserve">A</m:t>
        </m:r>
        <m:r>
          <m:t xml:space="preserve"> </m:t>
        </m:r>
        <m:r>
          <m:t xml:space="preserve">h</m:t>
        </m:r>
        <m:r>
          <m:t xml:space="preserve">̂</m:t>
        </m:r>
        <m:r>
          <m:t xml:space="preserve">∥</m:t>
        </m:r>
      </m:oMath>
      <w:r>
        <w:tab/>
        <w:t>(32)</w:t>
      </w:r>
    </w:p>
    <w:p>
      <w:r>
        <w:t xml:space="preserve">Its construction computes </w:t>
      </w:r>
      <m:oMath>
        <m:r>
          <m:t xml:space="preserve">κ</m:t>
        </m:r>
      </m:oMath>
      <w:r>
        <w:t xml:space="preserve"> from the matrix geometry, but its storage and evaluation need only the six summaries plus </w:t>
      </w:r>
      <m:oMath>
        <m:r>
          <m:t xml:space="preserve">κ</m:t>
        </m:r>
      </m:oMath>
      <w:r>
        <w:t xml:space="preserve"> — the </w:t>
      </w:r>
      <m:oMath>
        <m:r>
          <m:t xml:space="preserve">6</m:t>
        </m:r>
        <m:r>
          <m:t xml:space="preserve">+</m:t>
        </m:r>
        <m:r>
          <m:t xml:space="preserve">κ</m:t>
        </m:r>
      </m:oMath>
      <w:r>
        <w:t xml:space="preserve"> branch of Section 2.3; it is not a full-matrix method at evaluation time. In the grid it exceeds the implemented new interval bound on 2903 of 4320 user evaluations; that count does not compare it with the exact continuous envelope. A separate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so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The bounds therefore have no universal dominance relation; their maximum is safe and yields the highest direct-certification coverage among tested bounds. The pools overlap on 240 user problems; their combined 5040 evaluation records represent 4800 distinct user problems, and multiple radii or thresholds on one candidate are correlated, not independent samples.</w:t>
      </w:r>
    </w:p>
    <w:p>
      <w:pPr>
        <w:pStyle w:val="Heading2"/>
      </w:pPr>
      <w:r>
        <w:t>7.4 Independent validation</w:t>
      </w:r>
    </w:p>
    <w:p>
      <w:r>
        <w:t xml:space="preserve">Before computing any result on new seeds, we wrote a fixed configuration file recording the unused seeds 211–215, the grid, the candidate rules, the acceptance rule, the reference validity criteria, the timing protocol and SHA-256 hashes of the code files. The batch adds 540 units and 2160 user problems with zero overlap; the union of all pools contains 6960 distinct user problems. All references are valid and no false acceptance or bound violation occurs. Of 540 units, 159 are clearly feasible; direct accepts are D 111, separate-gain 125, new 126 and </w:t>
      </w:r>
      <m:oMath>
        <m:sSub>
          <m:e>
            <m:r>
              <m:t xml:space="preserve">L</m:t>
            </m:r>
          </m:e>
          <m:sub>
            <m:r>
              <m:t xml:space="preserve">q</m:t>
            </m:r>
            <m:r>
              <m:t xml:space="preserve">u</m:t>
            </m:r>
            <m:r>
              <m:t xml:space="preserve">a</m:t>
            </m:r>
            <m:r>
              <m:t xml:space="preserve">d</m:t>
            </m:r>
          </m:sub>
        </m:sSub>
      </m:oMath>
      <w:r>
        <w:t xml:space="preserve"> 138. The new bound adds one unit over the separate-gain envelope (coverage 78.62% to 79.24%).</w:t>
      </w:r>
    </w:p>
    <w:p>
      <w:pPr>
        <w:pStyle w:val="Caption"/>
        <w:keepNext/>
      </w:pPr>
      <w:r>
        <w:t>Table 4. Preregistered validation batch (seeds 211–215, 540 units,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720"/>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54</w:t>
            </w:r>
          </w:p>
        </w:tc>
        <w:tc>
          <w:tcPr>
            <w:tcW w:type="dxa" w:w="720"/>
            <w:vAlign w:val="center"/>
            <w:tcMar>
              <w:top w:w="65" w:type="dxa"/>
              <w:bottom w:w="65" w:type="dxa"/>
              <w:left w:w="65" w:type="dxa"/>
              <w:right w:w="65" w:type="dxa"/>
            </w:tcMar>
          </w:tcPr>
          <w:p>
            <w:pPr>
              <w:spacing w:after="0" w:line="240" w:lineRule="auto"/>
              <w:jc w:val="center"/>
            </w:pPr>
            <w:r>
              <w:rPr>
                <w:b w:val="0"/>
                <w:sz w:val="18"/>
              </w:rPr>
              <w:t>53</w:t>
            </w:r>
          </w:p>
        </w:tc>
        <w:tc>
          <w:tcPr>
            <w:tcW w:type="dxa" w:w="979"/>
            <w:vAlign w:val="center"/>
            <w:tcMar>
              <w:top w:w="65" w:type="dxa"/>
              <w:bottom w:w="65" w:type="dxa"/>
              <w:left w:w="65" w:type="dxa"/>
              <w:right w:w="65" w:type="dxa"/>
            </w:tcMar>
          </w:tcPr>
          <w:p>
            <w:pPr>
              <w:spacing w:after="0" w:line="240" w:lineRule="auto"/>
              <w:jc w:val="center"/>
            </w:pPr>
            <w:r>
              <w:rPr>
                <w:b w:val="0"/>
                <w:sz w:val="18"/>
              </w:rPr>
              <w:t>53</w:t>
            </w:r>
          </w:p>
        </w:tc>
        <w:tc>
          <w:tcPr>
            <w:tcW w:type="dxa" w:w="936"/>
            <w:vAlign w:val="center"/>
            <w:tcMar>
              <w:top w:w="65" w:type="dxa"/>
              <w:bottom w:w="65" w:type="dxa"/>
              <w:left w:w="65" w:type="dxa"/>
              <w:right w:w="65" w:type="dxa"/>
            </w:tcMar>
          </w:tcPr>
          <w:p>
            <w:pPr>
              <w:spacing w:after="0" w:line="240" w:lineRule="auto"/>
              <w:jc w:val="center"/>
            </w:pPr>
            <w:r>
              <w:rPr>
                <w:b w:val="0"/>
                <w:sz w:val="18"/>
              </w:rPr>
              <w:t>53</w:t>
            </w:r>
          </w:p>
        </w:tc>
        <w:tc>
          <w:tcPr>
            <w:tcW w:type="dxa" w:w="1181"/>
            <w:vAlign w:val="center"/>
            <w:tcMar>
              <w:top w:w="65" w:type="dxa"/>
              <w:bottom w:w="65" w:type="dxa"/>
              <w:left w:w="65" w:type="dxa"/>
              <w:right w:w="65" w:type="dxa"/>
            </w:tcMar>
          </w:tcPr>
          <w:p>
            <w:pPr>
              <w:spacing w:after="0" w:line="240" w:lineRule="auto"/>
              <w:jc w:val="center"/>
            </w:pPr>
            <w:r>
              <w:rPr>
                <w:b w:val="0"/>
                <w:sz w:val="18"/>
              </w:rPr>
              <w:t>54</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44</w:t>
            </w:r>
          </w:p>
        </w:tc>
        <w:tc>
          <w:tcPr>
            <w:tcW w:type="dxa" w:w="720"/>
            <w:vAlign w:val="center"/>
            <w:tcMar>
              <w:top w:w="65" w:type="dxa"/>
              <w:bottom w:w="65" w:type="dxa"/>
              <w:left w:w="65" w:type="dxa"/>
              <w:right w:w="65" w:type="dxa"/>
            </w:tcMar>
          </w:tcPr>
          <w:p>
            <w:pPr>
              <w:spacing w:after="0" w:line="240" w:lineRule="auto"/>
              <w:jc w:val="center"/>
            </w:pPr>
            <w:r>
              <w:rPr>
                <w:b w:val="0"/>
                <w:sz w:val="18"/>
              </w:rPr>
              <w:t>28</w:t>
            </w:r>
          </w:p>
        </w:tc>
        <w:tc>
          <w:tcPr>
            <w:tcW w:type="dxa" w:w="979"/>
            <w:vAlign w:val="center"/>
            <w:tcMar>
              <w:top w:w="65" w:type="dxa"/>
              <w:bottom w:w="65" w:type="dxa"/>
              <w:left w:w="65" w:type="dxa"/>
              <w:right w:w="65" w:type="dxa"/>
            </w:tcMar>
          </w:tcPr>
          <w:p>
            <w:pPr>
              <w:spacing w:after="0" w:line="240" w:lineRule="auto"/>
              <w:jc w:val="center"/>
            </w:pPr>
            <w:r>
              <w:rPr>
                <w:b w:val="0"/>
                <w:sz w:val="18"/>
              </w:rPr>
              <w:t>36</w:t>
            </w:r>
          </w:p>
        </w:tc>
        <w:tc>
          <w:tcPr>
            <w:tcW w:type="dxa" w:w="936"/>
            <w:vAlign w:val="center"/>
            <w:tcMar>
              <w:top w:w="65" w:type="dxa"/>
              <w:bottom w:w="65" w:type="dxa"/>
              <w:left w:w="65" w:type="dxa"/>
              <w:right w:w="65" w:type="dxa"/>
            </w:tcMar>
          </w:tcPr>
          <w:p>
            <w:pPr>
              <w:spacing w:after="0" w:line="240" w:lineRule="auto"/>
              <w:jc w:val="center"/>
            </w:pPr>
            <w:r>
              <w:rPr>
                <w:b w:val="0"/>
                <w:sz w:val="18"/>
              </w:rPr>
              <w:t>37</w:t>
            </w:r>
          </w:p>
        </w:tc>
        <w:tc>
          <w:tcPr>
            <w:tcW w:type="dxa" w:w="1181"/>
            <w:vAlign w:val="center"/>
            <w:tcMar>
              <w:top w:w="65" w:type="dxa"/>
              <w:bottom w:w="65" w:type="dxa"/>
              <w:left w:w="65" w:type="dxa"/>
              <w:right w:w="65" w:type="dxa"/>
            </w:tcMar>
          </w:tcPr>
          <w:p>
            <w:pPr>
              <w:spacing w:after="0" w:line="240" w:lineRule="auto"/>
              <w:jc w:val="center"/>
            </w:pPr>
            <w:r>
              <w:rPr>
                <w:b w:val="0"/>
                <w:sz w:val="18"/>
              </w:rPr>
              <w:t>40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13</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4</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5</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29</w:t>
            </w:r>
          </w:p>
        </w:tc>
        <w:tc>
          <w:tcPr>
            <w:tcW w:type="dxa" w:w="72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23</w:t>
            </w:r>
          </w:p>
        </w:tc>
        <w:tc>
          <w:tcPr>
            <w:tcW w:type="dxa" w:w="936"/>
            <w:vAlign w:val="center"/>
            <w:tcMar>
              <w:top w:w="65" w:type="dxa"/>
              <w:bottom w:w="65" w:type="dxa"/>
              <w:left w:w="65" w:type="dxa"/>
              <w:right w:w="65" w:type="dxa"/>
            </w:tcMar>
          </w:tcPr>
          <w:p>
            <w:pPr>
              <w:spacing w:after="0" w:line="240" w:lineRule="auto"/>
              <w:jc w:val="center"/>
            </w:pPr>
            <w:r>
              <w:rPr>
                <w:b w:val="0"/>
                <w:sz w:val="18"/>
              </w:rPr>
              <w:t>23</w:t>
            </w:r>
          </w:p>
        </w:tc>
        <w:tc>
          <w:tcPr>
            <w:tcW w:type="dxa" w:w="1181"/>
            <w:vAlign w:val="center"/>
            <w:tcMar>
              <w:top w:w="65" w:type="dxa"/>
              <w:bottom w:w="65" w:type="dxa"/>
              <w:left w:w="65" w:type="dxa"/>
              <w:right w:w="65" w:type="dxa"/>
            </w:tcMar>
          </w:tcPr>
          <w:p>
            <w:pPr>
              <w:spacing w:after="0" w:line="240" w:lineRule="auto"/>
              <w:jc w:val="center"/>
            </w:pPr>
            <w:r>
              <w:rPr>
                <w:b w:val="0"/>
                <w:sz w:val="18"/>
              </w:rPr>
              <w:t>28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15</w:t>
            </w:r>
          </w:p>
        </w:tc>
        <w:tc>
          <w:tcPr>
            <w:tcW w:type="dxa" w:w="72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6</w:t>
            </w:r>
          </w:p>
        </w:tc>
        <w:tc>
          <w:tcPr>
            <w:tcW w:type="dxa" w:w="1181"/>
            <w:vAlign w:val="center"/>
            <w:tcMar>
              <w:top w:w="65" w:type="dxa"/>
              <w:bottom w:w="65" w:type="dxa"/>
              <w:left w:w="65" w:type="dxa"/>
              <w:right w:w="65" w:type="dxa"/>
            </w:tcMar>
          </w:tcPr>
          <w:p>
            <w:pPr>
              <w:spacing w:after="0" w:line="240" w:lineRule="auto"/>
              <w:jc w:val="center"/>
            </w:pPr>
            <w:r>
              <w:rPr>
                <w:b w:val="0"/>
                <w:sz w:val="18"/>
              </w:rPr>
              <w:t>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4</w:t>
            </w:r>
          </w:p>
        </w:tc>
        <w:tc>
          <w:tcPr>
            <w:tcW w:type="dxa" w:w="72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3</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c>
          <w:tcPr>
            <w:tcW w:type="dxa" w:w="720"/>
            <w:vAlign w:val="center"/>
            <w:tcMar>
              <w:top w:w="65" w:type="dxa"/>
              <w:bottom w:w="65" w:type="dxa"/>
              <w:left w:w="65" w:type="dxa"/>
              <w:right w:w="65" w:type="dxa"/>
            </w:tcMar>
          </w:tcPr>
          <w:p>
            <w:pPr>
              <w:spacing w:after="0" w:line="240" w:lineRule="auto"/>
              <w:jc w:val="center"/>
            </w:pPr>
            <w:r>
              <w:rPr>
                <w:b w:val="0"/>
                <w:sz w:val="18"/>
              </w:rPr>
              <w:t>111</w:t>
            </w:r>
          </w:p>
        </w:tc>
        <w:tc>
          <w:tcPr>
            <w:tcW w:type="dxa" w:w="979"/>
            <w:vAlign w:val="center"/>
            <w:tcMar>
              <w:top w:w="65" w:type="dxa"/>
              <w:bottom w:w="65" w:type="dxa"/>
              <w:left w:w="65" w:type="dxa"/>
              <w:right w:w="65" w:type="dxa"/>
            </w:tcMar>
          </w:tcPr>
          <w:p>
            <w:pPr>
              <w:spacing w:after="0" w:line="240" w:lineRule="auto"/>
              <w:jc w:val="center"/>
            </w:pPr>
            <w:r>
              <w:rPr>
                <w:b w:val="0"/>
                <w:sz w:val="18"/>
              </w:rPr>
              <w:t>125</w:t>
            </w:r>
          </w:p>
        </w:tc>
        <w:tc>
          <w:tcPr>
            <w:tcW w:type="dxa" w:w="936"/>
            <w:vAlign w:val="center"/>
            <w:tcMar>
              <w:top w:w="65" w:type="dxa"/>
              <w:bottom w:w="65" w:type="dxa"/>
              <w:left w:w="65" w:type="dxa"/>
              <w:right w:w="65" w:type="dxa"/>
            </w:tcMar>
          </w:tcPr>
          <w:p>
            <w:pPr>
              <w:spacing w:after="0" w:line="240" w:lineRule="auto"/>
              <w:jc w:val="center"/>
            </w:pPr>
            <w:r>
              <w:rPr>
                <w:b w:val="0"/>
                <w:sz w:val="18"/>
              </w:rPr>
              <w:t>126</w:t>
            </w:r>
          </w:p>
        </w:tc>
        <w:tc>
          <w:tcPr>
            <w:tcW w:type="dxa" w:w="1181"/>
            <w:vAlign w:val="center"/>
            <w:tcMar>
              <w:top w:w="65" w:type="dxa"/>
              <w:bottom w:w="65" w:type="dxa"/>
              <w:left w:w="65" w:type="dxa"/>
              <w:right w:w="65" w:type="dxa"/>
            </w:tcMar>
          </w:tcPr>
          <w:p>
            <w:pPr>
              <w:spacing w:after="0" w:line="240" w:lineRule="auto"/>
              <w:jc w:val="center"/>
            </w:pPr>
            <w:r>
              <w:rPr>
                <w:b w:val="0"/>
                <w:sz w:val="18"/>
              </w:rPr>
              <w:t>138</w:t>
            </w:r>
          </w:p>
        </w:tc>
      </w:tr>
    </w:tbl>
    <w:p>
      <w:pPr>
        <w:spacing w:after="40"/>
      </w:pPr>
    </w:p>
    <w:p>
      <w:r>
        <w:t xml:space="preserve">Table 5 separates interval resolution effects: in the exploratory grid the separate-gain envelope gains one accept at 4096 cells while the new envelope is unchanged; in the validation batch the counts are unchanged at every resolution. Decomposing the gap on the 2160 validation rows, the numerical interval loss (upper estimate minus the 256 cell certified bound) has median </w:t>
      </w:r>
      <m:oMath>
        <m:r>
          <m:t xml:space="preserve">1</m:t>
        </m:r>
        <m:r>
          <m:t xml:space="preserve">.</m:t>
        </m:r>
        <m:r>
          <m:t xml:space="preserve">2</m:t>
        </m:r>
        <m:r>
          <m:t xml:space="preserve">2</m:t>
        </m:r>
        <m:r>
          <m:t xml:space="preserve">×</m:t>
        </m:r>
        <m:r>
          <m:t xml:space="preserve">1</m:t>
        </m:r>
        <m:sSup>
          <m:e>
            <m:r>
              <m:t xml:space="preserve">0</m:t>
            </m:r>
          </m:e>
          <m:sup>
            <m:r>
              <m:t xml:space="preserve">−</m:t>
            </m:r>
            <m:r>
              <m:t xml:space="preserve">3</m:t>
            </m:r>
          </m:sup>
        </m:sSup>
      </m:oMath>
      <w:r>
        <w:t xml:space="preserve"> and maximum </w:t>
      </w:r>
      <m:oMath>
        <m:r>
          <m:t xml:space="preserve">2</m:t>
        </m:r>
        <m:r>
          <m:t xml:space="preserve">.</m:t>
        </m:r>
        <m:r>
          <m:t xml:space="preserve">5</m:t>
        </m:r>
        <m:r>
          <m:t xml:space="preserve">3</m:t>
        </m:r>
        <m:r>
          <m:t xml:space="preserve">×</m:t>
        </m:r>
        <m:r>
          <m:t xml:space="preserve">1</m:t>
        </m:r>
        <m:sSup>
          <m:e>
            <m:r>
              <m:t xml:space="preserve">0</m:t>
            </m:r>
          </m:e>
          <m:sup>
            <m:r>
              <m:t xml:space="preserve">−</m:t>
            </m:r>
            <m:r>
              <m:t xml:space="preserve">2</m:t>
            </m:r>
          </m:sup>
        </m:sSup>
      </m:oMath>
      <w:r>
        <w:t xml:space="preserve">, whereas the theoretical envelope gap (reference minus upper estimate) has median </w:t>
      </w:r>
      <m:oMath>
        <m:r>
          <m:t xml:space="preserve">6</m:t>
        </m:r>
        <m:r>
          <m:t xml:space="preserve">.</m:t>
        </m:r>
        <m:r>
          <m:t xml:space="preserve">0</m:t>
        </m:r>
        <m:r>
          <m:t xml:space="preserve">8</m:t>
        </m:r>
        <m:r>
          <m:t xml:space="preserve">×</m:t>
        </m:r>
        <m:r>
          <m:t xml:space="preserve">1</m:t>
        </m:r>
        <m:sSup>
          <m:e>
            <m:r>
              <m:t xml:space="preserve">0</m:t>
            </m:r>
          </m:e>
          <m:sup>
            <m:r>
              <m:t xml:space="preserve">−</m:t>
            </m:r>
            <m:r>
              <m:t xml:space="preserve">2</m:t>
            </m:r>
          </m:sup>
        </m:sSup>
      </m:oMath>
      <w:r>
        <w:t xml:space="preserve"> and maximum 2.68: certification outcomes are limited by the theoretical envelope rather than by the interval discretization.</w:t>
      </w:r>
    </w:p>
    <w:p>
      <w:pPr>
        <w:pStyle w:val="Caption"/>
        <w:keepNext/>
      </w:pPr>
      <w:r>
        <w:t>Table 5. Interval resolution ablation (accepted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1440"/>
            <w:vAlign w:val="center"/>
            <w:tcMar>
              <w:top w:w="65" w:type="dxa"/>
              <w:bottom w:w="65" w:type="dxa"/>
              <w:left w:w="65" w:type="dxa"/>
              <w:right w:w="65" w:type="dxa"/>
            </w:tcMar>
            <w:shd w:fill="E8EDF2"/>
          </w:tcPr>
          <w:p>
            <w:pPr>
              <w:spacing w:after="0" w:line="240" w:lineRule="auto"/>
              <w:jc w:val="center"/>
            </w:pPr>
            <w:r>
              <w:rPr>
                <w:b/>
                <w:sz w:val="18"/>
              </w:rPr>
              <w:t>Cohort</w:t>
            </w:r>
          </w:p>
        </w:tc>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1152"/>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Added</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381</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9</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bl>
    <w:p>
      <w:pPr>
        <w:spacing w:after="40"/>
      </w:pPr>
    </w:p>
    <w:p>
      <w:r>
        <w:t xml:space="preserve">A second validation flavor uses an illustrative heterogeneous-link pool (seeds 301–305, same 540-unit structure): two base stations and a 16 element RIS with fixed geometry; user links with distance-dependent path loss </w:t>
      </w:r>
      <m:oMath>
        <m:r>
          <m:t xml:space="preserve">P</m:t>
        </m:r>
        <m:r>
          <m:t xml:space="preserve">L</m:t>
        </m:r>
        <m:d>
          <m:dPr>
            <m:begChr m:val="("/>
            <m:endChr m:val=")"/>
          </m:dPr>
          <m:e>
            <m:r>
              <m:t xml:space="preserve">d</m:t>
            </m:r>
          </m:e>
        </m:d>
        <m:r>
          <m:t xml:space="preserve">=</m:t>
        </m:r>
        <m:r>
          <m:t xml:space="preserve">1</m:t>
        </m:r>
        <m:r>
          <m:t xml:space="preserve">0</m:t>
        </m:r>
        <m:r>
          <m:t xml:space="preserve">+</m:t>
        </m:r>
        <m:r>
          <m:t xml:space="preserve">3</m:t>
        </m:r>
        <m:r>
          <m:t xml:space="preserve">0</m:t>
        </m:r>
        <m:r>
          <m:t xml:space="preserve">l</m:t>
        </m:r>
        <m:r>
          <m:t xml:space="preserve">o</m:t>
        </m:r>
        <m:sSub>
          <m:e>
            <m:r>
              <m:t xml:space="preserve">g</m:t>
            </m:r>
          </m:e>
          <m:sub>
            <m:r>
              <m:t xml:space="preserve">1</m:t>
            </m:r>
            <m:r>
              <m:t xml:space="preserve">0</m:t>
            </m:r>
          </m:sub>
        </m:sSub>
        <m:d>
          <m:dPr>
            <m:begChr m:val="("/>
            <m:endChr m:val=")"/>
          </m:dPr>
          <m:e>
            <m:r>
              <m:t xml:space="preserve">d</m:t>
            </m:r>
            <m:r>
              <m:t xml:space="preserve">/</m:t>
            </m:r>
            <m:r>
              <m:t xml:space="preserve">1</m:t>
            </m:r>
            <m:r>
              <m:t xml:space="preserve">0</m:t>
            </m:r>
          </m:e>
        </m:d>
      </m:oMath>
      <w:r>
        <w:t xml:space="preserve"> dB, a fixed 12 dB BS–RIS link, Rician factor </w:t>
      </w:r>
      <m:oMath>
        <m:r>
          <m:t xml:space="preserve">K</m:t>
        </m:r>
        <m:r>
          <m:t xml:space="preserve">=</m:t>
        </m:r>
        <m:r>
          <m:t xml:space="preserve">3</m:t>
        </m:r>
      </m:oMath>
      <w:r>
        <w:t xml:space="preserve"> on BS–RIS and RIS–UE links and Rayleigh BS–UE links; the same candidate rules; per base station power 1 with 0.5 per stream; noise power 0.05; relative balls </w:t>
      </w:r>
      <m:oMath>
        <m:r>
          <m:t xml:space="preserve">r</m:t>
        </m:r>
        <m:r>
          <m:t xml:space="preserve">=</m:t>
        </m:r>
        <m:r>
          <m:t xml:space="preserve">ρ</m:t>
        </m:r>
        <m:r>
          <m:t xml:space="preserve">∥</m:t>
        </m:r>
        <m:r>
          <m:t xml:space="preserve">h</m:t>
        </m:r>
        <m:r>
          <m:t xml:space="preserve">̂</m:t>
        </m:r>
        <m:r>
          <m:t xml:space="preserve">∥</m:t>
        </m:r>
      </m:oMath>
      <w:r>
        <w:t xml:space="preserve">. The radii are interpreted through the deterministic energy-ratio reading </w:t>
      </w:r>
      <m:oMath>
        <m:r>
          <m:t xml:space="preserve">∥</m:t>
        </m:r>
        <m:r>
          <m:t xml:space="preserve">e</m:t>
        </m:r>
        <m:sSup>
          <m:e>
            <m:r>
              <m:t xml:space="preserve">∥</m:t>
            </m:r>
          </m:e>
          <m:sup>
            <m:r>
              <m:t xml:space="preserve">2</m:t>
            </m:r>
          </m:sup>
        </m:sSup>
        <m:r>
          <m:t xml:space="preserve">/</m:t>
        </m:r>
        <m:r>
          <m:t xml:space="preserve">∥</m:t>
        </m:r>
        <m:r>
          <m:t xml:space="preserve">h</m:t>
        </m:r>
        <m:r>
          <m:t xml:space="preserve">̂</m:t>
        </m:r>
        <m:sSup>
          <m:e>
            <m:r>
              <m:t xml:space="preserve">∥</m:t>
            </m:r>
          </m:e>
          <m:sup>
            <m:r>
              <m:t xml:space="preserve">2</m:t>
            </m:r>
          </m:sup>
        </m:sSup>
        <m:r>
          <m:t xml:space="preserve">≤</m:t>
        </m:r>
        <m:sSup>
          <m:e>
            <m:r>
              <m:t xml:space="preserve">ρ</m:t>
            </m:r>
          </m:e>
          <m:sup>
            <m:r>
              <m:t xml:space="preserve">2</m:t>
            </m:r>
          </m:sup>
        </m:sSup>
      </m:oMath>
      <w:r>
        <w:t xml:space="preserve">, whose dB value is </w:t>
      </w:r>
      <m:oMath>
        <m:r>
          <m:t xml:space="preserve">2</m:t>
        </m:r>
        <m:r>
          <m:t xml:space="preserve">0</m:t>
        </m:r>
        <m:r>
          <m:t xml:space="preserve">l</m:t>
        </m:r>
        <m:r>
          <m:t xml:space="preserve">o</m:t>
        </m:r>
        <m:sSub>
          <m:e>
            <m:r>
              <m:t xml:space="preserve">g</m:t>
            </m:r>
          </m:e>
          <m:sub>
            <m:r>
              <m:t xml:space="preserve">1</m:t>
            </m:r>
            <m:r>
              <m:t xml:space="preserve">0</m:t>
            </m:r>
          </m:sub>
        </m:sSub>
        <m:r>
          <m:t xml:space="preserve">ρ</m:t>
        </m:r>
      </m:oMath>
      <w:r>
        <w:t xml:space="preserve"> (−24.44, −16.48, −10.46 dB for the three radii); this is a worst-case ball interpretation, not a statistical NMSE, which would require a separately specified error distribution, normalization and coverage probability. The pool is illustrative heterogeneous scaling, not a calibrated system model. All references are valid, no bound violation occurs, and the main conclusions reappear: of 540 units (211 feasible), the separate-gain envelope accepts 156, the new envelope 163 (77.25% versus 73.93% of feasible; seven units flipped), </w:t>
      </w:r>
      <m:oMath>
        <m:sSub>
          <m:e>
            <m:r>
              <m:t xml:space="preserve">L</m:t>
            </m:r>
          </m:e>
          <m:sub>
            <m:r>
              <m:t xml:space="preserve">q</m:t>
            </m:r>
            <m:r>
              <m:t xml:space="preserve">u</m:t>
            </m:r>
            <m:r>
              <m:t xml:space="preserve">a</m:t>
            </m:r>
            <m:r>
              <m:t xml:space="preserve">d</m:t>
            </m:r>
          </m:sub>
        </m:sSub>
      </m:oMath>
      <w:r>
        <w:t xml:space="preserve"> 186, and the joint maximum 190 (90.05%).</w:t>
      </w:r>
    </w:p>
    <w:p>
      <w:pPr>
        <w:pStyle w:val="Caption"/>
        <w:keepNext/>
      </w:pPr>
      <w:r>
        <w:t>Table 6. Illustrative heterogeneous-link pool (seeds 301–305; distance-dependent path loss, Rician K=3 and Rayleigh components; 540 units, 256 cells). r = ρ‖ĥ‖; 20log10(ρ) is a deterministic worst-case energy-ratio reading, not a statistical NMSE.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080"/>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1008"/>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864"/>
            <w:vAlign w:val="center"/>
            <w:tcMar>
              <w:top w:w="65" w:type="dxa"/>
              <w:bottom w:w="65" w:type="dxa"/>
              <w:left w:w="65" w:type="dxa"/>
              <w:right w:w="65" w:type="dxa"/>
            </w:tcMar>
            <w:shd w:fill="E8EDF2"/>
          </w:tcPr>
          <w:p>
            <w:pPr>
              <w:spacing w:after="0" w:line="240" w:lineRule="auto"/>
              <w:jc w:val="center"/>
            </w:pPr>
            <w:r>
              <w:rPr>
                <w:b/>
                <w:sz w:val="18"/>
              </w:rPr>
              <w:t>Flips</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59</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936"/>
            <w:vAlign w:val="center"/>
            <w:tcMar>
              <w:top w:w="65" w:type="dxa"/>
              <w:bottom w:w="65" w:type="dxa"/>
              <w:left w:w="65" w:type="dxa"/>
              <w:right w:w="65" w:type="dxa"/>
            </w:tcMar>
          </w:tcPr>
          <w:p>
            <w:pPr>
              <w:spacing w:after="0" w:line="240" w:lineRule="auto"/>
              <w:jc w:val="center"/>
            </w:pPr>
            <w:r>
              <w:rPr>
                <w:b w:val="0"/>
                <w:sz w:val="18"/>
              </w:rPr>
              <w:t>59</w:t>
            </w:r>
          </w:p>
        </w:tc>
        <w:tc>
          <w:tcPr>
            <w:tcW w:type="dxa" w:w="1181"/>
            <w:vAlign w:val="center"/>
            <w:tcMar>
              <w:top w:w="65" w:type="dxa"/>
              <w:bottom w:w="65" w:type="dxa"/>
              <w:left w:w="65" w:type="dxa"/>
              <w:right w:w="65" w:type="dxa"/>
            </w:tcMar>
          </w:tcPr>
          <w:p>
            <w:pPr>
              <w:spacing w:after="0" w:line="240" w:lineRule="auto"/>
              <w:jc w:val="center"/>
            </w:pPr>
            <w:r>
              <w:rPr>
                <w:b w:val="0"/>
                <w:sz w:val="18"/>
              </w:rPr>
              <w:t>59</w:t>
            </w:r>
          </w:p>
        </w:tc>
        <w:tc>
          <w:tcPr>
            <w:tcW w:type="dxa" w:w="1008"/>
            <w:vAlign w:val="center"/>
            <w:tcMar>
              <w:top w:w="65" w:type="dxa"/>
              <w:bottom w:w="65" w:type="dxa"/>
              <w:left w:w="65" w:type="dxa"/>
              <w:right w:w="65" w:type="dxa"/>
            </w:tcMar>
          </w:tcPr>
          <w:p>
            <w:pPr>
              <w:spacing w:after="0" w:line="240" w:lineRule="auto"/>
              <w:jc w:val="center"/>
            </w:pPr>
            <w:r>
              <w:rPr>
                <w:b w:val="0"/>
                <w:sz w:val="18"/>
              </w:rPr>
              <w:t>59</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49</w:t>
            </w:r>
          </w:p>
        </w:tc>
        <w:tc>
          <w:tcPr>
            <w:tcW w:type="dxa" w:w="979"/>
            <w:vAlign w:val="center"/>
            <w:tcMar>
              <w:top w:w="65" w:type="dxa"/>
              <w:bottom w:w="65" w:type="dxa"/>
              <w:left w:w="65" w:type="dxa"/>
              <w:right w:w="65" w:type="dxa"/>
            </w:tcMar>
          </w:tcPr>
          <w:p>
            <w:pPr>
              <w:spacing w:after="0" w:line="240" w:lineRule="auto"/>
              <w:jc w:val="center"/>
            </w:pPr>
            <w:r>
              <w:rPr>
                <w:b w:val="0"/>
                <w:sz w:val="18"/>
              </w:rPr>
              <w:t>40</w:t>
            </w:r>
          </w:p>
        </w:tc>
        <w:tc>
          <w:tcPr>
            <w:tcW w:type="dxa" w:w="936"/>
            <w:vAlign w:val="center"/>
            <w:tcMar>
              <w:top w:w="65" w:type="dxa"/>
              <w:bottom w:w="65" w:type="dxa"/>
              <w:left w:w="65" w:type="dxa"/>
              <w:right w:w="65" w:type="dxa"/>
            </w:tcMar>
          </w:tcPr>
          <w:p>
            <w:pPr>
              <w:spacing w:after="0" w:line="240" w:lineRule="auto"/>
              <w:jc w:val="center"/>
            </w:pPr>
            <w:r>
              <w:rPr>
                <w:b w:val="0"/>
                <w:sz w:val="18"/>
              </w:rPr>
              <w:t>41</w:t>
            </w:r>
          </w:p>
        </w:tc>
        <w:tc>
          <w:tcPr>
            <w:tcW w:type="dxa" w:w="1181"/>
            <w:vAlign w:val="center"/>
            <w:tcMar>
              <w:top w:w="65" w:type="dxa"/>
              <w:bottom w:w="65" w:type="dxa"/>
              <w:left w:w="65" w:type="dxa"/>
              <w:right w:w="65" w:type="dxa"/>
            </w:tcMar>
          </w:tcPr>
          <w:p>
            <w:pPr>
              <w:spacing w:after="0" w:line="240" w:lineRule="auto"/>
              <w:jc w:val="center"/>
            </w:pPr>
            <w:r>
              <w:rPr>
                <w:b w:val="0"/>
                <w:sz w:val="18"/>
              </w:rPr>
              <w:t>44</w:t>
            </w:r>
          </w:p>
        </w:tc>
        <w:tc>
          <w:tcPr>
            <w:tcW w:type="dxa" w:w="1008"/>
            <w:vAlign w:val="center"/>
            <w:tcMar>
              <w:top w:w="65" w:type="dxa"/>
              <w:bottom w:w="65" w:type="dxa"/>
              <w:left w:w="65" w:type="dxa"/>
              <w:right w:w="65" w:type="dxa"/>
            </w:tcMar>
          </w:tcPr>
          <w:p>
            <w:pPr>
              <w:spacing w:after="0" w:line="240" w:lineRule="auto"/>
              <w:jc w:val="center"/>
            </w:pPr>
            <w:r>
              <w:rPr>
                <w:b w:val="0"/>
                <w:sz w:val="18"/>
              </w:rPr>
              <w:t>45</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23</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7</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13</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39</w:t>
            </w:r>
          </w:p>
        </w:tc>
        <w:tc>
          <w:tcPr>
            <w:tcW w:type="dxa" w:w="979"/>
            <w:vAlign w:val="center"/>
            <w:tcMar>
              <w:top w:w="65" w:type="dxa"/>
              <w:bottom w:w="65" w:type="dxa"/>
              <w:left w:w="65" w:type="dxa"/>
              <w:right w:w="65" w:type="dxa"/>
            </w:tcMar>
          </w:tcPr>
          <w:p>
            <w:pPr>
              <w:spacing w:after="0" w:line="240" w:lineRule="auto"/>
              <w:jc w:val="center"/>
            </w:pPr>
            <w:r>
              <w:rPr>
                <w:b w:val="0"/>
                <w:sz w:val="18"/>
              </w:rPr>
              <w:t>29</w:t>
            </w:r>
          </w:p>
        </w:tc>
        <w:tc>
          <w:tcPr>
            <w:tcW w:type="dxa" w:w="936"/>
            <w:vAlign w:val="center"/>
            <w:tcMar>
              <w:top w:w="65" w:type="dxa"/>
              <w:bottom w:w="65" w:type="dxa"/>
              <w:left w:w="65" w:type="dxa"/>
              <w:right w:w="65" w:type="dxa"/>
            </w:tcMar>
          </w:tcPr>
          <w:p>
            <w:pPr>
              <w:spacing w:after="0" w:line="240" w:lineRule="auto"/>
              <w:jc w:val="center"/>
            </w:pPr>
            <w:r>
              <w:rPr>
                <w:b w:val="0"/>
                <w:sz w:val="18"/>
              </w:rPr>
              <w:t>31</w:t>
            </w:r>
          </w:p>
        </w:tc>
        <w:tc>
          <w:tcPr>
            <w:tcW w:type="dxa" w:w="1181"/>
            <w:vAlign w:val="center"/>
            <w:tcMar>
              <w:top w:w="65" w:type="dxa"/>
              <w:bottom w:w="65" w:type="dxa"/>
              <w:left w:w="65" w:type="dxa"/>
              <w:right w:w="65" w:type="dxa"/>
            </w:tcMar>
          </w:tcPr>
          <w:p>
            <w:pPr>
              <w:spacing w:after="0" w:line="240" w:lineRule="auto"/>
              <w:jc w:val="center"/>
            </w:pPr>
            <w:r>
              <w:rPr>
                <w:b w:val="0"/>
                <w:sz w:val="18"/>
              </w:rPr>
              <w:t>38</w:t>
            </w:r>
          </w:p>
        </w:tc>
        <w:tc>
          <w:tcPr>
            <w:tcW w:type="dxa" w:w="1008"/>
            <w:vAlign w:val="center"/>
            <w:tcMar>
              <w:top w:w="65" w:type="dxa"/>
              <w:bottom w:w="65" w:type="dxa"/>
              <w:left w:w="65" w:type="dxa"/>
              <w:right w:w="65" w:type="dxa"/>
            </w:tcMar>
          </w:tcPr>
          <w:p>
            <w:pPr>
              <w:spacing w:after="0" w:line="240" w:lineRule="auto"/>
              <w:jc w:val="center"/>
            </w:pPr>
            <w:r>
              <w:rPr>
                <w:b w:val="0"/>
                <w:sz w:val="18"/>
              </w:rPr>
              <w:t>38</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11</w:t>
            </w:r>
          </w:p>
        </w:tc>
        <w:tc>
          <w:tcPr>
            <w:tcW w:type="dxa" w:w="936"/>
            <w:vAlign w:val="center"/>
            <w:tcMar>
              <w:top w:w="65" w:type="dxa"/>
              <w:bottom w:w="65" w:type="dxa"/>
              <w:left w:w="65" w:type="dxa"/>
              <w:right w:w="65" w:type="dxa"/>
            </w:tcMar>
          </w:tcPr>
          <w:p>
            <w:pPr>
              <w:spacing w:after="0" w:line="240" w:lineRule="auto"/>
              <w:jc w:val="center"/>
            </w:pPr>
            <w:r>
              <w:rPr>
                <w:b w:val="0"/>
                <w:sz w:val="18"/>
              </w:rPr>
              <w:t>11</w:t>
            </w:r>
          </w:p>
        </w:tc>
        <w:tc>
          <w:tcPr>
            <w:tcW w:type="dxa" w:w="1181"/>
            <w:vAlign w:val="center"/>
            <w:tcMar>
              <w:top w:w="65" w:type="dxa"/>
              <w:bottom w:w="65" w:type="dxa"/>
              <w:left w:w="65" w:type="dxa"/>
              <w:right w:w="65" w:type="dxa"/>
            </w:tcMar>
          </w:tcPr>
          <w:p>
            <w:pPr>
              <w:spacing w:after="0" w:line="240" w:lineRule="auto"/>
              <w:jc w:val="center"/>
            </w:pPr>
            <w:r>
              <w:rPr>
                <w:b w:val="0"/>
                <w:sz w:val="18"/>
              </w:rPr>
              <w:t>19</w:t>
            </w:r>
          </w:p>
        </w:tc>
        <w:tc>
          <w:tcPr>
            <w:tcW w:type="dxa" w:w="1008"/>
            <w:vAlign w:val="center"/>
            <w:tcMar>
              <w:top w:w="65" w:type="dxa"/>
              <w:bottom w:w="65" w:type="dxa"/>
              <w:left w:w="65" w:type="dxa"/>
              <w:right w:w="65" w:type="dxa"/>
            </w:tcMar>
          </w:tcPr>
          <w:p>
            <w:pPr>
              <w:spacing w:after="0" w:line="240" w:lineRule="auto"/>
              <w:jc w:val="center"/>
            </w:pPr>
            <w:r>
              <w:rPr>
                <w:b w:val="0"/>
                <w:sz w:val="18"/>
              </w:rPr>
              <w:t>19</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1</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11</w:t>
            </w:r>
          </w:p>
        </w:tc>
        <w:tc>
          <w:tcPr>
            <w:tcW w:type="dxa" w:w="979"/>
            <w:vAlign w:val="center"/>
            <w:tcMar>
              <w:top w:w="65" w:type="dxa"/>
              <w:bottom w:w="65" w:type="dxa"/>
              <w:left w:w="65" w:type="dxa"/>
              <w:right w:w="65" w:type="dxa"/>
            </w:tcMar>
          </w:tcPr>
          <w:p>
            <w:pPr>
              <w:spacing w:after="0" w:line="240" w:lineRule="auto"/>
              <w:jc w:val="center"/>
            </w:pPr>
            <w:r>
              <w:rPr>
                <w:b w:val="0"/>
                <w:sz w:val="18"/>
              </w:rPr>
              <w:t>10</w:t>
            </w:r>
          </w:p>
        </w:tc>
        <w:tc>
          <w:tcPr>
            <w:tcW w:type="dxa" w:w="936"/>
            <w:vAlign w:val="center"/>
            <w:tcMar>
              <w:top w:w="65" w:type="dxa"/>
              <w:bottom w:w="65" w:type="dxa"/>
              <w:left w:w="65" w:type="dxa"/>
              <w:right w:w="65" w:type="dxa"/>
            </w:tcMar>
          </w:tcPr>
          <w:p>
            <w:pPr>
              <w:spacing w:after="0" w:line="240" w:lineRule="auto"/>
              <w:jc w:val="center"/>
            </w:pPr>
            <w:r>
              <w:rPr>
                <w:b w:val="0"/>
                <w:sz w:val="18"/>
              </w:rPr>
              <w:t>10</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4</w:t>
            </w:r>
          </w:p>
        </w:tc>
        <w:tc>
          <w:tcPr>
            <w:tcW w:type="dxa" w:w="1008"/>
            <w:vAlign w:val="center"/>
            <w:tcMar>
              <w:top w:w="65" w:type="dxa"/>
              <w:bottom w:w="65" w:type="dxa"/>
              <w:left w:w="65" w:type="dxa"/>
              <w:right w:w="65" w:type="dxa"/>
            </w:tcMar>
          </w:tcPr>
          <w:p>
            <w:pPr>
              <w:spacing w:after="0" w:line="240" w:lineRule="auto"/>
              <w:jc w:val="center"/>
            </w:pPr>
            <w:r>
              <w:rPr>
                <w:b w:val="0"/>
                <w:sz w:val="18"/>
              </w:rPr>
              <w:t>4</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0</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080"/>
            <w:vAlign w:val="center"/>
            <w:tcMar>
              <w:top w:w="65" w:type="dxa"/>
              <w:bottom w:w="65" w:type="dxa"/>
              <w:left w:w="65" w:type="dxa"/>
              <w:right w:w="65" w:type="dxa"/>
            </w:tcMar>
          </w:tcPr>
          <w:p>
            <w:pPr>
              <w:spacing w:after="0" w:line="240" w:lineRule="auto"/>
              <w:jc w:val="center"/>
            </w:pPr>
            <w:r>
              <w:rPr>
                <w:b w:val="0"/>
                <w:sz w:val="18"/>
              </w:rPr>
              <w:t>211</w:t>
            </w:r>
          </w:p>
        </w:tc>
        <w:tc>
          <w:tcPr>
            <w:tcW w:type="dxa" w:w="979"/>
            <w:vAlign w:val="center"/>
            <w:tcMar>
              <w:top w:w="65" w:type="dxa"/>
              <w:bottom w:w="65" w:type="dxa"/>
              <w:left w:w="65" w:type="dxa"/>
              <w:right w:w="65" w:type="dxa"/>
            </w:tcMar>
          </w:tcPr>
          <w:p>
            <w:pPr>
              <w:spacing w:after="0" w:line="240" w:lineRule="auto"/>
              <w:jc w:val="center"/>
            </w:pPr>
            <w:r>
              <w:rPr>
                <w:b w:val="0"/>
                <w:sz w:val="18"/>
              </w:rPr>
              <w:t>156</w:t>
            </w:r>
          </w:p>
        </w:tc>
        <w:tc>
          <w:tcPr>
            <w:tcW w:type="dxa" w:w="936"/>
            <w:vAlign w:val="center"/>
            <w:tcMar>
              <w:top w:w="65" w:type="dxa"/>
              <w:bottom w:w="65" w:type="dxa"/>
              <w:left w:w="65" w:type="dxa"/>
              <w:right w:w="65" w:type="dxa"/>
            </w:tcMar>
          </w:tcPr>
          <w:p>
            <w:pPr>
              <w:spacing w:after="0" w:line="240" w:lineRule="auto"/>
              <w:jc w:val="center"/>
            </w:pPr>
            <w:r>
              <w:rPr>
                <w:b w:val="0"/>
                <w:sz w:val="18"/>
              </w:rPr>
              <w:t>163</w:t>
            </w:r>
          </w:p>
        </w:tc>
        <w:tc>
          <w:tcPr>
            <w:tcW w:type="dxa" w:w="1181"/>
            <w:vAlign w:val="center"/>
            <w:tcMar>
              <w:top w:w="65" w:type="dxa"/>
              <w:bottom w:w="65" w:type="dxa"/>
              <w:left w:w="65" w:type="dxa"/>
              <w:right w:w="65" w:type="dxa"/>
            </w:tcMar>
          </w:tcPr>
          <w:p>
            <w:pPr>
              <w:spacing w:after="0" w:line="240" w:lineRule="auto"/>
              <w:jc w:val="center"/>
            </w:pPr>
            <w:r>
              <w:rPr>
                <w:b w:val="0"/>
                <w:sz w:val="18"/>
              </w:rPr>
              <w:t>186</w:t>
            </w:r>
          </w:p>
        </w:tc>
        <w:tc>
          <w:tcPr>
            <w:tcW w:type="dxa" w:w="1008"/>
            <w:vAlign w:val="center"/>
            <w:tcMar>
              <w:top w:w="65" w:type="dxa"/>
              <w:bottom w:w="65" w:type="dxa"/>
              <w:left w:w="65" w:type="dxa"/>
              <w:right w:w="65" w:type="dxa"/>
            </w:tcMar>
          </w:tcPr>
          <w:p>
            <w:pPr>
              <w:spacing w:after="0" w:line="240" w:lineRule="auto"/>
              <w:jc w:val="center"/>
            </w:pPr>
            <w:r>
              <w:rPr>
                <w:b w:val="0"/>
                <w:sz w:val="18"/>
              </w:rPr>
              <w:t>190</w:t>
            </w:r>
          </w:p>
        </w:tc>
        <w:tc>
          <w:tcPr>
            <w:tcW w:type="dxa" w:w="864"/>
            <w:vAlign w:val="center"/>
            <w:tcMar>
              <w:top w:w="65" w:type="dxa"/>
              <w:bottom w:w="65" w:type="dxa"/>
              <w:left w:w="65" w:type="dxa"/>
              <w:right w:w="65" w:type="dxa"/>
            </w:tcMar>
          </w:tcPr>
          <w:p>
            <w:pPr>
              <w:spacing w:after="0" w:line="240" w:lineRule="auto"/>
              <w:jc w:val="center"/>
            </w:pPr>
            <w:r>
              <w:rPr>
                <w:b w:val="0"/>
                <w:sz w:val="18"/>
              </w:rPr>
              <w:t>7</w:t>
            </w:r>
          </w:p>
        </w:tc>
      </w:tr>
    </w:tbl>
    <w:p>
      <w:pPr>
        <w:spacing w:after="40"/>
      </w:pPr>
    </w:p>
    <w:p>
      <w:r>
        <w:t>Across the acceptance batches, the additional direct accepts of the new envelope over the separate-gain envelope are: easy pool 0 (saturated), sensitivity 10, validation 1, heterogeneous links 7. The gain is thus batch-dependent and modest wherever positive; no distributional claim is made from correlated units.</w:t>
      </w:r>
    </w:p>
    <w:p>
      <w:pPr>
        <w:pStyle w:val="Heading2"/>
      </w:pPr>
      <w:r>
        <w:t>7.5 Complementary certificates and staged screening</w:t>
      </w:r>
    </w:p>
    <w:p>
      <w:r>
        <w:t xml:space="preserve">The </w:t>
      </w:r>
      <m:oMath>
        <m:r>
          <m:t xml:space="preserve">6</m:t>
        </m:r>
        <m:r>
          <m:t xml:space="preserve">+</m:t>
        </m:r>
        <m:r>
          <m:t xml:space="preserve">κ</m:t>
        </m:r>
      </m:oMath>
      <w:r>
        <w:t xml:space="preserve"> quadratic bound and the six-scalar envelope use different information, and neither dominates. Taking the per user maximum and accepting a candidate only when every user passes the common threshold yields a strictly larger direct acceptance set: 424 of 472 feasible units (89.83%) in the exploratory grid versus 408 (86.44%) and 390 (82.63%); 139 of 159 (87.42%) versus 138 and 126 in the validation batch; and 190 of 211 (90.05%) versus 186 and 163 in the heterogeneous pool. The gain over the quadratic bound comes entirely from units certified only by the six-scalar envelope (16, 1 and 4 units respectively); no unit is accepted by the joint rule while both individual rules fail. The separable bound is dominated by the envelope at every user problem in all pools and is dropped from the flow.</w:t>
      </w:r>
    </w:p>
    <w:p>
      <w:pPr>
        <w:pStyle w:val="Caption"/>
        <w:keepNext/>
      </w:pPr>
      <w:r>
        <w:t>Table 7. Joint certification and selected pipeline (256 cells). Separate-gain = comparison envelope; confirmation entry: 202 is the common final accepted set; per-method entries are reference-call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Batch</w:t>
            </w:r>
          </w:p>
        </w:tc>
        <w:tc>
          <w:tcPr>
            <w:tcW w:type="dxa" w:w="1008"/>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864"/>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864"/>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1656"/>
            <w:vAlign w:val="center"/>
            <w:tcMar>
              <w:top w:w="65" w:type="dxa"/>
              <w:bottom w:w="65" w:type="dxa"/>
              <w:left w:w="65" w:type="dxa"/>
              <w:right w:w="65" w:type="dxa"/>
            </w:tcMar>
            <w:shd w:fill="E8EDF2"/>
          </w:tcPr>
          <w:p>
            <w:pPr>
              <w:spacing w:after="0" w:line="240" w:lineRule="auto"/>
              <w:jc w:val="center"/>
            </w:pPr>
            <w:r>
              <w:rPr>
                <w:b/>
                <w:sz w:val="18"/>
              </w:rPr>
              <w:t>Speedup</w:t>
            </w:r>
          </w:p>
        </w:tc>
        <w:tc>
          <w:tcPr>
            <w:tcW w:type="dxa" w:w="1368"/>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2448"/>
            <w:vAlign w:val="center"/>
            <w:tcMar>
              <w:top w:w="65" w:type="dxa"/>
              <w:bottom w:w="65" w:type="dxa"/>
              <w:left w:w="65" w:type="dxa"/>
              <w:right w:w="65" w:type="dxa"/>
            </w:tcMar>
          </w:tcPr>
          <w:p>
            <w:pPr>
              <w:spacing w:after="0" w:line="240" w:lineRule="auto"/>
              <w:jc w:val="center"/>
            </w:pPr>
            <w:r>
              <w:rPr>
                <w:b w:val="0"/>
                <w:sz w:val="18"/>
              </w:rPr>
              <w:t>Exploratory (1080 units)</w:t>
            </w:r>
          </w:p>
        </w:tc>
        <w:tc>
          <w:tcPr>
            <w:tcW w:type="dxa" w:w="1008"/>
            <w:vAlign w:val="center"/>
            <w:tcMar>
              <w:top w:w="65" w:type="dxa"/>
              <w:bottom w:w="65" w:type="dxa"/>
              <w:left w:w="65" w:type="dxa"/>
              <w:right w:w="65" w:type="dxa"/>
            </w:tcMar>
          </w:tcPr>
          <w:p>
            <w:pPr>
              <w:spacing w:after="0" w:line="240" w:lineRule="auto"/>
              <w:jc w:val="center"/>
            </w:pPr>
            <w:r>
              <w:rPr>
                <w:b w:val="0"/>
                <w:sz w:val="18"/>
              </w:rPr>
              <w:t>472</w:t>
            </w:r>
          </w:p>
        </w:tc>
        <w:tc>
          <w:tcPr>
            <w:tcW w:type="dxa" w:w="864"/>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408</w:t>
            </w:r>
          </w:p>
        </w:tc>
        <w:tc>
          <w:tcPr>
            <w:tcW w:type="dxa" w:w="864"/>
            <w:vAlign w:val="center"/>
            <w:tcMar>
              <w:top w:w="65" w:type="dxa"/>
              <w:bottom w:w="65" w:type="dxa"/>
              <w:left w:w="65" w:type="dxa"/>
              <w:right w:w="65" w:type="dxa"/>
            </w:tcMar>
          </w:tcPr>
          <w:p>
            <w:pPr>
              <w:spacing w:after="0" w:line="240" w:lineRule="auto"/>
              <w:jc w:val="center"/>
            </w:pPr>
            <w:r>
              <w:rPr>
                <w:b w:val="0"/>
                <w:sz w:val="18"/>
              </w:rPr>
              <w:t>424</w:t>
            </w:r>
          </w:p>
        </w:tc>
        <w:tc>
          <w:tcPr>
            <w:tcW w:type="dxa" w:w="1656"/>
            <w:vAlign w:val="center"/>
            <w:tcMar>
              <w:top w:w="65" w:type="dxa"/>
              <w:bottom w:w="65" w:type="dxa"/>
              <w:left w:w="65" w:type="dxa"/>
              <w:right w:w="65" w:type="dxa"/>
            </w:tcMar>
          </w:tcPr>
          <w:p>
            <w:pPr>
              <w:spacing w:after="0" w:line="240" w:lineRule="auto"/>
              <w:jc w:val="center"/>
            </w:pPr>
            <w:r>
              <w:rPr>
                <w:b w:val="0"/>
                <w:sz w:val="18"/>
              </w:rPr>
              <w:t>2.12× (25/30)</w:t>
            </w:r>
          </w:p>
        </w:tc>
        <w:tc>
          <w:tcPr>
            <w:tcW w:type="dxa" w:w="1368"/>
            <w:vAlign w:val="center"/>
            <w:tcMar>
              <w:top w:w="65" w:type="dxa"/>
              <w:bottom w:w="65" w:type="dxa"/>
              <w:left w:w="65" w:type="dxa"/>
              <w:right w:w="65" w:type="dxa"/>
            </w:tcMar>
          </w:tcPr>
          <w:p>
            <w:pPr>
              <w:spacing w:after="0" w:line="240" w:lineRule="auto"/>
              <w:jc w:val="center"/>
            </w:pPr>
            <w:r>
              <w:rPr>
                <w:b w:val="0"/>
                <w:sz w:val="18"/>
              </w:rPr>
              <w:t>2946→731</w:t>
            </w:r>
          </w:p>
        </w:tc>
      </w:tr>
      <w:tr>
        <w:tc>
          <w:tcPr>
            <w:tcW w:type="dxa" w:w="2448"/>
            <w:vAlign w:val="center"/>
            <w:tcMar>
              <w:top w:w="65" w:type="dxa"/>
              <w:bottom w:w="65" w:type="dxa"/>
              <w:left w:w="65" w:type="dxa"/>
              <w:right w:w="65" w:type="dxa"/>
            </w:tcMar>
          </w:tcPr>
          <w:p>
            <w:pPr>
              <w:spacing w:after="0" w:line="240" w:lineRule="auto"/>
              <w:jc w:val="center"/>
            </w:pPr>
            <w:r>
              <w:rPr>
                <w:b w:val="0"/>
                <w:sz w:val="18"/>
              </w:rPr>
              <w:t>Validation (540 units)</w:t>
            </w:r>
          </w:p>
        </w:tc>
        <w:tc>
          <w:tcPr>
            <w:tcW w:type="dxa" w:w="1008"/>
            <w:vAlign w:val="center"/>
            <w:tcMar>
              <w:top w:w="65" w:type="dxa"/>
              <w:bottom w:w="65" w:type="dxa"/>
              <w:left w:w="65" w:type="dxa"/>
              <w:right w:w="65" w:type="dxa"/>
            </w:tcMar>
          </w:tcPr>
          <w:p>
            <w:pPr>
              <w:spacing w:after="0" w:line="240" w:lineRule="auto"/>
              <w:jc w:val="center"/>
            </w:pPr>
            <w:r>
              <w:rPr>
                <w:b w:val="0"/>
                <w:sz w:val="18"/>
              </w:rPr>
              <w:t>159</w:t>
            </w:r>
          </w:p>
        </w:tc>
        <w:tc>
          <w:tcPr>
            <w:tcW w:type="dxa" w:w="864"/>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138</w:t>
            </w:r>
          </w:p>
        </w:tc>
        <w:tc>
          <w:tcPr>
            <w:tcW w:type="dxa" w:w="864"/>
            <w:vAlign w:val="center"/>
            <w:tcMar>
              <w:top w:w="65" w:type="dxa"/>
              <w:bottom w:w="65" w:type="dxa"/>
              <w:left w:w="65" w:type="dxa"/>
              <w:right w:w="65" w:type="dxa"/>
            </w:tcMar>
          </w:tcPr>
          <w:p>
            <w:pPr>
              <w:spacing w:after="0" w:line="240" w:lineRule="auto"/>
              <w:jc w:val="center"/>
            </w:pPr>
            <w:r>
              <w:rPr>
                <w:b w:val="0"/>
                <w:sz w:val="18"/>
              </w:rPr>
              <w:t>139</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Realistic pool (540 units)</w:t>
            </w:r>
          </w:p>
        </w:tc>
        <w:tc>
          <w:tcPr>
            <w:tcW w:type="dxa" w:w="1008"/>
            <w:vAlign w:val="center"/>
            <w:tcMar>
              <w:top w:w="65" w:type="dxa"/>
              <w:bottom w:w="65" w:type="dxa"/>
              <w:left w:w="65" w:type="dxa"/>
              <w:right w:w="65" w:type="dxa"/>
            </w:tcMar>
          </w:tcPr>
          <w:p>
            <w:pPr>
              <w:spacing w:after="0" w:line="240" w:lineRule="auto"/>
              <w:jc w:val="center"/>
            </w:pPr>
            <w:r>
              <w:rPr>
                <w:b w:val="0"/>
                <w:sz w:val="18"/>
              </w:rPr>
              <w:t>211</w:t>
            </w:r>
          </w:p>
        </w:tc>
        <w:tc>
          <w:tcPr>
            <w:tcW w:type="dxa" w:w="864"/>
            <w:vAlign w:val="center"/>
            <w:tcMar>
              <w:top w:w="65" w:type="dxa"/>
              <w:bottom w:w="65" w:type="dxa"/>
              <w:left w:w="65" w:type="dxa"/>
              <w:right w:w="65" w:type="dxa"/>
            </w:tcMar>
          </w:tcPr>
          <w:p>
            <w:pPr>
              <w:spacing w:after="0" w:line="240" w:lineRule="auto"/>
              <w:jc w:val="center"/>
            </w:pPr>
            <w:r>
              <w:rPr>
                <w:b w:val="0"/>
                <w:sz w:val="18"/>
              </w:rPr>
              <w:t>163</w:t>
            </w:r>
          </w:p>
        </w:tc>
        <w:tc>
          <w:tcPr>
            <w:tcW w:type="dxa" w:w="1008"/>
            <w:vAlign w:val="center"/>
            <w:tcMar>
              <w:top w:w="65" w:type="dxa"/>
              <w:bottom w:w="65" w:type="dxa"/>
              <w:left w:w="65" w:type="dxa"/>
              <w:right w:w="65" w:type="dxa"/>
            </w:tcMar>
          </w:tcPr>
          <w:p>
            <w:pPr>
              <w:spacing w:after="0" w:line="240" w:lineRule="auto"/>
              <w:jc w:val="center"/>
            </w:pPr>
            <w:r>
              <w:rPr>
                <w:b w:val="0"/>
                <w:sz w:val="18"/>
              </w:rPr>
              <w:t>186</w:t>
            </w:r>
          </w:p>
        </w:tc>
        <w:tc>
          <w:tcPr>
            <w:tcW w:type="dxa" w:w="864"/>
            <w:vAlign w:val="center"/>
            <w:tcMar>
              <w:top w:w="65" w:type="dxa"/>
              <w:bottom w:w="65" w:type="dxa"/>
              <w:left w:w="65" w:type="dxa"/>
              <w:right w:w="65" w:type="dxa"/>
            </w:tcMar>
          </w:tcPr>
          <w:p>
            <w:pPr>
              <w:spacing w:after="0" w:line="240" w:lineRule="auto"/>
              <w:jc w:val="center"/>
            </w:pPr>
            <w:r>
              <w:rPr>
                <w:b w:val="0"/>
                <w:sz w:val="18"/>
              </w:rPr>
              <w:t>190</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Confirmation (540, fresh)</w:t>
            </w:r>
          </w:p>
        </w:tc>
        <w:tc>
          <w:tcPr>
            <w:tcW w:type="dxa" w:w="1008"/>
            <w:vAlign w:val="center"/>
            <w:tcMar>
              <w:top w:w="65" w:type="dxa"/>
              <w:bottom w:w="65" w:type="dxa"/>
              <w:left w:w="65" w:type="dxa"/>
              <w:right w:w="65" w:type="dxa"/>
            </w:tcMar>
          </w:tcPr>
          <w:p>
            <w:pPr>
              <w:spacing w:after="0" w:line="240" w:lineRule="auto"/>
              <w:jc w:val="center"/>
            </w:pPr>
            <w:r>
              <w:rPr>
                <w:b w:val="0"/>
                <w:sz w:val="18"/>
              </w:rPr>
              <w:t>202*</w:t>
            </w:r>
          </w:p>
        </w:tc>
        <w:tc>
          <w:tcPr>
            <w:tcW w:type="dxa" w:w="864"/>
            <w:vAlign w:val="center"/>
            <w:tcMar>
              <w:top w:w="65" w:type="dxa"/>
              <w:bottom w:w="65" w:type="dxa"/>
              <w:left w:w="65" w:type="dxa"/>
              <w:right w:w="65" w:type="dxa"/>
            </w:tcMar>
          </w:tcPr>
          <w:p>
            <w:pPr>
              <w:spacing w:after="0" w:line="240" w:lineRule="auto"/>
              <w:jc w:val="center"/>
            </w:pPr>
            <w:r>
              <w:rPr>
                <w:b w:val="0"/>
                <w:sz w:val="18"/>
              </w:rPr>
              <w:t>471</w:t>
            </w:r>
          </w:p>
        </w:tc>
        <w:tc>
          <w:tcPr>
            <w:tcW w:type="dxa" w:w="1008"/>
            <w:vAlign w:val="center"/>
            <w:tcMar>
              <w:top w:w="65" w:type="dxa"/>
              <w:bottom w:w="65" w:type="dxa"/>
              <w:left w:w="65" w:type="dxa"/>
              <w:right w:w="65" w:type="dxa"/>
            </w:tcMar>
          </w:tcPr>
          <w:p>
            <w:pPr>
              <w:spacing w:after="0" w:line="240" w:lineRule="auto"/>
              <w:jc w:val="center"/>
            </w:pPr>
            <w:r>
              <w:rPr>
                <w:b w:val="0"/>
                <w:sz w:val="18"/>
              </w:rPr>
              <w:t>422</w:t>
            </w:r>
          </w:p>
        </w:tc>
        <w:tc>
          <w:tcPr>
            <w:tcW w:type="dxa" w:w="864"/>
            <w:vAlign w:val="center"/>
            <w:tcMar>
              <w:top w:w="65" w:type="dxa"/>
              <w:bottom w:w="65" w:type="dxa"/>
              <w:left w:w="65" w:type="dxa"/>
              <w:right w:w="65" w:type="dxa"/>
            </w:tcMar>
          </w:tcPr>
          <w:p>
            <w:pPr>
              <w:spacing w:after="0" w:line="240" w:lineRule="auto"/>
              <w:jc w:val="center"/>
            </w:pPr>
            <w:r>
              <w:rPr>
                <w:b w:val="0"/>
                <w:sz w:val="18"/>
              </w:rPr>
              <w:t>394</w:t>
            </w:r>
          </w:p>
        </w:tc>
        <w:tc>
          <w:tcPr>
            <w:tcW w:type="dxa" w:w="1656"/>
            <w:vAlign w:val="center"/>
            <w:tcMar>
              <w:top w:w="65" w:type="dxa"/>
              <w:bottom w:w="65" w:type="dxa"/>
              <w:left w:w="65" w:type="dxa"/>
              <w:right w:w="65" w:type="dxa"/>
            </w:tcMar>
          </w:tcPr>
          <w:p>
            <w:pPr>
              <w:spacing w:after="0" w:line="240" w:lineRule="auto"/>
              <w:jc w:val="center"/>
            </w:pPr>
            <w:r>
              <w:rPr>
                <w:b w:val="0"/>
                <w:sz w:val="18"/>
              </w:rPr>
              <w:t>2.01× (11/15)</w:t>
            </w:r>
          </w:p>
        </w:tc>
        <w:tc>
          <w:tcPr>
            <w:tcW w:type="dxa" w:w="1368"/>
            <w:vAlign w:val="center"/>
            <w:tcMar>
              <w:top w:w="65" w:type="dxa"/>
              <w:bottom w:w="65" w:type="dxa"/>
              <w:left w:w="65" w:type="dxa"/>
              <w:right w:w="65" w:type="dxa"/>
            </w:tcMar>
          </w:tcPr>
          <w:p>
            <w:pPr>
              <w:spacing w:after="0" w:line="240" w:lineRule="auto"/>
              <w:jc w:val="center"/>
            </w:pPr>
            <w:r>
              <w:rPr>
                <w:b w:val="0"/>
                <w:sz w:val="18"/>
              </w:rPr>
              <w:t>1424→394</w:t>
            </w:r>
          </w:p>
        </w:tc>
      </w:tr>
    </w:tbl>
    <w:p>
      <w:pPr>
        <w:spacing w:after="40"/>
      </w:pPr>
    </w:p>
    <w:p>
      <w:r>
        <w:t>Staged screening pipelines complete the same final decision task: bounds are evaluated only on users not yet certified, a failed bound is never a rejection, the tolerance-stopped exact reference ends a candidate at the first clearly infeasible user, and each user's factorization is cached. With one warm up and three interleaved repetitions, the ordering quadratic bound, then envelope, then reference — selected by a fixed rule on the exploratory cohort and frozen, with code hashes and unused seeds recorded before any new computation — attains a median paired speedup of 2.12 over the pure tolerance-stopped reference (25 of 30 pairs) on the exploratory grid and 2.01 (11 of 15) on five fresh confirmation seeds (221–225), reducing total reference calls by 75% and 72% respectively. The quadratic bound alone is the fastest single bound pipeline in the tested implementation; the envelope stage contributes the additional certified units and a further 7% reduction in reference calls, at some increase in pipeline time relative to the quadratic-only stage. Adding the envelope raises coverage; it does not, by itself, reduce wall-clock time. All pipelines produce identical final decisions in every run. An adaptive interval refinement (64→256→1024→4096 cells, stopping when a rounding guarded feasible point value shows the threshold cannot be crossed) reproduces fixed 4096 cell acceptance exactly with 3.9× fewer interval cells but is slower in wall clock at this scale and is not used.</w:t>
      </w:r>
    </w:p>
    <w:p>
      <w:r>
        <w:t xml:space="preserve">A focused interface study (seeds 401–402, preregistered configuration) implements strict query-side clients — the six-scalar client receives only </w:t>
      </w:r>
      <m:oMath>
        <m:d>
          <m:dPr>
            <m:begChr m:val="("/>
            <m:endChr m:val=")"/>
          </m:dPr>
          <m:e>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e>
        </m:d>
      </m:oMath>
      <w:r>
        <w:t xml:space="preserve"> plus the external radius and parameters, the seven-scalar client adds </w:t>
      </w:r>
      <m:oMath>
        <m:r>
          <m:t xml:space="preserve">κ</m:t>
        </m:r>
      </m:oMath>
      <w:r>
        <w:t xml:space="preserve">, and a compact exact client receives only the eigendecomposed spectrum </w:t>
      </w:r>
      <m:oMath>
        <m:d>
          <m:dPr>
            <m:begChr m:val="("/>
            <m:endChr m:val=")"/>
          </m:dPr>
          <m:e>
            <m:r>
              <m:t xml:space="preserve">λ</m:t>
            </m:r>
            <m:r>
              <m:t xml:space="preserve">,</m:t>
            </m:r>
            <m:r>
              <m:t xml:space="preserve">w</m:t>
            </m:r>
            <m:r>
              <m:t xml:space="preserve">,</m:t>
            </m:r>
            <m:r>
              <m:t xml:space="preserve">c</m:t>
            </m:r>
          </m:e>
        </m:d>
      </m:oMath>
      <w:r>
        <w:t xml:space="preserve"> of </w:t>
      </w:r>
      <m:oMath>
        <m:d>
          <m:dPr>
            <m:begChr m:val="("/>
            <m:endChr m:val=")"/>
          </m:dPr>
          <m:e>
            <m:r>
              <m:t xml:space="preserve">A</m:t>
            </m:r>
            <m:r>
              <m:t xml:space="preserve">,</m:t>
            </m:r>
            <m:r>
              <m:t xml:space="preserve">g</m:t>
            </m:r>
          </m:e>
        </m:d>
      </m:oMath>
      <w:r>
        <w:t xml:space="preserve"> — and measures actual batch totals for 1, 10 and 100 repeated radius queries (longer batches cycle the same deterministic grid). Numerical payloads are 48 and 56 float64 bytes for the summary clients, 144 bytes for the compact exact cache (</w:t>
      </w:r>
      <m:oMath>
        <m:r>
          <m:t xml:space="preserve">λ</m:t>
        </m:r>
      </m:oMath>
      <w:r>
        <w:t xml:space="preserve">, </w:t>
      </w:r>
      <m:oMath>
        <m:r>
          <m:t xml:space="preserve">w</m:t>
        </m:r>
      </m:oMath>
      <w:r>
        <w:t xml:space="preserve">, </w:t>
      </w:r>
      <m:oMath>
        <m:r>
          <m:t xml:space="preserve">c</m:t>
        </m:r>
      </m:oMath>
      <w:r>
        <w:t xml:space="preserve"> plus scale, actual array nbytes), and about 1.7 KB for the full-geometry cache. Amortized per query, the seven-scalar quadratic certificate is the cheapest branch (well under 1 µs), the six-scalar envelope client costs about 0.9 µs, and the compact exact cache about 25 µs — so the strict seven-scalar client is faster than the six-scalar one, and the compact exact cache shrinks the storage gap between summaries and exact certificates to a factor of about three. Direct certification coverage over the 240 candidate–radius units is 119 for </w:t>
      </w:r>
      <m:oMath>
        <m:sSub>
          <m:e>
            <m:r>
              <m:t xml:space="preserve">Q</m:t>
            </m:r>
          </m:e>
          <m:sub>
            <m:r>
              <m:t xml:space="preserve">G</m:t>
            </m:r>
          </m:sub>
        </m:sSub>
      </m:oMath>
      <w:r>
        <w:t xml:space="preserve">, 123 for </w:t>
      </w:r>
      <m:oMath>
        <m:sSub>
          <m:e>
            <m:r>
              <m:t xml:space="preserve">L</m:t>
            </m:r>
          </m:e>
          <m:sub>
            <m:r>
              <m:t xml:space="preserve">q</m:t>
            </m:r>
            <m:r>
              <m:t xml:space="preserve">u</m:t>
            </m:r>
            <m:r>
              <m:t xml:space="preserve">a</m:t>
            </m:r>
            <m:r>
              <m:t xml:space="preserve">d</m:t>
            </m:r>
          </m:sub>
        </m:sSub>
      </m:oMath>
      <w:r>
        <w:t xml:space="preserve"> and 124 for the joint rule (91.5%, 94.6% and 95.4% of the 130 reference-feasible units; the joint rule adds exactly one unit over </w:t>
      </w:r>
      <m:oMath>
        <m:sSub>
          <m:e>
            <m:r>
              <m:t xml:space="preserve">L</m:t>
            </m:r>
          </m:e>
          <m:sub>
            <m:r>
              <m:t xml:space="preserve">q</m:t>
            </m:r>
            <m:r>
              <m:t xml:space="preserve">u</m:t>
            </m:r>
            <m:r>
              <m:t xml:space="preserve">a</m:t>
            </m:r>
            <m:r>
              <m:t xml:space="preserve">d</m:t>
            </m:r>
          </m:sub>
        </m:sSub>
      </m:oMath>
      <w:r>
        <w:t xml:space="preserve"> in this pool). With summary screening and exact fallback, 217 compact-cache queries complete all 240 exact decisions with no unresolved units. The study shows no runtime or storage advantage of the six-scalar interface over the seven-scalar one; the envelope's practical contribution here is coverage supplementation.</w:t>
      </w:r>
    </w:p>
    <w:p>
      <w:r>
        <w:t xml:space="preserve">A controlled scaling study isolates dimension from load: four users, per base station power 1 (per stream 0.5), </w:t>
      </w:r>
      <m:oMath>
        <m:r>
          <m:t xml:space="preserve">γ</m:t>
        </m:r>
        <m:r>
          <m:t xml:space="preserve">=</m:t>
        </m:r>
        <m:r>
          <m:t xml:space="preserve">1</m:t>
        </m:r>
      </m:oMath>
      <w:r>
        <w:t xml:space="preserve">, </w:t>
      </w:r>
      <m:oMath>
        <m:r>
          <m:t xml:space="preserve">ρ</m:t>
        </m:r>
        <m:r>
          <m:t xml:space="preserve">=</m:t>
        </m:r>
        <m:r>
          <m:t xml:space="preserve">0</m:t>
        </m:r>
        <m:r>
          <m:t xml:space="preserve">.</m:t>
        </m:r>
        <m:r>
          <m:t xml:space="preserve">1</m:t>
        </m:r>
        <m:r>
          <m:t xml:space="preserve">5</m:t>
        </m:r>
      </m:oMath>
      <w:r>
        <w:t>, identical candidate rules; only the antenna count varies (stacked dimension 4 to 32). The per-user-problem costs in Table 8 exclude summary construction, and the reference cost shown reuses each user's cached eigendecomposition; the pipeline seconds include summary construction. Interval bound evaluation is dimension independent (0.04–0.05 ms per user problem) because it operates on the summaries; the exact reference grows from 0.36 to 0.45 ms per user problem; the full certification flow is not dimension independent, since summaries and fallback scale with dimension. Relative to the tolerance-stopped pure reference, the median pipeline speedup is near parity at dimension 4 and 2.3–3.5× at dimensions 8–32. Four dimension points with changing channel geometry and feasibility do not establish a monotone speedup trend or a complexity order; acceptance counts are identical across pipelines at every dimension and are not compared across dimensions.</w:t>
      </w:r>
    </w:p>
    <w:p>
      <w:pPr>
        <w:pStyle w:val="Caption"/>
        <w:keepNext/>
      </w:pPr>
      <w:r>
        <w:t>Table 8. Controlled scaling: dimension varies, all else fixed (4 users, per-BS power 1, γ = 1, ρ = 0.15; medians over three seeds). Per-user-problem ms exclude summary construction; the reference reuses each user cached eigendecomposition; pipeline seconds include summary construction. Four dimension points do not establish a complexity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Dim</w:t>
            </w:r>
          </w:p>
        </w:tc>
        <w:tc>
          <w:tcPr>
            <w:tcW w:type="dxa" w:w="1152"/>
            <w:vAlign w:val="center"/>
            <w:tcMar>
              <w:top w:w="65" w:type="dxa"/>
              <w:bottom w:w="65" w:type="dxa"/>
              <w:left w:w="65" w:type="dxa"/>
              <w:right w:w="65" w:type="dxa"/>
            </w:tcMar>
            <w:shd w:fill="E8EDF2"/>
          </w:tcPr>
          <w:p>
            <w:pPr>
              <w:spacing w:after="0" w:line="240" w:lineRule="auto"/>
              <w:jc w:val="center"/>
            </w:pPr>
            <w:r>
              <w:rPr>
                <w:b/>
                <w:sz w:val="18"/>
              </w:rPr>
              <w:t>Bound ms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Ref ms</w:t>
            </w:r>
          </w:p>
        </w:tc>
        <w:tc>
          <w:tcPr>
            <w:tcW w:type="dxa" w:w="1224"/>
            <w:vAlign w:val="center"/>
            <w:tcMar>
              <w:top w:w="65" w:type="dxa"/>
              <w:bottom w:w="65" w:type="dxa"/>
              <w:left w:w="65" w:type="dxa"/>
              <w:right w:w="65" w:type="dxa"/>
            </w:tcMar>
            <w:shd w:fill="E8EDF2"/>
          </w:tcPr>
          <w:p>
            <w:pPr>
              <w:spacing w:after="0" w:line="240" w:lineRule="auto"/>
              <w:jc w:val="center"/>
            </w:pPr>
            <w:r>
              <w:rPr>
                <w:b/>
                <w:sz w:val="18"/>
              </w:rPr>
              <w:t>Ref/Bound</w:t>
            </w:r>
          </w:p>
        </w:tc>
        <w:tc>
          <w:tcPr>
            <w:tcW w:type="dxa" w:w="1368"/>
            <w:vAlign w:val="center"/>
            <w:tcMar>
              <w:top w:w="65" w:type="dxa"/>
              <w:bottom w:w="65" w:type="dxa"/>
              <w:left w:w="65" w:type="dxa"/>
              <w:right w:w="65" w:type="dxa"/>
            </w:tcMar>
            <w:shd w:fill="E8EDF2"/>
          </w:tcPr>
          <w:p>
            <w:pPr>
              <w:spacing w:after="0" w:line="240" w:lineRule="auto"/>
              <w:jc w:val="center"/>
            </w:pPr>
            <w:r>
              <w:rPr>
                <w:b/>
                <w:sz w:val="18"/>
              </w:rPr>
              <w:t>Pure ref (s)</w:t>
            </w:r>
          </w:p>
        </w:tc>
        <w:tc>
          <w:tcPr>
            <w:tcW w:type="dxa" w:w="1584"/>
            <w:vAlign w:val="center"/>
            <w:tcMar>
              <w:top w:w="65" w:type="dxa"/>
              <w:bottom w:w="65" w:type="dxa"/>
              <w:left w:w="65" w:type="dxa"/>
              <w:right w:w="65" w:type="dxa"/>
            </w:tcMar>
            <w:shd w:fill="E8EDF2"/>
          </w:tcPr>
          <w:p>
            <w:pPr>
              <w:spacing w:after="0" w:line="240" w:lineRule="auto"/>
              <w:jc w:val="center"/>
            </w:pPr>
            <w:r>
              <w:rPr>
                <w:b/>
                <w:sz w:val="18"/>
              </w:rPr>
              <w:t>L_quad + ref (s)</w:t>
            </w:r>
          </w:p>
        </w:tc>
        <w:tc>
          <w:tcPr>
            <w:tcW w:type="dxa" w:w="1656"/>
            <w:vAlign w:val="center"/>
            <w:tcMar>
              <w:top w:w="65" w:type="dxa"/>
              <w:bottom w:w="65" w:type="dxa"/>
              <w:left w:w="65" w:type="dxa"/>
              <w:right w:w="65" w:type="dxa"/>
            </w:tcMar>
            <w:shd w:fill="E8EDF2"/>
          </w:tcPr>
          <w:p>
            <w:pPr>
              <w:spacing w:after="0" w:line="240" w:lineRule="auto"/>
              <w:jc w:val="center"/>
            </w:pPr>
            <w:r>
              <w:rPr>
                <w:b/>
                <w:sz w:val="18"/>
              </w:rPr>
              <w:t>Lq→Q_G + ref (s)</w:t>
            </w:r>
          </w:p>
        </w:tc>
      </w:tr>
      <w:tr>
        <w:tc>
          <w:tcPr>
            <w:tcW w:type="dxa" w:w="648"/>
            <w:vAlign w:val="center"/>
            <w:tcMar>
              <w:top w:w="65" w:type="dxa"/>
              <w:bottom w:w="65" w:type="dxa"/>
              <w:left w:w="65" w:type="dxa"/>
              <w:right w:w="65" w:type="dxa"/>
            </w:tcMar>
          </w:tcPr>
          <w:p>
            <w:pPr>
              <w:spacing w:after="0" w:line="240" w:lineRule="auto"/>
              <w:jc w:val="center"/>
            </w:pPr>
            <w:r>
              <w:rPr>
                <w:b w:val="0"/>
                <w:sz w:val="18"/>
              </w:rPr>
              <w:t>4</w:t>
            </w:r>
          </w:p>
        </w:tc>
        <w:tc>
          <w:tcPr>
            <w:tcW w:type="dxa" w:w="1152"/>
            <w:vAlign w:val="center"/>
            <w:tcMar>
              <w:top w:w="65" w:type="dxa"/>
              <w:bottom w:w="65" w:type="dxa"/>
              <w:left w:w="65" w:type="dxa"/>
              <w:right w:w="65" w:type="dxa"/>
            </w:tcMar>
          </w:tcPr>
          <w:p>
            <w:pPr>
              <w:spacing w:after="0" w:line="240" w:lineRule="auto"/>
              <w:jc w:val="center"/>
            </w:pPr>
            <w:r>
              <w:rPr>
                <w:b w:val="0"/>
                <w:sz w:val="18"/>
              </w:rPr>
              <w:t>0.041</w:t>
            </w:r>
          </w:p>
        </w:tc>
        <w:tc>
          <w:tcPr>
            <w:tcW w:type="dxa" w:w="1152"/>
            <w:vAlign w:val="center"/>
            <w:tcMar>
              <w:top w:w="65" w:type="dxa"/>
              <w:bottom w:w="65" w:type="dxa"/>
              <w:left w:w="65" w:type="dxa"/>
              <w:right w:w="65" w:type="dxa"/>
            </w:tcMar>
          </w:tcPr>
          <w:p>
            <w:pPr>
              <w:spacing w:after="0" w:line="240" w:lineRule="auto"/>
              <w:jc w:val="center"/>
            </w:pPr>
            <w:r>
              <w:rPr>
                <w:b w:val="0"/>
                <w:sz w:val="18"/>
              </w:rPr>
              <w:t>0.356</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0.0192</w:t>
            </w:r>
          </w:p>
        </w:tc>
        <w:tc>
          <w:tcPr>
            <w:tcW w:type="dxa" w:w="1584"/>
            <w:vAlign w:val="center"/>
            <w:tcMar>
              <w:top w:w="65" w:type="dxa"/>
              <w:bottom w:w="65" w:type="dxa"/>
              <w:left w:w="65" w:type="dxa"/>
              <w:right w:w="65" w:type="dxa"/>
            </w:tcMar>
          </w:tcPr>
          <w:p>
            <w:pPr>
              <w:spacing w:after="0" w:line="240" w:lineRule="auto"/>
              <w:jc w:val="center"/>
            </w:pPr>
            <w:r>
              <w:rPr>
                <w:b w:val="0"/>
                <w:sz w:val="18"/>
              </w:rPr>
              <w:t>0.0193</w:t>
            </w:r>
          </w:p>
        </w:tc>
        <w:tc>
          <w:tcPr>
            <w:tcW w:type="dxa" w:w="1656"/>
            <w:vAlign w:val="center"/>
            <w:tcMar>
              <w:top w:w="65" w:type="dxa"/>
              <w:bottom w:w="65" w:type="dxa"/>
              <w:left w:w="65" w:type="dxa"/>
              <w:right w:w="65" w:type="dxa"/>
            </w:tcMar>
          </w:tcPr>
          <w:p>
            <w:pPr>
              <w:spacing w:after="0" w:line="240" w:lineRule="auto"/>
              <w:jc w:val="center"/>
            </w:pPr>
            <w:r>
              <w:rPr>
                <w:b w:val="0"/>
                <w:sz w:val="18"/>
              </w:rPr>
              <w:t>0.0254</w:t>
            </w:r>
          </w:p>
        </w:tc>
      </w:tr>
      <w:tr>
        <w:tc>
          <w:tcPr>
            <w:tcW w:type="dxa" w:w="648"/>
            <w:vAlign w:val="center"/>
            <w:tcMar>
              <w:top w:w="65" w:type="dxa"/>
              <w:bottom w:w="65" w:type="dxa"/>
              <w:left w:w="65" w:type="dxa"/>
              <w:right w:w="65" w:type="dxa"/>
            </w:tcMar>
          </w:tcPr>
          <w:p>
            <w:pPr>
              <w:spacing w:after="0" w:line="240" w:lineRule="auto"/>
              <w:jc w:val="center"/>
            </w:pPr>
            <w:r>
              <w:rPr>
                <w:b w:val="0"/>
                <w:sz w:val="18"/>
              </w:rPr>
              <w:t>8</w:t>
            </w:r>
          </w:p>
        </w:tc>
        <w:tc>
          <w:tcPr>
            <w:tcW w:type="dxa" w:w="1152"/>
            <w:vAlign w:val="center"/>
            <w:tcMar>
              <w:top w:w="65" w:type="dxa"/>
              <w:bottom w:w="65" w:type="dxa"/>
              <w:left w:w="65" w:type="dxa"/>
              <w:right w:w="65" w:type="dxa"/>
            </w:tcMar>
          </w:tcPr>
          <w:p>
            <w:pPr>
              <w:spacing w:after="0" w:line="240" w:lineRule="auto"/>
              <w:jc w:val="center"/>
            </w:pPr>
            <w:r>
              <w:rPr>
                <w:b w:val="0"/>
                <w:sz w:val="18"/>
              </w:rPr>
              <w:t>0.050</w:t>
            </w:r>
          </w:p>
        </w:tc>
        <w:tc>
          <w:tcPr>
            <w:tcW w:type="dxa" w:w="1152"/>
            <w:vAlign w:val="center"/>
            <w:tcMar>
              <w:top w:w="65" w:type="dxa"/>
              <w:bottom w:w="65" w:type="dxa"/>
              <w:left w:w="65" w:type="dxa"/>
              <w:right w:w="65" w:type="dxa"/>
            </w:tcMar>
          </w:tcPr>
          <w:p>
            <w:pPr>
              <w:spacing w:after="0" w:line="240" w:lineRule="auto"/>
              <w:jc w:val="center"/>
            </w:pPr>
            <w:r>
              <w:rPr>
                <w:b w:val="0"/>
                <w:sz w:val="18"/>
              </w:rPr>
              <w:t>0.368</w:t>
            </w:r>
          </w:p>
        </w:tc>
        <w:tc>
          <w:tcPr>
            <w:tcW w:type="dxa" w:w="1224"/>
            <w:vAlign w:val="center"/>
            <w:tcMar>
              <w:top w:w="65" w:type="dxa"/>
              <w:bottom w:w="65" w:type="dxa"/>
              <w:left w:w="65" w:type="dxa"/>
              <w:right w:w="65" w:type="dxa"/>
            </w:tcMar>
          </w:tcPr>
          <w:p>
            <w:pPr>
              <w:spacing w:after="0" w:line="240" w:lineRule="auto"/>
              <w:jc w:val="center"/>
            </w:pPr>
            <w:r>
              <w:rPr>
                <w:b w:val="0"/>
                <w:sz w:val="18"/>
              </w:rPr>
              <w:t>7.4×</w:t>
            </w:r>
          </w:p>
        </w:tc>
        <w:tc>
          <w:tcPr>
            <w:tcW w:type="dxa" w:w="1368"/>
            <w:vAlign w:val="center"/>
            <w:tcMar>
              <w:top w:w="65" w:type="dxa"/>
              <w:bottom w:w="65" w:type="dxa"/>
              <w:left w:w="65" w:type="dxa"/>
              <w:right w:w="65" w:type="dxa"/>
            </w:tcMar>
          </w:tcPr>
          <w:p>
            <w:pPr>
              <w:spacing w:after="0" w:line="240" w:lineRule="auto"/>
              <w:jc w:val="center"/>
            </w:pPr>
            <w:r>
              <w:rPr>
                <w:b w:val="0"/>
                <w:sz w:val="18"/>
              </w:rPr>
              <w:t>0.0378</w:t>
            </w:r>
          </w:p>
        </w:tc>
        <w:tc>
          <w:tcPr>
            <w:tcW w:type="dxa" w:w="1584"/>
            <w:vAlign w:val="center"/>
            <w:tcMar>
              <w:top w:w="65" w:type="dxa"/>
              <w:bottom w:w="65" w:type="dxa"/>
              <w:left w:w="65" w:type="dxa"/>
              <w:right w:w="65" w:type="dxa"/>
            </w:tcMar>
          </w:tcPr>
          <w:p>
            <w:pPr>
              <w:spacing w:after="0" w:line="240" w:lineRule="auto"/>
              <w:jc w:val="center"/>
            </w:pPr>
            <w:r>
              <w:rPr>
                <w:b w:val="0"/>
                <w:sz w:val="18"/>
              </w:rPr>
              <w:t>0.0165</w:t>
            </w:r>
          </w:p>
        </w:tc>
        <w:tc>
          <w:tcPr>
            <w:tcW w:type="dxa" w:w="1656"/>
            <w:vAlign w:val="center"/>
            <w:tcMar>
              <w:top w:w="65" w:type="dxa"/>
              <w:bottom w:w="65" w:type="dxa"/>
              <w:left w:w="65" w:type="dxa"/>
              <w:right w:w="65" w:type="dxa"/>
            </w:tcMar>
          </w:tcPr>
          <w:p>
            <w:pPr>
              <w:spacing w:after="0" w:line="240" w:lineRule="auto"/>
              <w:jc w:val="center"/>
            </w:pPr>
            <w:r>
              <w:rPr>
                <w:b w:val="0"/>
                <w:sz w:val="18"/>
              </w:rPr>
              <w:t>0.0236</w:t>
            </w:r>
          </w:p>
        </w:tc>
      </w:tr>
      <w:tr>
        <w:tc>
          <w:tcPr>
            <w:tcW w:type="dxa" w:w="648"/>
            <w:vAlign w:val="center"/>
            <w:tcMar>
              <w:top w:w="65" w:type="dxa"/>
              <w:bottom w:w="65" w:type="dxa"/>
              <w:left w:w="65" w:type="dxa"/>
              <w:right w:w="65" w:type="dxa"/>
            </w:tcMar>
          </w:tcPr>
          <w:p>
            <w:pPr>
              <w:spacing w:after="0" w:line="240" w:lineRule="auto"/>
              <w:jc w:val="center"/>
            </w:pPr>
            <w:r>
              <w:rPr>
                <w:b w:val="0"/>
                <w:sz w:val="18"/>
              </w:rPr>
              <w:t>16</w:t>
            </w:r>
          </w:p>
        </w:tc>
        <w:tc>
          <w:tcPr>
            <w:tcW w:type="dxa" w:w="1152"/>
            <w:vAlign w:val="center"/>
            <w:tcMar>
              <w:top w:w="65" w:type="dxa"/>
              <w:bottom w:w="65" w:type="dxa"/>
              <w:left w:w="65" w:type="dxa"/>
              <w:right w:w="65" w:type="dxa"/>
            </w:tcMar>
          </w:tcPr>
          <w:p>
            <w:pPr>
              <w:spacing w:after="0" w:line="240" w:lineRule="auto"/>
              <w:jc w:val="center"/>
            </w:pPr>
            <w:r>
              <w:rPr>
                <w:b w:val="0"/>
                <w:sz w:val="18"/>
              </w:rPr>
              <w:t>0.044</w:t>
            </w:r>
          </w:p>
        </w:tc>
        <w:tc>
          <w:tcPr>
            <w:tcW w:type="dxa" w:w="1152"/>
            <w:vAlign w:val="center"/>
            <w:tcMar>
              <w:top w:w="65" w:type="dxa"/>
              <w:bottom w:w="65" w:type="dxa"/>
              <w:left w:w="65" w:type="dxa"/>
              <w:right w:w="65" w:type="dxa"/>
            </w:tcMar>
          </w:tcPr>
          <w:p>
            <w:pPr>
              <w:spacing w:after="0" w:line="240" w:lineRule="auto"/>
              <w:jc w:val="center"/>
            </w:pPr>
            <w:r>
              <w:rPr>
                <w:b w:val="0"/>
                <w:sz w:val="18"/>
              </w:rPr>
              <w:t>0.381</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0.0563</w:t>
            </w:r>
          </w:p>
        </w:tc>
        <w:tc>
          <w:tcPr>
            <w:tcW w:type="dxa" w:w="1584"/>
            <w:vAlign w:val="center"/>
            <w:tcMar>
              <w:top w:w="65" w:type="dxa"/>
              <w:bottom w:w="65" w:type="dxa"/>
              <w:left w:w="65" w:type="dxa"/>
              <w:right w:w="65" w:type="dxa"/>
            </w:tcMar>
          </w:tcPr>
          <w:p>
            <w:pPr>
              <w:spacing w:after="0" w:line="240" w:lineRule="auto"/>
              <w:jc w:val="center"/>
            </w:pPr>
            <w:r>
              <w:rPr>
                <w:b w:val="0"/>
                <w:sz w:val="18"/>
              </w:rPr>
              <w:t>0.0175</w:t>
            </w:r>
          </w:p>
        </w:tc>
        <w:tc>
          <w:tcPr>
            <w:tcW w:type="dxa" w:w="1656"/>
            <w:vAlign w:val="center"/>
            <w:tcMar>
              <w:top w:w="65" w:type="dxa"/>
              <w:bottom w:w="65" w:type="dxa"/>
              <w:left w:w="65" w:type="dxa"/>
              <w:right w:w="65" w:type="dxa"/>
            </w:tcMar>
          </w:tcPr>
          <w:p>
            <w:pPr>
              <w:spacing w:after="0" w:line="240" w:lineRule="auto"/>
              <w:jc w:val="center"/>
            </w:pPr>
            <w:r>
              <w:rPr>
                <w:b w:val="0"/>
                <w:sz w:val="18"/>
              </w:rPr>
              <w:t>0.0161</w:t>
            </w:r>
          </w:p>
        </w:tc>
      </w:tr>
      <w:tr>
        <w:tc>
          <w:tcPr>
            <w:tcW w:type="dxa" w:w="648"/>
            <w:vAlign w:val="center"/>
            <w:tcMar>
              <w:top w:w="65" w:type="dxa"/>
              <w:bottom w:w="65" w:type="dxa"/>
              <w:left w:w="65" w:type="dxa"/>
              <w:right w:w="65" w:type="dxa"/>
            </w:tcMar>
          </w:tcPr>
          <w:p>
            <w:pPr>
              <w:spacing w:after="0" w:line="240" w:lineRule="auto"/>
              <w:jc w:val="center"/>
            </w:pPr>
            <w:r>
              <w:rPr>
                <w:b w:val="0"/>
                <w:sz w:val="18"/>
              </w:rPr>
              <w:t>32</w:t>
            </w:r>
          </w:p>
        </w:tc>
        <w:tc>
          <w:tcPr>
            <w:tcW w:type="dxa" w:w="1152"/>
            <w:vAlign w:val="center"/>
            <w:tcMar>
              <w:top w:w="65" w:type="dxa"/>
              <w:bottom w:w="65" w:type="dxa"/>
              <w:left w:w="65" w:type="dxa"/>
              <w:right w:w="65" w:type="dxa"/>
            </w:tcMar>
          </w:tcPr>
          <w:p>
            <w:pPr>
              <w:spacing w:after="0" w:line="240" w:lineRule="auto"/>
              <w:jc w:val="center"/>
            </w:pPr>
            <w:r>
              <w:rPr>
                <w:b w:val="0"/>
                <w:sz w:val="18"/>
              </w:rPr>
              <w:t>0.042</w:t>
            </w:r>
          </w:p>
        </w:tc>
        <w:tc>
          <w:tcPr>
            <w:tcW w:type="dxa" w:w="1152"/>
            <w:vAlign w:val="center"/>
            <w:tcMar>
              <w:top w:w="65" w:type="dxa"/>
              <w:bottom w:w="65" w:type="dxa"/>
              <w:left w:w="65" w:type="dxa"/>
              <w:right w:w="65" w:type="dxa"/>
            </w:tcMar>
          </w:tcPr>
          <w:p>
            <w:pPr>
              <w:spacing w:after="0" w:line="240" w:lineRule="auto"/>
              <w:jc w:val="center"/>
            </w:pPr>
            <w:r>
              <w:rPr>
                <w:b w:val="0"/>
                <w:sz w:val="18"/>
              </w:rPr>
              <w:t>0.435</w:t>
            </w:r>
          </w:p>
        </w:tc>
        <w:tc>
          <w:tcPr>
            <w:tcW w:type="dxa" w:w="1224"/>
            <w:vAlign w:val="center"/>
            <w:tcMar>
              <w:top w:w="65" w:type="dxa"/>
              <w:bottom w:w="65" w:type="dxa"/>
              <w:left w:w="65" w:type="dxa"/>
              <w:right w:w="65" w:type="dxa"/>
            </w:tcMar>
          </w:tcPr>
          <w:p>
            <w:pPr>
              <w:spacing w:after="0" w:line="240" w:lineRule="auto"/>
              <w:jc w:val="center"/>
            </w:pPr>
            <w:r>
              <w:rPr>
                <w:b w:val="0"/>
                <w:sz w:val="18"/>
              </w:rPr>
              <w:t>10.4×</w:t>
            </w:r>
          </w:p>
        </w:tc>
        <w:tc>
          <w:tcPr>
            <w:tcW w:type="dxa" w:w="1368"/>
            <w:vAlign w:val="center"/>
            <w:tcMar>
              <w:top w:w="65" w:type="dxa"/>
              <w:bottom w:w="65" w:type="dxa"/>
              <w:left w:w="65" w:type="dxa"/>
              <w:right w:w="65" w:type="dxa"/>
            </w:tcMar>
          </w:tcPr>
          <w:p>
            <w:pPr>
              <w:spacing w:after="0" w:line="240" w:lineRule="auto"/>
              <w:jc w:val="center"/>
            </w:pPr>
            <w:r>
              <w:rPr>
                <w:b w:val="0"/>
                <w:sz w:val="18"/>
              </w:rPr>
              <w:t>0.0859</w:t>
            </w:r>
          </w:p>
        </w:tc>
        <w:tc>
          <w:tcPr>
            <w:tcW w:type="dxa" w:w="1584"/>
            <w:vAlign w:val="center"/>
            <w:tcMar>
              <w:top w:w="65" w:type="dxa"/>
              <w:bottom w:w="65" w:type="dxa"/>
              <w:left w:w="65" w:type="dxa"/>
              <w:right w:w="65" w:type="dxa"/>
            </w:tcMar>
          </w:tcPr>
          <w:p>
            <w:pPr>
              <w:spacing w:after="0" w:line="240" w:lineRule="auto"/>
              <w:jc w:val="center"/>
            </w:pPr>
            <w:r>
              <w:rPr>
                <w:b w:val="0"/>
                <w:sz w:val="18"/>
              </w:rPr>
              <w:t>0.0310</w:t>
            </w:r>
          </w:p>
        </w:tc>
        <w:tc>
          <w:tcPr>
            <w:tcW w:type="dxa" w:w="1656"/>
            <w:vAlign w:val="center"/>
            <w:tcMar>
              <w:top w:w="65" w:type="dxa"/>
              <w:bottom w:w="65" w:type="dxa"/>
              <w:left w:w="65" w:type="dxa"/>
              <w:right w:w="65" w:type="dxa"/>
            </w:tcMar>
          </w:tcPr>
          <w:p>
            <w:pPr>
              <w:spacing w:after="0" w:line="240" w:lineRule="auto"/>
              <w:jc w:val="center"/>
            </w:pPr>
            <w:r>
              <w:rPr>
                <w:b w:val="0"/>
                <w:sz w:val="18"/>
              </w:rPr>
              <w:t>0.0310</w:t>
            </w:r>
          </w:p>
        </w:tc>
      </w:tr>
    </w:tbl>
    <w:p>
      <w:pPr>
        <w:spacing w:after="40"/>
      </w:pPr>
    </w:p>
    <w:p>
      <w:pPr>
        <w:pStyle w:val="Heading2"/>
      </w:pPr>
      <w:r>
        <w:t>7.6 Independent exact cross-validation on the validation batch</w:t>
      </w:r>
    </w:p>
    <w:p>
      <w:r>
        <w:t xml:space="preserve">A preregistered 74 case check set and the full 2160 problem validation batch are solved by the corrected SDP pipeline of Section 6.3. On this batch, the certified lower bound never exceeds the reference (maximum excess </w:t>
      </w:r>
      <m:oMath>
        <m:r>
          <m:t xml:space="preserve">−</m:t>
        </m:r>
        <m:r>
          <m:t xml:space="preserve">1</m:t>
        </m:r>
        <m:r>
          <m:t xml:space="preserve">.</m:t>
        </m:r>
        <m:r>
          <m:t xml:space="preserve">2</m:t>
        </m:r>
        <m:r>
          <m:t xml:space="preserve">×</m:t>
        </m:r>
        <m:r>
          <m:t xml:space="preserve">1</m:t>
        </m:r>
        <m:sSup>
          <m:e>
            <m:r>
              <m:t xml:space="preserve">0</m:t>
            </m:r>
          </m:e>
          <m:sup>
            <m:r>
              <m:t xml:space="preserve">−</m:t>
            </m:r>
            <m:r>
              <m:t xml:space="preserve">1</m:t>
            </m:r>
            <m:r>
              <m:t xml:space="preserve">3</m:t>
            </m:r>
          </m:sup>
        </m:sSup>
      </m:oMath>
      <w:r>
        <w:t xml:space="preserve">), the witness upper bound agrees with the reference within a preset tolerance (largest observed deficit </w:t>
      </w:r>
      <m:oMath>
        <m:r>
          <m:t xml:space="preserve">1</m:t>
        </m:r>
        <m:r>
          <m:t xml:space="preserve">.</m:t>
        </m:r>
        <m:r>
          <m:t xml:space="preserve">3</m:t>
        </m:r>
        <m:r>
          <m:t xml:space="preserve">×</m:t>
        </m:r>
        <m:r>
          <m:t xml:space="preserve">1</m:t>
        </m:r>
        <m:sSup>
          <m:e>
            <m:r>
              <m:t xml:space="preserve">0</m:t>
            </m:r>
          </m:e>
          <m:sup>
            <m:r>
              <m:t xml:space="preserve">−</m:t>
            </m:r>
            <m:r>
              <m:t xml:space="preserve">1</m:t>
            </m:r>
            <m:r>
              <m:t xml:space="preserve">2</m:t>
            </m:r>
          </m:sup>
        </m:sSup>
      </m:oMath>
      <w:r>
        <w:t xml:space="preserve">, floating-point evaluation noise), the ordering </w:t>
      </w:r>
      <m:oMath>
        <m:r>
          <m:t xml:space="preserve">L</m:t>
        </m:r>
        <m:r>
          <m:t xml:space="preserve">≤</m:t>
        </m:r>
        <m:r>
          <m:t xml:space="preserve">U</m:t>
        </m:r>
      </m:oMath>
      <w:r>
        <w:t xml:space="preserve"> holds with no violation, there is no false acceptance and no false rejection, all witnesses lie inside the ball (956 of 2160 required projection), and every user problem is decided (1247 feasible, 913 infeasible, zero unresolved) with witness quality </w:t>
      </w:r>
      <m:oMath>
        <m:r>
          <m:t xml:space="preserve">U</m:t>
        </m:r>
        <m:r>
          <m:t xml:space="preserve">−</m:t>
        </m:r>
        <m:sSup>
          <m:e>
            <m:r>
              <m:t xml:space="preserve">q</m:t>
            </m:r>
          </m:e>
          <m:sup>
            <m:r>
              <m:t xml:space="preserve">*</m:t>
            </m:r>
          </m:sup>
        </m:sSup>
      </m:oMath>
      <w:r>
        <w:t xml:space="preserve"> of median </w:t>
      </w:r>
      <m:oMath>
        <m:r>
          <m:t xml:space="preserve">6</m:t>
        </m:r>
        <m:r>
          <m:t xml:space="preserve">.</m:t>
        </m:r>
        <m:r>
          <m:t xml:space="preserve">7</m:t>
        </m:r>
        <m:r>
          <m:t xml:space="preserve">×</m:t>
        </m:r>
        <m:r>
          <m:t xml:space="preserve">1</m:t>
        </m:r>
        <m:sSup>
          <m:e>
            <m:r>
              <m:t xml:space="preserve">0</m:t>
            </m:r>
          </m:e>
          <m:sup>
            <m:r>
              <m:t xml:space="preserve">−</m:t>
            </m:r>
            <m:r>
              <m:t xml:space="preserve">6</m:t>
            </m:r>
          </m:sup>
        </m:sSup>
      </m:oMath>
      <w:r>
        <w:t xml:space="preserve"> and maximum </w:t>
      </w:r>
      <m:oMath>
        <m:r>
          <m:t xml:space="preserve">1</m:t>
        </m:r>
        <m:r>
          <m:t xml:space="preserve">.</m:t>
        </m:r>
        <m:r>
          <m:t xml:space="preserve">6</m:t>
        </m:r>
        <m:r>
          <m:t xml:space="preserve">×</m:t>
        </m:r>
        <m:r>
          <m:t xml:space="preserve">1</m:t>
        </m:r>
        <m:sSup>
          <m:e>
            <m:r>
              <m:t xml:space="preserve">0</m:t>
            </m:r>
          </m:e>
          <m:sup>
            <m:r>
              <m:t xml:space="preserve">−</m:t>
            </m:r>
            <m:r>
              <m:t xml:space="preserve">4</m:t>
            </m:r>
          </m:sup>
        </m:sSup>
      </m:oMath>
      <w:r>
        <w:t xml:space="preserve">. The maximum deviation of the raw SDP optimum from the reference is </w:t>
      </w:r>
      <m:oMath>
        <m:r>
          <m:t xml:space="preserve">5</m:t>
        </m:r>
        <m:r>
          <m:t xml:space="preserve">.</m:t>
        </m:r>
        <m:r>
          <m:t xml:space="preserve">6</m:t>
        </m:r>
        <m:r>
          <m:t xml:space="preserve">×</m:t>
        </m:r>
        <m:r>
          <m:t xml:space="preserve">1</m:t>
        </m:r>
        <m:sSup>
          <m:e>
            <m:r>
              <m:t xml:space="preserve">0</m:t>
            </m:r>
          </m:e>
          <m:sup>
            <m:r>
              <m:t xml:space="preserve">−</m:t>
            </m:r>
            <m:r>
              <m:t xml:space="preserve">8</m:t>
            </m:r>
          </m:sup>
        </m:sSup>
      </m:oMath>
      <w:r>
        <w:t>. Within this batch, the two independent exact formulations are mutually consistent within the stated tolerances; the formulations are exact, while all computed values are floating-point approximations. Other batches were not re-solved by the SDP and no cross-validation claim is made beyond this batch.</w:t>
      </w:r>
    </w:p>
    <w:p>
      <w:pPr>
        <w:pStyle w:val="Caption"/>
        <w:keepNext/>
      </w:pPr>
      <w:r>
        <w:t>Table 9. S-procedure SDP baseline on the 2160-problem validation batch.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2"/>
        <w:gridCol w:w="4512"/>
      </w:tblGrid>
      <w:tr>
        <w:trPr>
          <w:tblHeader/>
        </w:trPr>
        <w:tc>
          <w:tcPr>
            <w:tcW w:type="dxa" w:w="4896"/>
            <w:vAlign w:val="center"/>
            <w:tcMar>
              <w:top w:w="65" w:type="dxa"/>
              <w:bottom w:w="65" w:type="dxa"/>
              <w:left w:w="65" w:type="dxa"/>
              <w:right w:w="65" w:type="dxa"/>
            </w:tcMar>
            <w:shd w:fill="E8EDF2"/>
          </w:tcPr>
          <w:p>
            <w:pPr>
              <w:spacing w:after="0" w:line="240" w:lineRule="auto"/>
              <w:jc w:val="center"/>
            </w:pPr>
            <w:r>
              <w:rPr>
                <w:b/>
                <w:sz w:val="18"/>
              </w:rPr>
              <w:t>Quantity</w:t>
            </w:r>
          </w:p>
        </w:tc>
        <w:tc>
          <w:tcPr>
            <w:tcW w:type="dxa" w:w="3312"/>
            <w:vAlign w:val="center"/>
            <w:tcMar>
              <w:top w:w="65" w:type="dxa"/>
              <w:bottom w:w="65" w:type="dxa"/>
              <w:left w:w="65" w:type="dxa"/>
              <w:right w:w="65" w:type="dxa"/>
            </w:tcMar>
            <w:shd w:fill="E8EDF2"/>
          </w:tcPr>
          <w:p>
            <w:pPr>
              <w:spacing w:after="0" w:line="240" w:lineRule="auto"/>
              <w:jc w:val="center"/>
            </w:pPr>
            <w:r>
              <w:rPr>
                <w:b/>
                <w:sz w:val="18"/>
              </w:rPr>
              <w:t>Value</w:t>
            </w:r>
          </w:p>
        </w:tc>
      </w:tr>
      <w:tr>
        <w:tc>
          <w:tcPr>
            <w:tcW w:type="dxa" w:w="4896"/>
            <w:vAlign w:val="center"/>
            <w:tcMar>
              <w:top w:w="65" w:type="dxa"/>
              <w:bottom w:w="65" w:type="dxa"/>
              <w:left w:w="65" w:type="dxa"/>
              <w:right w:w="65" w:type="dxa"/>
            </w:tcMar>
          </w:tcPr>
          <w:p>
            <w:pPr>
              <w:spacing w:after="0" w:line="240" w:lineRule="auto"/>
              <w:jc w:val="center"/>
            </w:pPr>
            <w:r>
              <w:rPr>
                <w:b w:val="0"/>
                <w:sz w:val="18"/>
              </w:rPr>
              <w:t>L ≤ q* (lower-bound safety), max excess</w:t>
            </w:r>
          </w:p>
        </w:tc>
        <w:tc>
          <w:tcPr>
            <w:tcW w:type="dxa" w:w="3312"/>
            <w:vAlign w:val="center"/>
            <w:tcMar>
              <w:top w:w="65" w:type="dxa"/>
              <w:bottom w:w="65" w:type="dxa"/>
              <w:left w:w="65" w:type="dxa"/>
              <w:right w:w="65" w:type="dxa"/>
            </w:tcMar>
          </w:tcPr>
          <w:p>
            <w:pPr>
              <w:spacing w:after="0" w:line="240" w:lineRule="auto"/>
              <w:jc w:val="center"/>
            </w:pPr>
            <w:r>
              <w:rPr>
                <w:b w:val="0"/>
                <w:sz w:val="18"/>
              </w:rPr>
              <w:t>−1.2e-13 (never above)</w:t>
            </w:r>
          </w:p>
        </w:tc>
      </w:tr>
      <w:tr>
        <w:tc>
          <w:tcPr>
            <w:tcW w:type="dxa" w:w="4896"/>
            <w:vAlign w:val="center"/>
            <w:tcMar>
              <w:top w:w="65" w:type="dxa"/>
              <w:bottom w:w="65" w:type="dxa"/>
              <w:left w:w="65" w:type="dxa"/>
              <w:right w:w="65" w:type="dxa"/>
            </w:tcMar>
          </w:tcPr>
          <w:p>
            <w:pPr>
              <w:spacing w:after="0" w:line="240" w:lineRule="auto"/>
              <w:jc w:val="center"/>
            </w:pPr>
            <w:r>
              <w:rPr>
                <w:b w:val="0"/>
                <w:sz w:val="18"/>
              </w:rPr>
              <w:t>U vs reference (witness validity)</w:t>
            </w:r>
          </w:p>
        </w:tc>
        <w:tc>
          <w:tcPr>
            <w:tcW w:type="dxa" w:w="3312"/>
            <w:vAlign w:val="center"/>
            <w:tcMar>
              <w:top w:w="65" w:type="dxa"/>
              <w:bottom w:w="65" w:type="dxa"/>
              <w:left w:w="65" w:type="dxa"/>
              <w:right w:w="65" w:type="dxa"/>
            </w:tcMar>
          </w:tcPr>
          <w:p>
            <w:pPr>
              <w:spacing w:after="0" w:line="240" w:lineRule="auto"/>
              <w:jc w:val="center"/>
            </w:pPr>
            <w:r>
              <w:rPr>
                <w:b w:val="0"/>
                <w:sz w:val="18"/>
              </w:rPr>
              <w:t>agrees within tolerance; largest deficit 1.3e-12 (fp noise)</w:t>
            </w:r>
          </w:p>
        </w:tc>
      </w:tr>
      <w:tr>
        <w:tc>
          <w:tcPr>
            <w:tcW w:type="dxa" w:w="4896"/>
            <w:vAlign w:val="center"/>
            <w:tcMar>
              <w:top w:w="65" w:type="dxa"/>
              <w:bottom w:w="65" w:type="dxa"/>
              <w:left w:w="65" w:type="dxa"/>
              <w:right w:w="65" w:type="dxa"/>
            </w:tcMar>
          </w:tcPr>
          <w:p>
            <w:pPr>
              <w:spacing w:after="0" w:line="240" w:lineRule="auto"/>
              <w:jc w:val="center"/>
            </w:pPr>
            <w:r>
              <w:rPr>
                <w:b w:val="0"/>
                <w:sz w:val="18"/>
              </w:rPr>
              <w:t>Ordering L ≤ U, violations</w:t>
            </w:r>
          </w:p>
        </w:tc>
        <w:tc>
          <w:tcPr>
            <w:tcW w:type="dxa" w:w="3312"/>
            <w:vAlign w:val="center"/>
            <w:tcMar>
              <w:top w:w="65" w:type="dxa"/>
              <w:bottom w:w="65" w:type="dxa"/>
              <w:left w:w="65" w:type="dxa"/>
              <w:right w:w="65" w:type="dxa"/>
            </w:tcMar>
          </w:tcPr>
          <w:p>
            <w:pPr>
              <w:spacing w:after="0" w:line="240" w:lineRule="auto"/>
              <w:jc w:val="center"/>
            </w:pPr>
            <w:r>
              <w:rPr>
                <w:b w:val="0"/>
                <w:sz w:val="18"/>
              </w:rPr>
              <w:t>0</w:t>
            </w:r>
          </w:p>
        </w:tc>
      </w:tr>
      <w:tr>
        <w:tc>
          <w:tcPr>
            <w:tcW w:type="dxa" w:w="4896"/>
            <w:vAlign w:val="center"/>
            <w:tcMar>
              <w:top w:w="65" w:type="dxa"/>
              <w:bottom w:w="65" w:type="dxa"/>
              <w:left w:w="65" w:type="dxa"/>
              <w:right w:w="65" w:type="dxa"/>
            </w:tcMar>
          </w:tcPr>
          <w:p>
            <w:pPr>
              <w:spacing w:after="0" w:line="240" w:lineRule="auto"/>
              <w:jc w:val="center"/>
            </w:pPr>
            <w:r>
              <w:rPr>
                <w:b w:val="0"/>
                <w:sz w:val="18"/>
              </w:rPr>
              <w:t>False acceptance / false rejection</w:t>
            </w:r>
          </w:p>
        </w:tc>
        <w:tc>
          <w:tcPr>
            <w:tcW w:type="dxa" w:w="3312"/>
            <w:vAlign w:val="center"/>
            <w:tcMar>
              <w:top w:w="65" w:type="dxa"/>
              <w:bottom w:w="65" w:type="dxa"/>
              <w:left w:w="65" w:type="dxa"/>
              <w:right w:w="65" w:type="dxa"/>
            </w:tcMar>
          </w:tcPr>
          <w:p>
            <w:pPr>
              <w:spacing w:after="0" w:line="240" w:lineRule="auto"/>
              <w:jc w:val="center"/>
            </w:pPr>
            <w:r>
              <w:rPr>
                <w:b w:val="0"/>
                <w:sz w:val="18"/>
              </w:rPr>
              <w:t>0 / 0</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Witnesses inside the ball</w:t>
            </w:r>
          </w:p>
        </w:tc>
        <w:tc>
          <w:tcPr>
            <w:tcW w:type="dxa" w:w="3312"/>
            <w:vAlign w:val="center"/>
            <w:tcMar>
              <w:top w:w="65" w:type="dxa"/>
              <w:bottom w:w="65" w:type="dxa"/>
              <w:left w:w="65" w:type="dxa"/>
              <w:right w:w="65" w:type="dxa"/>
            </w:tcMar>
          </w:tcPr>
          <w:p>
            <w:pPr>
              <w:spacing w:after="0" w:line="240" w:lineRule="auto"/>
              <w:jc w:val="center"/>
            </w:pPr>
            <w:r>
              <w:rPr>
                <w:b w:val="0"/>
                <w:sz w:val="18"/>
              </w:rPr>
              <w:t>2160/2160 (956 projected)</w:t>
            </w:r>
          </w:p>
        </w:tc>
      </w:tr>
      <w:tr>
        <w:tc>
          <w:tcPr>
            <w:tcW w:type="dxa" w:w="4896"/>
            <w:vAlign w:val="center"/>
            <w:tcMar>
              <w:top w:w="65" w:type="dxa"/>
              <w:bottom w:w="65" w:type="dxa"/>
              <w:left w:w="65" w:type="dxa"/>
              <w:right w:w="65" w:type="dxa"/>
            </w:tcMar>
          </w:tcPr>
          <w:p>
            <w:pPr>
              <w:spacing w:after="0" w:line="240" w:lineRule="auto"/>
              <w:jc w:val="center"/>
            </w:pPr>
            <w:r>
              <w:rPr>
                <w:b w:val="0"/>
                <w:sz w:val="18"/>
              </w:rPr>
              <w:t>Decisions</w:t>
            </w:r>
          </w:p>
        </w:tc>
        <w:tc>
          <w:tcPr>
            <w:tcW w:type="dxa" w:w="3312"/>
            <w:vAlign w:val="center"/>
            <w:tcMar>
              <w:top w:w="65" w:type="dxa"/>
              <w:bottom w:w="65" w:type="dxa"/>
              <w:left w:w="65" w:type="dxa"/>
              <w:right w:w="65" w:type="dxa"/>
            </w:tcMar>
          </w:tcPr>
          <w:p>
            <w:pPr>
              <w:spacing w:after="0" w:line="240" w:lineRule="auto"/>
              <w:jc w:val="center"/>
            </w:pPr>
            <w:r>
              <w:rPr>
                <w:b w:val="0"/>
                <w:sz w:val="18"/>
              </w:rPr>
              <w:t>1247 feas., 913 infeas., 0 unresolved</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 quality U − q* (913 cases)</w:t>
            </w:r>
          </w:p>
        </w:tc>
        <w:tc>
          <w:tcPr>
            <w:tcW w:type="dxa" w:w="3312"/>
            <w:vAlign w:val="center"/>
            <w:tcMar>
              <w:top w:w="65" w:type="dxa"/>
              <w:bottom w:w="65" w:type="dxa"/>
              <w:left w:w="65" w:type="dxa"/>
              <w:right w:w="65" w:type="dxa"/>
            </w:tcMar>
          </w:tcPr>
          <w:p>
            <w:pPr>
              <w:spacing w:after="0" w:line="240" w:lineRule="auto"/>
              <w:jc w:val="center"/>
            </w:pPr>
            <w:r>
              <w:rPr>
                <w:b w:val="0"/>
                <w:sz w:val="18"/>
              </w:rPr>
              <w:t>median 6.7e-6, max 1.6e-4</w:t>
            </w:r>
          </w:p>
        </w:tc>
      </w:tr>
      <w:tr>
        <w:tc>
          <w:tcPr>
            <w:tcW w:type="dxa" w:w="4896"/>
            <w:vAlign w:val="center"/>
            <w:tcMar>
              <w:top w:w="65" w:type="dxa"/>
              <w:bottom w:w="65" w:type="dxa"/>
              <w:left w:w="65" w:type="dxa"/>
              <w:right w:w="65" w:type="dxa"/>
            </w:tcMar>
          </w:tcPr>
          <w:p>
            <w:pPr>
              <w:spacing w:after="0" w:line="240" w:lineRule="auto"/>
              <w:jc w:val="center"/>
            </w:pPr>
            <w:r>
              <w:rPr>
                <w:b w:val="0"/>
                <w:sz w:val="18"/>
              </w:rPr>
              <w:t>Max |t − q*|</w:t>
            </w:r>
          </w:p>
        </w:tc>
        <w:tc>
          <w:tcPr>
            <w:tcW w:type="dxa" w:w="3312"/>
            <w:vAlign w:val="center"/>
            <w:tcMar>
              <w:top w:w="65" w:type="dxa"/>
              <w:bottom w:w="65" w:type="dxa"/>
              <w:left w:w="65" w:type="dxa"/>
              <w:right w:w="65" w:type="dxa"/>
            </w:tcMar>
          </w:tcPr>
          <w:p>
            <w:pPr>
              <w:spacing w:after="0" w:line="240" w:lineRule="auto"/>
              <w:jc w:val="center"/>
            </w:pPr>
            <w:r>
              <w:rPr>
                <w:b w:val="0"/>
                <w:sz w:val="18"/>
              </w:rPr>
              <w:t>5.6e-8</w:t>
            </w:r>
          </w:p>
        </w:tc>
      </w:tr>
      <w:tr>
        <w:tc>
          <w:tcPr>
            <w:tcW w:type="dxa" w:w="4896"/>
            <w:vAlign w:val="center"/>
            <w:tcMar>
              <w:top w:w="65" w:type="dxa"/>
              <w:bottom w:w="65" w:type="dxa"/>
              <w:left w:w="65" w:type="dxa"/>
              <w:right w:w="65" w:type="dxa"/>
            </w:tcMar>
          </w:tcPr>
          <w:p>
            <w:pPr>
              <w:spacing w:after="0" w:line="240" w:lineRule="auto"/>
              <w:jc w:val="center"/>
            </w:pPr>
            <w:r>
              <w:rPr>
                <w:b w:val="0"/>
                <w:sz w:val="18"/>
              </w:rPr>
              <w:t>Per solve: build / solver / wall</w:t>
            </w:r>
          </w:p>
        </w:tc>
        <w:tc>
          <w:tcPr>
            <w:tcW w:type="dxa" w:w="3312"/>
            <w:vAlign w:val="center"/>
            <w:tcMar>
              <w:top w:w="65" w:type="dxa"/>
              <w:bottom w:w="65" w:type="dxa"/>
              <w:left w:w="65" w:type="dxa"/>
              <w:right w:w="65" w:type="dxa"/>
            </w:tcMar>
          </w:tcPr>
          <w:p>
            <w:pPr>
              <w:spacing w:after="0" w:line="240" w:lineRule="auto"/>
              <w:jc w:val="center"/>
            </w:pPr>
            <w:r>
              <w:rPr>
                <w:b w:val="0"/>
                <w:sz w:val="18"/>
              </w:rPr>
              <w:t>0.33 / 1.6 / 5.7 ms</w:t>
            </w:r>
          </w:p>
        </w:tc>
      </w:tr>
    </w:tbl>
    <w:p>
      <w:pPr>
        <w:spacing w:after="40"/>
      </w:pPr>
    </w:p>
    <w:p>
      <w:pPr>
        <w:pStyle w:val="Heading2"/>
      </w:pPr>
      <w:r>
        <w:t>7.7 Timing and implementation sensitivity</w:t>
      </w:r>
    </w:p>
    <w:p>
      <w:r>
        <w:t xml:space="preserve">Table 11 reports the same final decision task against the validated tolerance-stopped reference, which is the primary comparison. With the tolerance stop, the pure reference runs at 0.041 s per seed and threshold on the validation batch; among the two pipelines of Table 11, the new bound with tolerance-stopped fallback (0.032 s) is about 20% below it, while the same screening pipeline with the original 200 iteration fallback (0.075 s) is slower — part of the apparent saving in early measurements traced to multiplier search over iteration in the reference solver rather than to screening. The new pipeline is faster than the separate-gain pipeline in 6 of 15 validation pairs and 11–13 of 30 exploratory pairs across runs; no stable runtime advantage over the separate-gain envelope is observed. Table 10 reproduces the original 200 iteration protocol as a supplementary record. The results do not establish complexity advantages or superiority over an optimized solver. On the same batch, the generic SDP pipeline is 17.3 times slower than the tolerance-stopped reference as a ratio of medians (median per-pair slowdown 15.7, range 13.2–18.8; the reference is faster in 15 of 15 pairs), and the staged </w:t>
      </w:r>
      <m:oMath>
        <m:sSub>
          <m:e>
            <m:r>
              <m:t xml:space="preserve">L</m:t>
            </m:r>
          </m:e>
          <m:sub>
            <m:r>
              <m:t xml:space="preserve">q</m:t>
            </m:r>
            <m:r>
              <m:t xml:space="preserve">u</m:t>
            </m:r>
            <m:r>
              <m:t xml:space="preserve">a</m:t>
            </m:r>
            <m:r>
              <m:t xml:space="preserve">d</m:t>
            </m:r>
          </m:sub>
        </m:sSub>
        <m:r>
          <m:t xml:space="preserve">→</m:t>
        </m:r>
        <m:sSub>
          <m:e>
            <m:r>
              <m:t xml:space="preserve">Q</m:t>
            </m:r>
          </m:e>
          <m:sub>
            <m:r>
              <m:t xml:space="preserve">G</m:t>
            </m:r>
          </m:sub>
        </m:sSub>
        <m:r>
          <m:t xml:space="preserve">→</m:t>
        </m:r>
      </m:oMath>
      <w:r>
        <w:t>SDP pipeline is 6.5 times slower (median per-pair slowdown 7.2, range 1.5–12.4); these are single-round figures from the corrected SDP study, with all ratios defined as pipeline time divided by reference time. The SDP pipeline's value is cross validation, and the slowness of the generic conic path is not a statement about full-information methods.</w:t>
      </w:r>
    </w:p>
    <w:p>
      <w:pPr>
        <w:pStyle w:val="Caption"/>
        <w:keepNext/>
      </w:pPr>
      <w:r>
        <w:t>Table 10. End-to-end seconds against the original 200-iteration reference (supplementary);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pPr>
        <w:pStyle w:val="Caption"/>
        <w:keepNext/>
      </w:pPr>
      <w:r>
        <w:t>Table 11. Same final decision task against the validated tolerance-stopped reference (median seconds; total calls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rPr>
          <w:tblHeader/>
        </w:trPr>
        <w:tc>
          <w:tcPr>
            <w:tcW w:type="dxa" w:w="2592"/>
            <w:vAlign w:val="center"/>
            <w:tcMar>
              <w:top w:w="65" w:type="dxa"/>
              <w:bottom w:w="65" w:type="dxa"/>
              <w:left w:w="65" w:type="dxa"/>
              <w:right w:w="65" w:type="dxa"/>
            </w:tcMar>
            <w:shd w:fill="E8EDF2"/>
          </w:tcPr>
          <w:p>
            <w:pPr>
              <w:spacing w:after="0" w:line="240" w:lineRule="auto"/>
              <w:jc w:val="center"/>
            </w:pPr>
            <w:r>
              <w:rPr>
                <w:b/>
                <w:sz w:val="18"/>
              </w:rPr>
              <w:t>Pipeline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200-iteration reference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Tolerance-stopped reference</w:t>
            </w:r>
          </w:p>
        </w:tc>
      </w:tr>
      <w:tr>
        <w:tc>
          <w:tcPr>
            <w:tcW w:type="dxa" w:w="2592"/>
            <w:vAlign w:val="center"/>
            <w:tcMar>
              <w:top w:w="65" w:type="dxa"/>
              <w:bottom w:w="65" w:type="dxa"/>
              <w:left w:w="65" w:type="dxa"/>
              <w:right w:w="65" w:type="dxa"/>
            </w:tcMar>
          </w:tcPr>
          <w:p>
            <w:pPr>
              <w:spacing w:after="0" w:line="240" w:lineRule="auto"/>
              <w:jc w:val="center"/>
            </w:pPr>
            <w:r>
              <w:rPr>
                <w:b w:val="0"/>
                <w:sz w:val="18"/>
              </w:rPr>
              <w:t>Pure reference</w:t>
            </w:r>
          </w:p>
        </w:tc>
        <w:tc>
          <w:tcPr>
            <w:tcW w:type="dxa" w:w="2880"/>
            <w:vAlign w:val="center"/>
            <w:tcMar>
              <w:top w:w="65" w:type="dxa"/>
              <w:bottom w:w="65" w:type="dxa"/>
              <w:left w:w="65" w:type="dxa"/>
              <w:right w:w="65" w:type="dxa"/>
            </w:tcMar>
          </w:tcPr>
          <w:p>
            <w:pPr>
              <w:spacing w:after="0" w:line="240" w:lineRule="auto"/>
              <w:jc w:val="center"/>
            </w:pPr>
            <w:r>
              <w:rPr>
                <w:b w:val="0"/>
                <w:sz w:val="18"/>
              </w:rPr>
              <w:t>0.1496  (1319)</w:t>
            </w:r>
          </w:p>
        </w:tc>
        <w:tc>
          <w:tcPr>
            <w:tcW w:type="dxa" w:w="2880"/>
            <w:vAlign w:val="center"/>
            <w:tcMar>
              <w:top w:w="65" w:type="dxa"/>
              <w:bottom w:w="65" w:type="dxa"/>
              <w:left w:w="65" w:type="dxa"/>
              <w:right w:w="65" w:type="dxa"/>
            </w:tcMar>
          </w:tcPr>
          <w:p>
            <w:pPr>
              <w:spacing w:after="0" w:line="240" w:lineRule="auto"/>
              <w:jc w:val="center"/>
            </w:pPr>
            <w:r>
              <w:rPr>
                <w:b w:val="0"/>
                <w:sz w:val="18"/>
              </w:rPr>
              <w:t>0.0411  (1319)</w:t>
            </w:r>
          </w:p>
        </w:tc>
      </w:tr>
      <w:tr>
        <w:tc>
          <w:tcPr>
            <w:tcW w:type="dxa" w:w="2592"/>
            <w:vAlign w:val="center"/>
            <w:tcMar>
              <w:top w:w="65" w:type="dxa"/>
              <w:bottom w:w="65" w:type="dxa"/>
              <w:left w:w="65" w:type="dxa"/>
              <w:right w:w="65" w:type="dxa"/>
            </w:tcMar>
          </w:tcPr>
          <w:p>
            <w:pPr>
              <w:spacing w:after="0" w:line="240" w:lineRule="auto"/>
              <w:jc w:val="center"/>
            </w:pPr>
            <w:r>
              <w:rPr>
                <w:b w:val="0"/>
                <w:sz w:val="18"/>
              </w:rPr>
              <w:t>New bound + fallback</w:t>
            </w:r>
          </w:p>
        </w:tc>
        <w:tc>
          <w:tcPr>
            <w:tcW w:type="dxa" w:w="2880"/>
            <w:vAlign w:val="center"/>
            <w:tcMar>
              <w:top w:w="65" w:type="dxa"/>
              <w:bottom w:w="65" w:type="dxa"/>
              <w:left w:w="65" w:type="dxa"/>
              <w:right w:w="65" w:type="dxa"/>
            </w:tcMar>
          </w:tcPr>
          <w:p>
            <w:pPr>
              <w:spacing w:after="0" w:line="240" w:lineRule="auto"/>
              <w:jc w:val="center"/>
            </w:pPr>
            <w:r>
              <w:rPr>
                <w:b w:val="0"/>
                <w:sz w:val="18"/>
              </w:rPr>
              <w:t>0.0750  (496)</w:t>
            </w:r>
          </w:p>
        </w:tc>
        <w:tc>
          <w:tcPr>
            <w:tcW w:type="dxa" w:w="2880"/>
            <w:vAlign w:val="center"/>
            <w:tcMar>
              <w:top w:w="65" w:type="dxa"/>
              <w:bottom w:w="65" w:type="dxa"/>
              <w:left w:w="65" w:type="dxa"/>
              <w:right w:w="65" w:type="dxa"/>
            </w:tcMar>
          </w:tcPr>
          <w:p>
            <w:pPr>
              <w:spacing w:after="0" w:line="240" w:lineRule="auto"/>
              <w:jc w:val="center"/>
            </w:pPr>
            <w:r>
              <w:rPr>
                <w:b w:val="0"/>
                <w:sz w:val="18"/>
              </w:rPr>
              <w:t>0.0323  (496)</w:t>
            </w:r>
          </w:p>
        </w:tc>
      </w:tr>
    </w:tbl>
    <w:p>
      <w:pPr>
        <w:spacing w:after="40"/>
      </w:pP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channel drift remain outside the present problem. A positive certificate at one radius is not a maximum radius certificate.</w:t>
      </w:r>
    </w:p>
    <w:p>
      <w:pPr>
        <w:pStyle w:val="Heading1"/>
      </w:pPr>
      <w:r>
        <w:t>9 Discussion</w:t>
      </w:r>
    </w:p>
    <w:p>
      <w:r>
        <w:t xml:space="preserve">The sharpness statement is intentionally strong and narrow: it holds for the unrestricted six-scalar information class at fixed </w:t>
      </w:r>
      <m:oMath>
        <m:r>
          <m:t xml:space="preserve">r</m:t>
        </m:r>
        <m:r>
          <m:t xml:space="preserve">,</m:t>
        </m:r>
        <m:r>
          <m:t xml:space="preserve">γ</m:t>
        </m:r>
        <m:r>
          <m:t xml:space="preserve">,</m:t>
        </m:r>
        <m:sSup>
          <m:e>
            <m:r>
              <m:t xml:space="preserve">σ</m:t>
            </m:r>
          </m:e>
          <m:sup>
            <m:r>
              <m:t xml:space="preserve">2</m:t>
            </m:r>
          </m:sup>
        </m:sSup>
      </m:oMath>
      <w:r>
        <w:t xml:space="preserve"> and dimensions; the approximating construction gives no uniform nominal-channel-norm bound over the class, divergence occurs in particular families, and bounded or attaining constructions exist in others (Remark after Theorem 2). Restricting the class — for example by adjoining </w:t>
      </w:r>
      <m:oMath>
        <m:r>
          <m:t xml:space="preserve">H</m:t>
        </m:r>
        <m:r>
          <m:t xml:space="preserve">=</m:t>
        </m:r>
        <m:r>
          <m:t xml:space="preserve">∥</m:t>
        </m:r>
        <m:r>
          <m:t xml:space="preserve">h</m:t>
        </m:r>
        <m:r>
          <m:t xml:space="preserve">̂</m:t>
        </m:r>
        <m:r>
          <m:t xml:space="preserve">∥</m:t>
        </m:r>
      </m:oMath>
      <w:r>
        <w:t xml:space="preserve">, for which (28) gives a necessary compatibility condition — can only shrink the admissible set, and the six-scalar envelope need not remain sharp; the complete envelopes of the </w:t>
      </w:r>
      <m:oMath>
        <m:r>
          <m:t xml:space="preserve">H</m:t>
        </m:r>
      </m:oMath>
      <w:r>
        <w:t>-branch and of other richer interfaces are open. Empirically, the certificate gain over the separate-gain envelope is positive in the sensitivity, validation and heterogeneous-link batches and zero in the saturated easy batch; no runtime advantage of the six-scalar interface over the seven-scalar one was observed in the strict-client study, and a compact exact cache of the spectrum reduces the storage gap to within a small factor, so the engineering case for the summary interface rests on fixed-size descriptors rather than on speed or large storage savings. The certificate is complementary to, not a replacement for, full-information methods: within the branched family of interfaces it is the strongest guarantee available at its information level, and combining interfaces by maximization is safe.</w:t>
      </w:r>
    </w:p>
    <w:p>
      <w:pPr>
        <w:pStyle w:val="Heading1"/>
      </w:pPr>
      <w:r>
        <w:t>10 Conclusion</w:t>
      </w:r>
    </w:p>
    <w:p>
      <w:r>
        <w:t xml:space="preserve">Mathematically, joint spectral compatibility of three gains of one interference operator yields an explicit three-branch directional extremum, a safe shared-budget QoS envelope dominating the separate-gain envelope, equality with the information-class infimum away from the degenerate boundary together with an explicit approximating construction, and a separately derived, explicitly attained phase-coupled envelope at that boundary. Practically, the envelope is a fixed-size certificate whose empirical gain over the separate-gain envelope is batch-dependent and modest, and which is complementary to a quadratic bound retaining one additional scalar — the two have no universal dominance relation and combine safely by maximization, giving the highest direct-certification coverage among the tested bounds. In scope, the certificate does not replace exact full-information solvers, does not optimize candidate generation, and its sharpness concerns the stated unrestricted information class; natural extensions include richer retained summaries such as the </w:t>
      </w:r>
      <m:oMath>
        <m:r>
          <m:t xml:space="preserve">H</m:t>
        </m:r>
      </m:oMath>
      <w:r>
        <w:t>-branch, physically restricted information classes, validated numerical certificates, and lifecycle management of stored configuration certificates.</w:t>
      </w:r>
    </w:p>
    <w:p>
      <w:pPr>
        <w:pStyle w:val="Heading1"/>
      </w:pPr>
      <w:r>
        <w:t>Appendix A: formula-level comparison with the closest literature</w:t>
      </w:r>
    </w:p>
    <w:p>
      <w:pPr>
        <w:pStyle w:val="Caption"/>
        <w:keepNext/>
      </w:pPr>
      <w:r>
        <w:t>Table 12. Formula-level comparison: what is directly used, what is context, what is evaluated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trPr>
        <w:tc>
          <w:tcPr>
            <w:tcW w:type="dxa" w:w="1368"/>
            <w:vAlign w:val="center"/>
            <w:tcMar>
              <w:top w:w="65" w:type="dxa"/>
              <w:bottom w:w="65" w:type="dxa"/>
              <w:left w:w="65" w:type="dxa"/>
              <w:right w:w="65" w:type="dxa"/>
            </w:tcMar>
            <w:shd w:fill="E8EDF2"/>
          </w:tcPr>
          <w:p>
            <w:pPr>
              <w:spacing w:after="0" w:line="240" w:lineRule="auto"/>
              <w:jc w:val="center"/>
            </w:pPr>
            <w:r>
              <w:rPr>
                <w:b/>
                <w:sz w:val="18"/>
              </w:rPr>
              <w:t>Ref</w:t>
            </w:r>
          </w:p>
        </w:tc>
        <w:tc>
          <w:tcPr>
            <w:tcW w:type="dxa" w:w="2304"/>
            <w:vAlign w:val="center"/>
            <w:tcMar>
              <w:top w:w="65" w:type="dxa"/>
              <w:bottom w:w="65" w:type="dxa"/>
              <w:left w:w="65" w:type="dxa"/>
              <w:right w:w="65" w:type="dxa"/>
            </w:tcMar>
            <w:shd w:fill="E8EDF2"/>
          </w:tcPr>
          <w:p>
            <w:pPr>
              <w:spacing w:after="0" w:line="240" w:lineRule="auto"/>
              <w:jc w:val="center"/>
            </w:pPr>
            <w:r>
              <w:rPr>
                <w:b/>
                <w:sz w:val="18"/>
              </w:rPr>
              <w:t>Original problem / assumptions</w:t>
            </w:r>
          </w:p>
        </w:tc>
        <w:tc>
          <w:tcPr>
            <w:tcW w:type="dxa" w:w="1944"/>
            <w:vAlign w:val="center"/>
            <w:tcMar>
              <w:top w:w="65" w:type="dxa"/>
              <w:bottom w:w="65" w:type="dxa"/>
              <w:left w:w="65" w:type="dxa"/>
              <w:right w:w="65" w:type="dxa"/>
            </w:tcMar>
            <w:shd w:fill="E8EDF2"/>
          </w:tcPr>
          <w:p>
            <w:pPr>
              <w:spacing w:after="0" w:line="240" w:lineRule="auto"/>
              <w:jc w:val="center"/>
            </w:pPr>
            <w:r>
              <w:rPr>
                <w:b/>
                <w:sz w:val="18"/>
              </w:rPr>
              <w:t>Original conclusion</w:t>
            </w:r>
          </w:p>
        </w:tc>
        <w:tc>
          <w:tcPr>
            <w:tcW w:type="dxa" w:w="2448"/>
            <w:vAlign w:val="center"/>
            <w:tcMar>
              <w:top w:w="65" w:type="dxa"/>
              <w:bottom w:w="65" w:type="dxa"/>
              <w:left w:w="65" w:type="dxa"/>
              <w:right w:w="65" w:type="dxa"/>
            </w:tcMar>
            <w:shd w:fill="E8EDF2"/>
          </w:tcPr>
          <w:p>
            <w:pPr>
              <w:spacing w:after="0" w:line="240" w:lineRule="auto"/>
              <w:jc w:val="center"/>
            </w:pPr>
            <w:r>
              <w:rPr>
                <w:b/>
                <w:sz w:val="18"/>
              </w:rPr>
              <w:t>Direct substitution yields our result?</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Remaining steps</w:t>
            </w:r>
          </w:p>
        </w:tc>
      </w:tr>
      <w:tr>
        <w:tc>
          <w:tcPr>
            <w:tcW w:type="dxa" w:w="1368"/>
            <w:vAlign w:val="center"/>
            <w:tcMar>
              <w:top w:w="65" w:type="dxa"/>
              <w:bottom w:w="65" w:type="dxa"/>
              <w:left w:w="65" w:type="dxa"/>
              <w:right w:w="65" w:type="dxa"/>
            </w:tcMar>
          </w:tcPr>
          <w:p>
            <w:pPr>
              <w:spacing w:after="0" w:line="240" w:lineRule="auto"/>
              <w:jc w:val="center"/>
            </w:pPr>
            <w:r>
              <w:rPr>
                <w:b w:val="0"/>
                <w:sz w:val="18"/>
              </w:rPr>
              <w:t>[5] Buzano; Bottazzi–Conde</w:t>
            </w:r>
          </w:p>
        </w:tc>
        <w:tc>
          <w:tcPr>
            <w:tcW w:type="dxa" w:w="2304"/>
            <w:vAlign w:val="center"/>
            <w:tcMar>
              <w:top w:w="65" w:type="dxa"/>
              <w:bottom w:w="65" w:type="dxa"/>
              <w:left w:w="65" w:type="dxa"/>
              <w:right w:w="65" w:type="dxa"/>
            </w:tcMar>
          </w:tcPr>
          <w:p>
            <w:pPr>
              <w:spacing w:after="0" w:line="240" w:lineRule="auto"/>
              <w:jc w:val="center"/>
            </w:pPr>
            <w:r>
              <w:rPr>
                <w:b w:val="0"/>
                <w:sz w:val="18"/>
              </w:rPr>
              <w:t>inner-product bounds for |&lt;Tx,y&gt;| type quantities</w:t>
            </w:r>
          </w:p>
        </w:tc>
        <w:tc>
          <w:tcPr>
            <w:tcW w:type="dxa" w:w="1944"/>
            <w:vAlign w:val="center"/>
            <w:tcMar>
              <w:top w:w="65" w:type="dxa"/>
              <w:bottom w:w="65" w:type="dxa"/>
              <w:left w:w="65" w:type="dxa"/>
              <w:right w:w="65" w:type="dxa"/>
            </w:tcMar>
          </w:tcPr>
          <w:p>
            <w:pPr>
              <w:spacing w:after="0" w:line="240" w:lineRule="auto"/>
              <w:jc w:val="center"/>
            </w:pPr>
            <w:r>
              <w:rPr>
                <w:b w:val="0"/>
                <w:sz w:val="18"/>
              </w:rPr>
              <w:t>two-sided C-S refinements</w:t>
            </w:r>
          </w:p>
        </w:tc>
        <w:tc>
          <w:tcPr>
            <w:tcW w:type="dxa" w:w="2448"/>
            <w:vAlign w:val="center"/>
            <w:tcMar>
              <w:top w:w="65" w:type="dxa"/>
              <w:bottom w:w="65" w:type="dxa"/>
              <w:left w:w="65" w:type="dxa"/>
              <w:right w:w="65" w:type="dxa"/>
            </w:tcMar>
          </w:tcPr>
          <w:p>
            <w:pPr>
              <w:spacing w:after="0" w:line="240" w:lineRule="auto"/>
              <w:jc w:val="center"/>
            </w:pPr>
            <w:r>
              <w:rPr>
                <w:b w:val="0"/>
                <w:sz w:val="18"/>
              </w:rPr>
              <w:t>No: cross-term bound (4) proved by our 2x2 determinant argument</w:t>
            </w:r>
          </w:p>
        </w:tc>
        <w:tc>
          <w:tcPr>
            <w:tcW w:type="dxa" w:w="1440"/>
            <w:vAlign w:val="center"/>
            <w:tcMar>
              <w:top w:w="65" w:type="dxa"/>
              <w:bottom w:w="65" w:type="dxa"/>
              <w:left w:w="65" w:type="dxa"/>
              <w:right w:w="65" w:type="dxa"/>
            </w:tcMar>
          </w:tcPr>
          <w:p>
            <w:pPr>
              <w:spacing w:after="0" w:line="240" w:lineRule="auto"/>
              <w:jc w:val="center"/>
            </w:pPr>
            <w:r>
              <w:rPr>
                <w:b w:val="0"/>
                <w:sz w:val="18"/>
              </w:rPr>
              <w:t>conceptual kinship only</w:t>
            </w:r>
          </w:p>
        </w:tc>
      </w:tr>
      <w:tr>
        <w:tc>
          <w:tcPr>
            <w:tcW w:type="dxa" w:w="1368"/>
            <w:vAlign w:val="center"/>
            <w:tcMar>
              <w:top w:w="65" w:type="dxa"/>
              <w:bottom w:w="65" w:type="dxa"/>
              <w:left w:w="65" w:type="dxa"/>
              <w:right w:w="65" w:type="dxa"/>
            </w:tcMar>
          </w:tcPr>
          <w:p>
            <w:pPr>
              <w:spacing w:after="0" w:line="240" w:lineRule="auto"/>
              <w:jc w:val="center"/>
            </w:pPr>
            <w:r>
              <w:rPr>
                <w:b w:val="0"/>
                <w:sz w:val="18"/>
              </w:rPr>
              <w:t>[6] Grone et al.</w:t>
            </w:r>
          </w:p>
        </w:tc>
        <w:tc>
          <w:tcPr>
            <w:tcW w:type="dxa" w:w="2304"/>
            <w:vAlign w:val="center"/>
            <w:tcMar>
              <w:top w:w="65" w:type="dxa"/>
              <w:bottom w:w="65" w:type="dxa"/>
              <w:left w:w="65" w:type="dxa"/>
              <w:right w:w="65" w:type="dxa"/>
            </w:tcMar>
          </w:tcPr>
          <w:p>
            <w:pPr>
              <w:spacing w:after="0" w:line="240" w:lineRule="auto"/>
              <w:jc w:val="center"/>
            </w:pPr>
            <w:r>
              <w:rPr>
                <w:b w:val="0"/>
                <w:sz w:val="18"/>
              </w:rPr>
              <w:t>partial Hermitian matrix, chordal specified graph</w:t>
            </w:r>
          </w:p>
        </w:tc>
        <w:tc>
          <w:tcPr>
            <w:tcW w:type="dxa" w:w="1944"/>
            <w:vAlign w:val="center"/>
            <w:tcMar>
              <w:top w:w="65" w:type="dxa"/>
              <w:bottom w:w="65" w:type="dxa"/>
              <w:left w:w="65" w:type="dxa"/>
              <w:right w:w="65" w:type="dxa"/>
            </w:tcMar>
          </w:tcPr>
          <w:p>
            <w:pPr>
              <w:spacing w:after="0" w:line="240" w:lineRule="auto"/>
              <w:jc w:val="center"/>
            </w:pPr>
            <w:r>
              <w:rPr>
                <w:b w:val="0"/>
                <w:sz w:val="18"/>
              </w:rPr>
              <w:t>PSD completion iff specified blocks PSD</w:t>
            </w:r>
          </w:p>
        </w:tc>
        <w:tc>
          <w:tcPr>
            <w:tcW w:type="dxa" w:w="2448"/>
            <w:vAlign w:val="center"/>
            <w:tcMar>
              <w:top w:w="65" w:type="dxa"/>
              <w:bottom w:w="65" w:type="dxa"/>
              <w:left w:w="65" w:type="dxa"/>
              <w:right w:w="65" w:type="dxa"/>
            </w:tcMar>
          </w:tcPr>
          <w:p>
            <w:pPr>
              <w:spacing w:after="0" w:line="240" w:lineRule="auto"/>
              <w:jc w:val="center"/>
            </w:pPr>
            <w:r>
              <w:rPr>
                <w:b w:val="0"/>
                <w:sz w:val="18"/>
              </w:rPr>
              <w:t>No: our 2x2 completion verified directly</w:t>
            </w:r>
          </w:p>
        </w:tc>
        <w:tc>
          <w:tcPr>
            <w:tcW w:type="dxa" w:w="1440"/>
            <w:vAlign w:val="center"/>
            <w:tcMar>
              <w:top w:w="65" w:type="dxa"/>
              <w:bottom w:w="65" w:type="dxa"/>
              <w:left w:w="65" w:type="dxa"/>
              <w:right w:w="65" w:type="dxa"/>
            </w:tcMar>
          </w:tcPr>
          <w:p>
            <w:pPr>
              <w:spacing w:after="0" w:line="240" w:lineRule="auto"/>
              <w:jc w:val="center"/>
            </w:pPr>
            <w:r>
              <w:rPr>
                <w:b w:val="0"/>
                <w:sz w:val="18"/>
              </w:rPr>
              <w:t>general theorem in background</w:t>
            </w:r>
          </w:p>
        </w:tc>
      </w:tr>
      <w:tr>
        <w:tc>
          <w:tcPr>
            <w:tcW w:type="dxa" w:w="1368"/>
            <w:vAlign w:val="center"/>
            <w:tcMar>
              <w:top w:w="65" w:type="dxa"/>
              <w:bottom w:w="65" w:type="dxa"/>
              <w:left w:w="65" w:type="dxa"/>
              <w:right w:w="65" w:type="dxa"/>
            </w:tcMar>
          </w:tcPr>
          <w:p>
            <w:pPr>
              <w:spacing w:after="0" w:line="240" w:lineRule="auto"/>
              <w:jc w:val="center"/>
            </w:pPr>
            <w:r>
              <w:rPr>
                <w:b w:val="0"/>
                <w:sz w:val="18"/>
              </w:rPr>
              <w:t>[7] Parrott</w:t>
            </w:r>
          </w:p>
        </w:tc>
        <w:tc>
          <w:tcPr>
            <w:tcW w:type="dxa" w:w="2304"/>
            <w:vAlign w:val="center"/>
            <w:tcMar>
              <w:top w:w="65" w:type="dxa"/>
              <w:bottom w:w="65" w:type="dxa"/>
              <w:left w:w="65" w:type="dxa"/>
              <w:right w:w="65" w:type="dxa"/>
            </w:tcMar>
          </w:tcPr>
          <w:p>
            <w:pPr>
              <w:spacing w:after="0" w:line="240" w:lineRule="auto"/>
              <w:jc w:val="center"/>
            </w:pPr>
            <w:r>
              <w:rPr>
                <w:b w:val="0"/>
                <w:sz w:val="18"/>
              </w:rPr>
              <w:t>contraction completion / quotient norm, lifting</w:t>
            </w:r>
          </w:p>
        </w:tc>
        <w:tc>
          <w:tcPr>
            <w:tcW w:type="dxa" w:w="1944"/>
            <w:vAlign w:val="center"/>
            <w:tcMar>
              <w:top w:w="65" w:type="dxa"/>
              <w:bottom w:w="65" w:type="dxa"/>
              <w:left w:w="65" w:type="dxa"/>
              <w:right w:w="65" w:type="dxa"/>
            </w:tcMar>
          </w:tcPr>
          <w:p>
            <w:pPr>
              <w:spacing w:after="0" w:line="240" w:lineRule="auto"/>
              <w:jc w:val="center"/>
            </w:pPr>
            <w:r>
              <w:rPr>
                <w:b w:val="0"/>
                <w:sz w:val="18"/>
              </w:rPr>
              <w:t>operator-ball structure of completions</w:t>
            </w:r>
          </w:p>
        </w:tc>
        <w:tc>
          <w:tcPr>
            <w:tcW w:type="dxa" w:w="2448"/>
            <w:vAlign w:val="center"/>
            <w:tcMar>
              <w:top w:w="65" w:type="dxa"/>
              <w:bottom w:w="65" w:type="dxa"/>
              <w:left w:w="65" w:type="dxa"/>
              <w:right w:w="65" w:type="dxa"/>
            </w:tcMar>
          </w:tcPr>
          <w:p>
            <w:pPr>
              <w:spacing w:after="0" w:line="240" w:lineRule="auto"/>
              <w:jc w:val="center"/>
            </w:pPr>
            <w:r>
              <w:rPr>
                <w:b w:val="0"/>
                <w:sz w:val="18"/>
              </w:rPr>
              <w:t>No: lifting theorem not applied</w:t>
            </w:r>
          </w:p>
        </w:tc>
        <w:tc>
          <w:tcPr>
            <w:tcW w:type="dxa" w:w="1440"/>
            <w:vAlign w:val="center"/>
            <w:tcMar>
              <w:top w:w="65" w:type="dxa"/>
              <w:bottom w:w="65" w:type="dxa"/>
              <w:left w:w="65" w:type="dxa"/>
              <w:right w:w="65" w:type="dxa"/>
            </w:tcMar>
          </w:tcPr>
          <w:p>
            <w:pPr>
              <w:spacing w:after="0" w:line="240" w:lineRule="auto"/>
              <w:jc w:val="center"/>
            </w:pPr>
            <w:r>
              <w:rPr>
                <w:b w:val="0"/>
                <w:sz w:val="18"/>
              </w:rPr>
              <w:t>completion philosophy cited as context</w:t>
            </w:r>
          </w:p>
        </w:tc>
      </w:tr>
      <w:tr>
        <w:tc>
          <w:tcPr>
            <w:tcW w:type="dxa" w:w="1368"/>
            <w:vAlign w:val="center"/>
            <w:tcMar>
              <w:top w:w="65" w:type="dxa"/>
              <w:bottom w:w="65" w:type="dxa"/>
              <w:left w:w="65" w:type="dxa"/>
              <w:right w:w="65" w:type="dxa"/>
            </w:tcMar>
          </w:tcPr>
          <w:p>
            <w:pPr>
              <w:spacing w:after="0" w:line="240" w:lineRule="auto"/>
              <w:jc w:val="center"/>
            </w:pPr>
            <w:r>
              <w:rPr>
                <w:b w:val="0"/>
                <w:sz w:val="18"/>
              </w:rPr>
              <w:t>[8] Micchelli–Rivlin</w:t>
            </w:r>
          </w:p>
        </w:tc>
        <w:tc>
          <w:tcPr>
            <w:tcW w:type="dxa" w:w="2304"/>
            <w:vAlign w:val="center"/>
            <w:tcMar>
              <w:top w:w="65" w:type="dxa"/>
              <w:bottom w:w="65" w:type="dxa"/>
              <w:left w:w="65" w:type="dxa"/>
              <w:right w:w="65" w:type="dxa"/>
            </w:tcMar>
          </w:tcPr>
          <w:p>
            <w:pPr>
              <w:spacing w:after="0" w:line="240" w:lineRule="auto"/>
              <w:jc w:val="center"/>
            </w:pPr>
            <w:r>
              <w:rPr>
                <w:b w:val="0"/>
                <w:sz w:val="18"/>
              </w:rPr>
              <w:t>optimal recovery from finite data</w:t>
            </w:r>
          </w:p>
        </w:tc>
        <w:tc>
          <w:tcPr>
            <w:tcW w:type="dxa" w:w="1944"/>
            <w:vAlign w:val="center"/>
            <w:tcMar>
              <w:top w:w="65" w:type="dxa"/>
              <w:bottom w:w="65" w:type="dxa"/>
              <w:left w:w="65" w:type="dxa"/>
              <w:right w:w="65" w:type="dxa"/>
            </w:tcMar>
          </w:tcPr>
          <w:p>
            <w:pPr>
              <w:spacing w:after="0" w:line="240" w:lineRule="auto"/>
              <w:jc w:val="center"/>
            </w:pPr>
            <w:r>
              <w:rPr>
                <w:b w:val="0"/>
                <w:sz w:val="18"/>
              </w:rPr>
              <w:t>radius/center of information theory</w:t>
            </w:r>
          </w:p>
        </w:tc>
        <w:tc>
          <w:tcPr>
            <w:tcW w:type="dxa" w:w="2448"/>
            <w:vAlign w:val="center"/>
            <w:tcMar>
              <w:top w:w="65" w:type="dxa"/>
              <w:bottom w:w="65" w:type="dxa"/>
              <w:left w:w="65" w:type="dxa"/>
              <w:right w:w="65" w:type="dxa"/>
            </w:tcMar>
          </w:tcPr>
          <w:p>
            <w:pPr>
              <w:spacing w:after="0" w:line="240" w:lineRule="auto"/>
              <w:jc w:val="center"/>
            </w:pPr>
            <w:r>
              <w:rPr>
                <w:b w:val="0"/>
                <w:sz w:val="18"/>
              </w:rPr>
              <w:t>No: B*(s) is an infimum of margins, not a recovery-error radius</w:t>
            </w:r>
          </w:p>
        </w:tc>
        <w:tc>
          <w:tcPr>
            <w:tcW w:type="dxa" w:w="1440"/>
            <w:vAlign w:val="center"/>
            <w:tcMar>
              <w:top w:w="65" w:type="dxa"/>
              <w:bottom w:w="65" w:type="dxa"/>
              <w:left w:w="65" w:type="dxa"/>
              <w:right w:w="65" w:type="dxa"/>
            </w:tcMar>
          </w:tcPr>
          <w:p>
            <w:pPr>
              <w:spacing w:after="0" w:line="240" w:lineRule="auto"/>
              <w:jc w:val="center"/>
            </w:pPr>
            <w:r>
              <w:rPr>
                <w:b w:val="0"/>
                <w:sz w:val="18"/>
              </w:rPr>
              <w:t>viewpoint relation; no equivalence claimed</w:t>
            </w:r>
          </w:p>
        </w:tc>
      </w:tr>
      <w:tr>
        <w:tc>
          <w:tcPr>
            <w:tcW w:type="dxa" w:w="1368"/>
            <w:vAlign w:val="center"/>
            <w:tcMar>
              <w:top w:w="65" w:type="dxa"/>
              <w:bottom w:w="65" w:type="dxa"/>
              <w:left w:w="65" w:type="dxa"/>
              <w:right w:w="65" w:type="dxa"/>
            </w:tcMar>
          </w:tcPr>
          <w:p>
            <w:pPr>
              <w:spacing w:after="0" w:line="240" w:lineRule="auto"/>
              <w:jc w:val="center"/>
            </w:pPr>
            <w:r>
              <w:rPr>
                <w:b w:val="0"/>
                <w:sz w:val="18"/>
              </w:rPr>
              <w:t>[9] Kim et al.</w:t>
            </w:r>
          </w:p>
        </w:tc>
        <w:tc>
          <w:tcPr>
            <w:tcW w:type="dxa" w:w="2304"/>
            <w:vAlign w:val="center"/>
            <w:tcMar>
              <w:top w:w="65" w:type="dxa"/>
              <w:bottom w:w="65" w:type="dxa"/>
              <w:left w:w="65" w:type="dxa"/>
              <w:right w:w="65" w:type="dxa"/>
            </w:tcMar>
          </w:tcPr>
          <w:p>
            <w:pPr>
              <w:spacing w:after="0" w:line="240" w:lineRule="auto"/>
              <w:jc w:val="center"/>
            </w:pPr>
            <w:r>
              <w:rPr>
                <w:b w:val="0"/>
                <w:sz w:val="18"/>
              </w:rPr>
              <w:t>worst-case SINR, norm-bounded steering error</w:t>
            </w:r>
          </w:p>
        </w:tc>
        <w:tc>
          <w:tcPr>
            <w:tcW w:type="dxa" w:w="1944"/>
            <w:vAlign w:val="center"/>
            <w:tcMar>
              <w:top w:w="65" w:type="dxa"/>
              <w:bottom w:w="65" w:type="dxa"/>
              <w:left w:w="65" w:type="dxa"/>
              <w:right w:w="65" w:type="dxa"/>
            </w:tcMar>
          </w:tcPr>
          <w:p>
            <w:pPr>
              <w:spacing w:after="0" w:line="240" w:lineRule="auto"/>
              <w:jc w:val="center"/>
            </w:pPr>
            <w:r>
              <w:rPr>
                <w:b w:val="0"/>
                <w:sz w:val="18"/>
              </w:rPr>
              <w:t>parallel/orthogonal error decomposition bounds</w:t>
            </w:r>
          </w:p>
        </w:tc>
        <w:tc>
          <w:tcPr>
            <w:tcW w:type="dxa" w:w="2448"/>
            <w:vAlign w:val="center"/>
            <w:tcMar>
              <w:top w:w="65" w:type="dxa"/>
              <w:bottom w:w="65" w:type="dxa"/>
              <w:left w:w="65" w:type="dxa"/>
              <w:right w:w="65" w:type="dxa"/>
            </w:tcMar>
          </w:tcPr>
          <w:p>
            <w:pPr>
              <w:spacing w:after="0" w:line="240" w:lineRule="auto"/>
              <w:jc w:val="center"/>
            </w:pPr>
            <w:r>
              <w:rPr>
                <w:b w:val="0"/>
                <w:sz w:val="18"/>
              </w:rPr>
              <w:t>No: min{b0 r, a x + b y} not found as a stated envelope there</w:t>
            </w:r>
          </w:p>
        </w:tc>
        <w:tc>
          <w:tcPr>
            <w:tcW w:type="dxa" w:w="1440"/>
            <w:vAlign w:val="center"/>
            <w:tcMar>
              <w:top w:w="65" w:type="dxa"/>
              <w:bottom w:w="65" w:type="dxa"/>
              <w:left w:w="65" w:type="dxa"/>
              <w:right w:w="65" w:type="dxa"/>
            </w:tcMar>
          </w:tcPr>
          <w:p>
            <w:pPr>
              <w:spacing w:after="0" w:line="240" w:lineRule="auto"/>
              <w:jc w:val="center"/>
            </w:pPr>
            <w:r>
              <w:rPr>
                <w:b w:val="0"/>
                <w:sz w:val="18"/>
              </w:rPr>
              <w:t>decomposition context; baseline assembled here</w:t>
            </w:r>
          </w:p>
        </w:tc>
      </w:tr>
    </w:tbl>
    <w:p>
      <w:pPr>
        <w:spacing w:after="40"/>
      </w:pPr>
    </w:p>
    <w:p>
      <w:r>
        <w:t>The searches covered the operator-inequality, completion, optimal-recovery and robust-beamforming lines as documented in the project audit trail; within those searches we did not locate the closed form (6) under exactly the three retained summaries and a shared budget, nor the boundary envelope (25). Absence of a match in these searches is not a proof of novelty.</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w:t>
      </w:r>
    </w:p>
    <w:p>
      <w:r>
        <w:t>[4] A. Zheng, W. Ni, W. Wang, H. Tian, and C. Yuen, "Energy-Efficient Robust Beamforming for Multi-Functional RIS-Aided Wireless Communication Under Imperfect CSI," IEEE Transactions on Communications, vol. 73, no. 8, pp. 6306–6321, 2025. DOI: 10.1109/TCOMM.2024.3516491.</w:t>
      </w:r>
    </w:p>
    <w:p>
      <w:r>
        <w:t>[5] M. L. Buzano, "Generalizzazione della diseguaglianza di Cauchy–Schwarz," Rendiconti del Seminario Matematico Università e Politecnico di Torino, vol. 31, pp. 405–409, 1974; T. Bottazzi and C. Conde, "Generalized Buzano Inequality," Filomat, vol. 37, no. 27, pp. 9377–9390, 2023. DOI: 10.2298/FIL2327377B.</w:t>
      </w:r>
    </w:p>
    <w:p>
      <w:r>
        <w:t>[6] R. Grone, C. R. Johnson, E. M. Sá, and H. Wolkowicz, "Positive definite completions of partial Hermitian matrices," Linear Algebra and its Applications, vol. 58, pp. 109–124, 1984. DOI: 10.1016/0024-3795(84)90207-6.</w:t>
      </w:r>
    </w:p>
    <w:p>
      <w:r>
        <w:t>[7] S. K. Parrott, "On a quotient norm and the Sz.-Nagy–Foiaş lifting theorem," Journal of Functional Analysis, vol. 30, no. 3, pp. 311–328, 1978. DOI: 10.1016/0022-1236(78)90060-5.</w:t>
      </w:r>
    </w:p>
    <w:p>
      <w:r>
        <w:t>[8] C. A. Micchelli and T. J. Rivlin, "A Survey of Optimal Recovery," in Optimal Estimation in Approximation Theory (C. A. Micchelli and T. J. Rivlin, Eds.), The IBM Research Symposia Series, Plenum Press, 1977, pp. 1–54.</w:t>
      </w:r>
    </w:p>
    <w:p>
      <w:r>
        <w:t>[9] S.-J. Kim, A. Magnani, A. Mutapcic, S. P. Boyd, and Z.-Q. Luo, "Robust Beamforming via Worst-Case SINR Maximization," IEEE Transactions on Signal Processing, vol. 56, no. 4, pp. 1539–1547, 2008. DOI: 10.1109/TSP.2007.916124.</w:t>
      </w:r>
    </w:p>
    <w:p>
      <w:pPr>
        <w:pStyle w:val="Heading1"/>
      </w:pPr>
      <w:r>
        <w:t>Reproducibility</w:t>
      </w:r>
    </w:p>
    <w:p>
      <w:r>
        <w:t>The supplied code reproduces every number. `run_experiments.py` (original pools), `audit_and_stress.py` (sensitivity study), `run_v41.py` (preregistered validation batch and theory checks), `run_optimization.py` (joint certification, staged screening, adaptive refinement, scaling), `run_sdp_v2.py` (corrected SDP baseline), `experiments_v6.py` (heterogeneous-link pool and controlled scaling) and `v61_data_audit.py` (cross-batch re-aggregation from raw CSVs) write into separate immutable result directories and exit nonzero on failed checks. An earlier SDP implementation with an invalid negative-lower-bound rejection rule is retained as history with correction headers and is not cited.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Robust QoS Certification from Six-Scalar Spectral Summaries</dc:title>
  <dc:subject>English V6: information-class formulation, validation, complementary certificates, corrected SDP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6.0</cp:version>
</cp:coreProperties>
</file>