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6.0 • English revision • 7 October 2026</w:t>
      </w:r>
    </w:p>
    <w:p>
      <w:pPr>
        <w:pStyle w:val="Heading1"/>
      </w:pPr>
      <w:r>
        <w:t>Abstract</w:t>
      </w:r>
    </w:p>
    <w:p>
      <w:r>
        <w:t>Certifying that a fixed beamforming and reconfigurable intelligent surface (RIS) configuration satisfies quality-of-service constraints under norm-bounded channel-state error is, with full geometry, a trust region problem solvable exactly. This paper asks what can be guaranteed when the certification interface retains only six scalar summaries of the nominal channel and the interference operator: desired and nominal amplitudes, desired-direction gain, orthogonal-subspace gain, and total spectral norm. Because these gains originate from one operator, they satisfy spectral compatibility that previous shared-budget envelopes ignore. We solve the resulting directional interference extremum in closed form, obtaining a continuous three-branch envelope and a safe worst-case QoS bound that dominates the previous envelope under the same information. For the nondegenerate information class we prove the bound equals the infimum of the true worst-case margin over all instances sharing the six summaries; at the degenerate boundary where the desired direction attains the total norm, a distinct phase-coupled envelope is derived and attained explicitly. Numerical checks reproduce all analytical envelopes, two independent exact methods agree on every validation problem, and the certification gain over the previous six-scalar bound is strict but modest and batch-dependent; the certificate is complementary to a cheap full-geometry quadratic bound in a staged screening interface.</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If only six scalar summaries are retained — the desired-stream power, the nominal desired and interference amplitudes, and three gains of the interference operator — a precise question arises: what is the strongest worst-case QoS guarantee that is uniform over every instance consistent with these summaries? Envelopes that use the three gains separately, as is natural in the bounded-error robust beamforming literature [9],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obtained from a two-by-two positive semidefinite completion, a specialization of classical contraction-completion [7] and refined Cauchy–Schwarz (Buzano-type) arguments [5], with the chordal completion characterization [6] in the background.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previous shared-budget envelope pointwise. Over the nondegenerate information class (β_0&gt;α) the envelope equals the infimum of the true worst-case margin over all instances with the same six summaries — the sharpness statement, in the sense of the radius of information from optimal recovery [8]. At the degenerate boundary β_0=α, the desired direction already attains the operator norm; singular-vector geometry forces an additional orthogonality, hence a phase coupling between the desired signal and the parallel interference, and the optimal envelope of the boundary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previous envelope cannot; validating on preregistered, previously unused seeds, including a pool with distance-dependent path loss and Rician components; showing that the six-scalar certificate and a cheap full-geometry quadratic bound are complementary (no universal dominance, safe to combine by maximization); and cross-validating every certification statement with an independent exact S-procedure SDP pipeline. The experiments support implementation correctness and complementary use; they do not prove the theorems, and the empirical acceptance gain over the previous six-scalar envelope, while positive in every batch, is modest and batch-dependent.</w:t>
      </w:r>
    </w:p>
    <w:p>
      <w:r>
        <w:t>This work makes three contributions. First, we derive the spectral-compatible directional envelope: from the joint constraints imposed by the desired-direction gain, the orthogonal-subspace gain, and the total spectral norm of one interference operator, we obtain an explicit continuous three-branch extremum for the worst interference output under a shared error budget. Second, we establish information-class optimality: the induced shared-budget QoS envelope is safe, dominates the envelope that uses the three gains separately, equals the information-class infimum away from the degenerate boundary, and is complemented by a separate, explicitly attained phase-coupled envelope at the boundary β_0=α. Third, we specify and validate a certification interface: exact trust-region and S-procedure references confirm the implementation on every validation problem, the envelope produces certifications the previous six-scalar envelope cannot, and, having no universal dominance relation with a full-geometry quadratic bound, it serves as a complementary stage between cheap bounds and exact fallback.</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Their necessary spectral compatibility condition is</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min</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This formulation places the paper in an explicit certification hierarchy: increasing retained information shrinks the admissible information class and can only tighten the strongest uniform certificate, so certificate strength trades against information retained. At the coarse end, separable norm bounds use the full error radius twice (Level 0). The shared-budget envelope that uses the three interference gains separately (Level 1) is the natural envelope of the bounded-error robust beamforming literature. Level 2 — a shared budget with joint spectral compatibility — is the object of this paper. Level 3 retains one additional scalar, the nominal channel norm, for which we give a necessary compatibility condition but no complete envelope. Level 4 is the full quadratic geometry, where cheap bounds such as the quadratic certificate </w:t>
      </w:r>
      <m:oMath>
        <m:sSub>
          <m:e>
            <m:r>
              <m:t xml:space="preserve">L</m:t>
            </m:r>
          </m:e>
          <m:sub>
            <m:r>
              <m:t xml:space="preserve">q</m:t>
            </m:r>
            <m:r>
              <m:t xml:space="preserve">u</m:t>
            </m:r>
            <m:r>
              <m:t xml:space="preserve">a</m:t>
            </m:r>
            <m:r>
              <m:t xml:space="preserve">d</m:t>
            </m:r>
          </m:sub>
        </m:sSub>
      </m:oMath>
      <w:r>
        <w:t xml:space="preserve"> and exact trust-region or S-procedure solvers operate. The hierarchy also explains a recurring empirical observation: a full-geometry bound sometimes certifies more than the six-scalar envelope not because it is a better algorithm but because it retains more information. Levels 2 and 4 are complementary, and our experiments combine them.</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previous envelope therefore comes from using more of the structure already contained in the retained information, rather than from introducing additional channel information.</w:t>
      </w:r>
    </w:p>
    <w:p>
      <w:pPr>
        <w:pStyle w:val="Heading2"/>
      </w:pPr>
      <w:r>
        <w:t>2.5 Related work</w:t>
      </w:r>
    </w:p>
    <w:p>
      <w:r>
        <w:t>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and [4] a current multi-functional RIS design under bounded cascaded CSI error; exact solution of the ball-constrained quadratic rests on the trust-region and S-lemma literature [2],[3]. In this line, decomposing the channel error into components parallel and orthogonal to the desired channel and bounding their effects separately is a recurring device [9]; the envelope we call "previous" is the shared-budget bound obtained when the three interference gains are used separately, implicit in this literature. A second line compresses information probabilistically, using distributional summaries with conservative approximations.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[1],[4],[9]</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yes (framework)</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 (L2)</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bl>
    <w:p>
      <w:pPr>
        <w:spacing w:after="40"/>
      </w:pPr>
    </w:p>
    <w:p>
      <w:r>
        <w:t>The mathematics we need is classical but dispersed. The cross-term bound in our extremum is a Buzano-type refinement of Cauchy–Schwarz [5]; the completion step — extending a contraction with prescribed action on a vector — belongs to the Parrott/operator-ball theorems [7], with the chordal positive-semidefinite completion characterization [6] behind the two-by-two case; and interpreting an infimum over an information class as the worst-case radius of a certificate is the radius-of-information viewpoint of optimal recovery [8]. To the best of our knowledge,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The envelope is nondecreasing in either nonnegative input amplitude. This follows directly from (5), because each objective being maximized has nonnegative coefficients. The same expression, or the constructive characterization below, yields the Lipschitz control used in Section 6.</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previous shared budget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compatible spectral summaries. Over the corresponding nonempty information class,</w:t>
      </w:r>
    </w:p>
    <w:p>
      <w:pPr>
        <w:pStyle w:val="Equation"/>
      </w:pPr>
      <m:oMath>
        <m:sSub>
          <m:e>
            <m:r>
              <m:rPr>
                <m:nor/>
              </m:rPr>
              <m:t xml:space="preserve">min</m:t>
            </m:r>
          </m:e>
          <m:sub>
            <m:d>
              <m:dPr>
                <m:begChr m:val="("/>
                <m:endChr m:val=")"/>
              </m:dPr>
              <m:e>
                <m:r>
                  <m:t xml:space="preserve">b</m:t>
                </m:r>
                <m:r>
                  <m:t xml:space="preserve">,</m:t>
                </m:r>
                <m:r>
                  <m:t xml:space="preserve">h</m:t>
                </m:r>
                <m:r>
                  <m:t xml:space="preserve">̂</m:t>
                </m:r>
                <m:r>
                  <m:t xml:space="preserve">,</m:t>
                </m:r>
                <m:r>
                  <m:t xml:space="preserve">C</m:t>
                </m:r>
              </m:e>
            </m:d>
            <m:r>
              <m:t xml:space="preserve">∈</m:t>
            </m:r>
            <m:sSub>
              <m:e>
                <m:r>
                  <m:t xml:space="preserve">S</m:t>
                </m:r>
              </m:e>
              <m:sub>
                <m:r>
                  <m:t xml:space="preserve">6</m:t>
                </m:r>
              </m:sub>
            </m:sSub>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The dimensions are sufficient for the construction; no minimal dimension claim is made. The infimum need not be attained by an instance of finite nominal channel norm.</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Let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which is invertible, and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oMath>
      <w:r>
        <w:tab/>
        <w:t>(19)</w:t>
      </w:r>
    </w:p>
    <w:p>
      <w:r>
        <w:t xml:space="preserve">Here </w:t>
      </w:r>
      <m:oMath>
        <m:sSub>
          <m:e>
            <m:r>
              <m:t xml:space="preserve">B</m:t>
            </m:r>
          </m:e>
          <m:sub>
            <m:r>
              <m:t xml:space="preserve">ε</m:t>
            </m:r>
          </m:sub>
        </m:sSub>
      </m:oMath>
      <w:r>
        <w:t xml:space="preserve"> has three rows and four columns and full row rank, while </w:t>
      </w:r>
      <m:oMath>
        <m:sSup>
          <m:e>
            <m:sSub>
              <m:e>
                <m:r>
                  <m:t xml:space="preserve">C</m:t>
                </m:r>
              </m:e>
              <m:sub>
                <m:r>
                  <m:t xml:space="preserve">ε</m:t>
                </m:r>
              </m:sub>
            </m:sSub>
          </m:e>
          <m:sup>
            <m:r>
              <m:t xml:space="preserve">H</m:t>
            </m:r>
          </m:sup>
        </m:sSup>
      </m:oMath>
      <w:r>
        <w:t xml:space="preserve"> has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required exact values of </w:t>
      </w:r>
      <m:oMath>
        <m:r>
          <m:t xml:space="preserve">α</m:t>
        </m:r>
        <m:r>
          <m:t xml:space="preserve">,</m:t>
        </m:r>
        <m:r>
          <m:t xml:space="preserve">β</m:t>
        </m:r>
        <m:r>
          <m:t xml:space="preserve">,</m:t>
        </m:r>
        <m:sSub>
          <m:e>
            <m:r>
              <m:t xml:space="preserve">β</m:t>
            </m:r>
          </m:e>
          <m:sub>
            <m:r>
              <m:t xml:space="preserve">0</m:t>
            </m:r>
          </m:sub>
        </m:sSub>
      </m:oMath>
      <w:r>
        <w:t>.</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Thus the nominal desired amplitude is exactly </w:t>
      </w:r>
      <m:oMath>
        <m:r>
          <m:t xml:space="preserve">a</m:t>
        </m:r>
      </m:oMath>
      <w:r>
        <w:t xml:space="preserve"> and the interference amplitude is exactly </w:t>
      </w:r>
      <m:oMath>
        <m:sSub>
          <m:e>
            <m:r>
              <m:t xml:space="preserve">I</m:t>
            </m:r>
          </m:e>
          <m:sub>
            <m:r>
              <m:t xml:space="preserve">0</m:t>
            </m:r>
          </m:sub>
        </m:sSub>
      </m:oMath>
      <w:r>
        <w:t xml:space="preserve">,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Nominal and perturbation interference are aligned.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because the constructed vectors have nonnegative real coordinates.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the compatible sequence proves that the information class infimum is at most </w:t>
      </w:r>
      <m:oMath>
        <m:sSub>
          <m:e>
            <m:r>
              <m:t xml:space="preserve">Q</m:t>
            </m:r>
          </m:e>
          <m:sub>
            <m:r>
              <m:t xml:space="preserve">G</m:t>
            </m:r>
          </m:sub>
        </m:sSub>
      </m:oMath>
      <w:r>
        <w:t>. Proposition 1 proves the reverse inequality.</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This handles </w:t>
      </w:r>
      <m:oMath>
        <m:r>
          <m:t xml:space="preserve">y</m:t>
        </m:r>
        <m:r>
          <m:t xml:space="preserve">=</m:t>
        </m:r>
        <m:r>
          <m:t xml:space="preserve">0</m:t>
        </m:r>
      </m:oMath>
      <w:r>
        <w:t xml:space="preserve"> without normalizing a zero output.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equal to </w:t>
      </w:r>
      <m:oMath>
        <m:sSub>
          <m:e>
            <m:r>
              <m:t xml:space="preserve">Q</m:t>
            </m:r>
          </m:e>
          <m:sub>
            <m:r>
              <m:t xml:space="preserve">G</m:t>
            </m:r>
          </m:sub>
        </m:sSub>
        <m:d>
          <m:dPr>
            <m:begChr m:val="("/>
            <m:endChr m:val=")"/>
          </m:dPr>
          <m:e>
            <m:r>
              <m:t xml:space="preserve">0</m:t>
            </m:r>
          </m:e>
        </m:d>
      </m:oMath>
      <w:r>
        <w:t xml:space="preserve">. Finally, append zero input coordinates and zero output rows to reach any fixed </w:t>
      </w:r>
      <m:oMath>
        <m:r>
          <m:t xml:space="preserve">n</m:t>
        </m:r>
        <m:r>
          <m:t xml:space="preserve">≥</m:t>
        </m:r>
        <m:r>
          <m:t xml:space="preserve">5</m:t>
        </m:r>
        <m:r>
          <m:t xml:space="preserve">,</m:t>
        </m:r>
        <m:r>
          <m:t xml:space="preserve">m</m:t>
        </m:r>
        <m:r>
          <m:t xml:space="preserve">≥</m:t>
        </m:r>
        <m:r>
          <m:t xml:space="preserve">3</m:t>
        </m:r>
      </m:oMath>
      <w:r>
        <w:t xml:space="preserve">; these operations preserve all six summaries and the evaluated error norm. The proof covers the upper spectral endpoint and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Whenever the beam direction attains the total spectral norm, </w:t>
      </w:r>
      <m:oMath>
        <m:r>
          <m:t xml:space="preserve">v</m:t>
        </m:r>
      </m:oMath>
      <w:r>
        <w:t xml:space="preserve"> is a singular direction of the interference operator, and the equality case of the singular-vector characterization forces the interference generated by any orthogonal error component to be orthogonal to the interference generated along the beam. The parallel interference output is then a fixed complex multiple of the desired signal output — they share one phase — whereas in the nondegenerate regime the two phases can be chosen independently, which is exactly what the completion construction of Theorem 2 exploits. Consequently the boundary information class carries an additional phase compatibility that the six scalars do not display, and its optimal envelope must be derived separately.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requires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it additionally requires </w:t>
      </w:r>
      <m:oMath>
        <m:sSub>
          <m:e>
            <m:r>
              <m:t xml:space="preserve">I</m:t>
            </m:r>
          </m:e>
          <m:sub>
            <m:r>
              <m:t xml:space="preserve">0</m:t>
            </m:r>
          </m:sub>
        </m:sSub>
        <m:r>
          <m:t xml:space="preserve">=</m:t>
        </m:r>
        <m:r>
          <m:t xml:space="preserve">α</m:t>
        </m:r>
        <m:r>
          <m:t xml:space="preserve">a</m:t>
        </m:r>
      </m:oMath>
      <w:r>
        <w:t xml:space="preserve">, so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sSub>
              <m:e>
                <m:r>
                  <m:t xml:space="preserve">S</m:t>
                </m:r>
              </m:e>
              <m:sub>
                <m:r>
                  <m:t xml:space="preserve">6</m:t>
                </m:r>
              </m:sub>
            </m:sSub>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xml:space="preserve"> and this value is attained. For </w:t>
      </w:r>
      <m:oMath>
        <m:r>
          <m:t xml:space="preserve">β</m:t>
        </m:r>
        <m:r>
          <m:t xml:space="preserve">=</m:t>
        </m:r>
        <m:r>
          <m:t xml:space="preserve">0</m:t>
        </m:r>
      </m:oMath>
      <w:r>
        <w:t xml:space="preserve">, the same formula with </w:t>
      </w:r>
      <m:oMath>
        <m:sSub>
          <m:e>
            <m:r>
              <m:t xml:space="preserve">J</m:t>
            </m:r>
          </m:e>
          <m:sub>
            <m:r>
              <m:t xml:space="preserve">⊥</m:t>
            </m:r>
          </m:sub>
        </m:sSub>
        <m:r>
          <m:t xml:space="preserve">=</m:t>
        </m:r>
        <m:r>
          <m:t xml:space="preserve">0</m:t>
        </m:r>
      </m:oMath>
      <w:r>
        <w:t xml:space="preserve"> reduces to the parallel problem and is attainable in every compatible dimension.</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use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and reverse the inequality upon multiplication.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Applying the triangle inequality and minimizing yields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For a minimizing </w:t>
      </w:r>
      <m:oMath>
        <m:r>
          <m:t xml:space="preserve">x</m:t>
        </m:r>
      </m:oMath>
      <w:r>
        <w:t xml:space="preserve"> in (25),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and choose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&lt;</m:t>
        </m:r>
        <m:r>
          <m:t xml:space="preserve">0</m:t>
        </m:r>
      </m:oMath>
      <w:r>
        <w:t xml:space="preserve">. The parallel term in (24) then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oMath>
      <w:r>
        <w:t xml:space="preserve">, and the orthogonal interference norm equals </w:t>
      </w:r>
      <m:oMath>
        <m:sSub>
          <m:e>
            <m:r>
              <m:t xml:space="preserve">J</m:t>
            </m:r>
          </m:e>
          <m:sub>
            <m:r>
              <m:t xml:space="preserve">⊥</m:t>
            </m:r>
          </m:sub>
        </m:sSub>
        <m:r>
          <m:t xml:space="preserve">+</m:t>
        </m:r>
        <m:r>
          <m:t xml:space="preserve">β</m:t>
        </m:r>
        <m:r>
          <m:t xml:space="preserve">y</m:t>
        </m:r>
      </m:oMath>
      <w:r>
        <w:t xml:space="preserve">. The error is feasible and its objective equals </w:t>
      </w:r>
      <m:oMath>
        <m:sSub>
          <m:e>
            <m:r>
              <m:t xml:space="preserve">Q</m:t>
            </m:r>
          </m:e>
          <m:sub>
            <m:r>
              <m:t xml:space="preserve">∂</m:t>
            </m:r>
          </m:sub>
        </m:sSub>
      </m:oMath>
      <w:r>
        <w:t xml:space="preserve">. Safety gives equality with </w:t>
      </w:r>
      <m:oMath>
        <m:sSup>
          <m:e>
            <m:r>
              <m:t xml:space="preserve">q</m:t>
            </m:r>
          </m:e>
          <m:sup>
            <m:r>
              <m:t xml:space="preserve">*</m:t>
            </m:r>
          </m:sup>
        </m:sSup>
      </m:oMath>
      <w:r>
        <w:t xml:space="preserve"> for this instance. Zero padding establishes attainment in larger dimensions. If </w:t>
      </w:r>
      <m:oMath>
        <m:r>
          <m:t xml:space="preserve">β</m:t>
        </m:r>
        <m:r>
          <m:t xml:space="preserve">=</m:t>
        </m:r>
        <m:r>
          <m:t xml:space="preserve">0</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additional phase compatibility forced by that boundary.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Cauchy–Schwarz with the orthogonal nominal channel component proves (28). This condition excludes some constructions requiring an unbounded channel norm; the complete seven-scalar envelope is left open.</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old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 </m:t>
        </m:r>
        <m:r>
          <m:t xml:space="preserve">A</m:t>
        </m:r>
        <m:r>
          <m:t xml:space="preserve">h</m:t>
        </m:r>
        <m:r>
          <m:t xml:space="preserve">̂</m:t>
        </m:r>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Timing sections therefore report both the original 200 iteration reference and the validated tolerance stopped reference, and screening savings are quoted against both.</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old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old one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old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units, with no false acceptance or fallback.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old bound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 bound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m:t>
        </m:r>
        <m:r>
          <m:t xml:space="preserve">g</m:t>
        </m:r>
        <m:r>
          <m:t xml:space="preserve">∥</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ab/>
        <w:t>(32)</w:t>
      </w:r>
    </w:p>
    <w:p>
      <w:r>
        <w:t xml:space="preserve">Unlike the six-scalar envelopes, it uses full quadratic geometry.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is safe and yields the highest direct-certification coverage among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previous 125, new 126 and </w:t>
      </w:r>
      <m:oMath>
        <m:sSub>
          <m:e>
            <m:r>
              <m:t xml:space="preserve">L</m:t>
            </m:r>
          </m:e>
          <m:sub>
            <m:r>
              <m:t xml:space="preserve">q</m:t>
            </m:r>
            <m:r>
              <m:t xml:space="preserve">u</m:t>
            </m:r>
            <m:r>
              <m:t xml:space="preserve">a</m:t>
            </m:r>
            <m:r>
              <m:t xml:space="preserve">d</m:t>
            </m:r>
          </m:sub>
        </m:sSub>
      </m:oMath>
      <w:r>
        <w:t xml:space="preserve"> 138. The new bound adds one unit over the previous (coverage 78.62% to 79.24%); combined with the exploratory grid (+10 units, +2.12 points), the certification gain is positive but small and varies between batches. Reference calls fall from 511 (previous pipeline) to 496 (new pipeline) against 1319 for the full reference.</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previous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r>
          <m:t xml:space="preserve">0</m:t>
        </m:r>
        <m:d>
          <m:dPr>
            <m:begChr m:val="{"/>
            <m:endChr m:val="}"/>
          </m:dPr>
          <m:e>
            <m:r>
              <m:t xml:space="preserve">−</m:t>
            </m:r>
            <m:r>
              <m:t xml:space="preserve">2</m:t>
            </m:r>
          </m:e>
        </m:d>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 pool with heterogeneous, distance-dependent scaling (seeds 301–305, same 540-unit structure): two base stations and a 16 element RIS with fixed geometry,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on the user links, a 12 dB BS–RIS link, Rician factors </w:t>
      </w:r>
      <m:oMath>
        <m:r>
          <m:t xml:space="preserve">K</m:t>
        </m:r>
        <m:r>
          <m:t xml:space="preserve">=</m:t>
        </m:r>
        <m:r>
          <m:t xml:space="preserve">3</m:t>
        </m:r>
      </m:oMath>
      <w:r>
        <w:t xml:space="preserve"> on BS–RIS and RIS–UE and Rayleigh BS–UE links, the same candidate rules, and relative balls </w:t>
      </w:r>
      <m:oMath>
        <m:r>
          <m:t xml:space="preserve">r</m:t>
        </m:r>
        <m:r>
          <m:t xml:space="preserve">=</m:t>
        </m:r>
        <m:r>
          <m:t xml:space="preserve">ρ</m:t>
        </m:r>
        <m:r>
          <m:t xml:space="preserve">∥</m:t>
        </m:r>
        <m:r>
          <m:t xml:space="preserve">h</m:t>
        </m:r>
        <m:r>
          <m:t xml:space="preserve">̂</m:t>
        </m:r>
        <m:r>
          <m:t xml:space="preserve">∥</m:t>
        </m:r>
      </m:oMath>
      <w:r>
        <w:t xml:space="preserve">. The relative radius is interpreted through the worst-case NMSE mapping </w:t>
      </w:r>
      <m:oMath>
        <m:r>
          <m:t xml:space="preserve">ρ</m:t>
        </m:r>
        <m:r>
          <m:t xml:space="preserve">=</m:t>
        </m:r>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r>
          <m:t xml:space="preserve">↔</m:t>
        </m:r>
        <m:r>
          <m:t xml:space="preserve">−</m:t>
        </m:r>
        <m:r>
          <m:t xml:space="preserve">2</m:t>
        </m:r>
        <m:r>
          <m:t xml:space="preserve">4</m:t>
        </m:r>
        <m:r>
          <m:t xml:space="preserve">.</m:t>
        </m:r>
        <m:r>
          <m:t xml:space="preserve">4</m:t>
        </m:r>
        <m:r>
          <m:t xml:space="preserve">/</m:t>
        </m:r>
        <m:r>
          <m:t xml:space="preserve">−</m:t>
        </m:r>
        <m:r>
          <m:t xml:space="preserve">1</m:t>
        </m:r>
        <m:r>
          <m:t xml:space="preserve">6</m:t>
        </m:r>
        <m:r>
          <m:t xml:space="preserve">.</m:t>
        </m:r>
        <m:r>
          <m:t xml:space="preserve">5</m:t>
        </m:r>
        <m:r>
          <m:t xml:space="preserve">/</m:t>
        </m:r>
        <m:r>
          <m:t xml:space="preserve">−</m:t>
        </m:r>
        <m:r>
          <m:t xml:space="preserve">1</m:t>
        </m:r>
        <m:r>
          <m:t xml:space="preserve">0</m:t>
        </m:r>
        <m:r>
          <m:t xml:space="preserve">.</m:t>
        </m:r>
        <m:r>
          <m:t xml:space="preserve">5</m:t>
        </m:r>
      </m:oMath>
      <w:r>
        <w:t xml:space="preserve"> dB (</w:t>
      </w:r>
      <m:oMath>
        <m:sSup>
          <m:e>
            <m:r>
              <m:t xml:space="preserve">ρ</m:t>
            </m:r>
          </m:e>
          <m:sup>
            <m:r>
              <m:t xml:space="preserve">2</m:t>
            </m:r>
          </m:sup>
        </m:sSup>
      </m:oMath>
      <w:r>
        <w:t xml:space="preserve"> equals the NMSE when the bound is set from </w:t>
      </w:r>
      <m:oMath>
        <m:r>
          <m:t xml:space="preserve">E</m:t>
        </m:r>
        <m:r>
          <m:t xml:space="preserve">∥</m:t>
        </m:r>
        <m:r>
          <m:t xml:space="preserve">e</m:t>
        </m:r>
        <m:sSup>
          <m:e>
            <m:r>
              <m:t xml:space="preserve">∥</m:t>
            </m:r>
          </m:e>
          <m:sup>
            <m:r>
              <m:t xml:space="preserve">2</m:t>
            </m:r>
          </m:sup>
        </m:sSup>
        <m:r>
          <m:t xml:space="preserve">/</m:t>
        </m:r>
        <m:r>
          <m:t xml:space="preserve">E</m:t>
        </m:r>
        <m:r>
          <m:t xml:space="preserve">∥</m:t>
        </m:r>
        <m:r>
          <m:t xml:space="preserve">h</m:t>
        </m:r>
        <m:sSup>
          <m:e>
            <m:r>
              <m:t xml:space="preserve">∥</m:t>
            </m:r>
          </m:e>
          <m:sup>
            <m:r>
              <m:t xml:space="preserve">2</m:t>
            </m:r>
          </m:sup>
        </m:sSup>
      </m:oMath>
      <w:r>
        <w:t xml:space="preserve">); the setup is an illustrative heterogeneous scaling, not a calibrated link budget. All references are valid, no bound violation occurs, and the main conclusions reappear: of 540 units (211 feasible), the previous envelope accepts 156, the new envelope 163 (77.25% versus 73.93% of feasible, seven flips),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Realistic-link pool (seeds 301–305, distance-dependent path loss, Rician/Rayleigh components; 540 units, 256 cells). ρ is the relative radius.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pPr>
        <w:pStyle w:val="Heading2"/>
      </w:pPr>
      <w:r>
        <w:t>7.5 Complementary certificates and staged screening</w:t>
      </w:r>
    </w:p>
    <w:p>
      <w:r>
        <w:t>The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realistic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200 iteration reference (25 of 30 pairs) on the exploratory grid and 2.01 (11 of 15) on five fresh confirmation seeds (221–225), reducing total reference calls by 75% and 72% respectively. The quadratic bound alone is the fastest single bound pipeline; the envelope stage contributes the additional certified units, not speed.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Interval bound evaluation is dimension independent (0.04–0.05 ms per user problem) because it operates on the summaries, while the exact reference grows from 0.36 to 0.45 ms; accordingly, screening advantage over the pure tolerance stopped reference grows from near parity at dimension 4 to about 2.8× at dimensions 16–32. Acceptance counts are identical across pipelines at every dimension; they are not compared across dimensions.</w:t>
      </w:r>
    </w:p>
    <w:p>
      <w:pPr>
        <w:pStyle w:val="Caption"/>
        <w:keepNext/>
      </w:pPr>
      <w:r>
        <w:t>Table 8. Controlled scaling: dimension varies, all else fixed (4 users, per-BS power 1, γ = 1, ρ = 0.15; medians over three seeds; ms per user problem; pipeline seconds per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w:t>
      </w:r>
    </w:p>
    <w:p>
      <w:r>
        <w:t xml:space="preserve">A preregistered 74 case check set and the full 2160 problem validation batch are solved by the corrected SDP pipeline of Section 6.3. On the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never falls below it (maximum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Two independent exact methods thus cross validate each other and every certification statement above.</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 q* (witness validity), max deficit</w:t>
            </w:r>
          </w:p>
        </w:tc>
        <w:tc>
          <w:tcPr>
            <w:tcW w:type="dxa" w:w="3312"/>
            <w:vAlign w:val="center"/>
            <w:tcMar>
              <w:top w:w="65" w:type="dxa"/>
              <w:bottom w:w="65" w:type="dxa"/>
              <w:left w:w="65" w:type="dxa"/>
              <w:right w:w="65" w:type="dxa"/>
            </w:tcMar>
          </w:tcPr>
          <w:p>
            <w:pPr>
              <w:spacing w:after="0" w:line="240" w:lineRule="auto"/>
              <w:jc w:val="center"/>
            </w:pPr>
            <w:r>
              <w:rPr>
                <w:b w:val="0"/>
                <w:sz w:val="18"/>
              </w:rPr>
              <w:t>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Timing and implementation sensitivity</w:t>
      </w:r>
    </w:p>
    <w:p>
      <w:r>
        <w:t>Table 10 reports the original protocol against the 200 iteration reference, stratified by threshold; Table 11 reports the same final decision task against the validated tolerance stopped reference. With the tolerance stop, the pure reference drops from 0.150 s to 0.041 s per seed and threshold, so the apparent advantage of screening pipelines narrows: the best configuration (new bound with tolerance stopped fallback, 0.032 s) is about 20% below the tolerance stopped pure reference, while the screening pipeline with the original fallback (0.075 s) is slower. The new pipeline is faster than the previous envelope pipeline in 6 of 15 validation pairs and 11–13 of 30 exploratory pairs across runs; no stable runtime advantage over the previous envelope is observed, and part of the apparent saving in early measurements traced to multiplier search over iteration in the reference solver rather than to screening. The results do not establish complexity advantages or superiority over an optimized solver. The generic SDP pipeline is a further 4–13× slower than the tolerance stopped reference; its value is cross validation, and the slowness of the generic conic path is not a statement about full 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The sharpness statement is intentionally strong and narrow: it holds for the unrestricted information class, whose extremal constructions may require large nominal channel norms that a physical RIS channel may not admit. Restricting the class — for example by retaining the channel norm, for which (28) gives a necessary compatibility condition — can only shrink the admissible set, and the six-scalar envelope need not remain sharp; the complete seven-scalar envelope is open. Empirically, the certificate gain over the previous six-scalar envelope is positive in every batch yet small and batch-dependent, and no stable runtime advantage over the previous envelope is observed; measured speedups of screening pipelines are tied to the tested implementation. The certificate is complementary to, not a replacement for, full-information methods: within the certification hierarchy it is the strongest guarantee available at its information level, and combining levels by maximization is safe.</w:t>
      </w:r>
    </w:p>
    <w:p>
      <w:pPr>
        <w:pStyle w:val="Heading1"/>
      </w:pPr>
      <w:r>
        <w:t>10 Conclusion</w:t>
      </w:r>
    </w:p>
    <w:p>
      <w:r>
        <w:t>Mathematically, joint spectral compatibility of three gains of one interference operator yields an explicit three-branch directional extremum, a safe shared-budget QoS envelope dominating the separately-used-gain envelope, equality with the information-class infimum away from the degenerate boundary, and a separately derived, explicitly attained phase-coupled envelope at that boundary. Practically, the envelope is a fixed-size certificate whose empirical gain over the previous six-scalar bound is strict but modest, and which is complementary to a cheap full-geometry quadratic bound — the two have no universal dominance relation and combine safely by maximization, giving the highest direct-certification coverage among the tested bounds. In scope, the certificate does not replace exact full-information solvers, does not optimize candidate generation, and its sharpness concerns the stated unrestricted information class; natural extensions include additional retained information, physically restricted information classes, validated numerical certificates, and lifecycle management of stored configuration certificates.</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T. Bottazzi and C. Conde, "A Generalized Buzano Inequality," Filomat, vol. 37, 2023 (and M. L. Buzano, Rend. Sem. Mat. Univ. Politech. Torino, vol. 31, 1974).</w:t>
      </w:r>
    </w:p>
    <w:p>
      <w:r>
        <w:t>[6] R. Grone, C. R. Johnson, E. M. Sá, and H. Wolkowicz, "Positive Definite Completions of Partial Hermitian Matrices," Linear Algebra and its Applications, vol. 58, pp. 109–124, 1984.</w:t>
      </w:r>
    </w:p>
    <w:p>
      <w:r>
        <w:t>[7] S. Parrott, "On a Quotient Operator and Related Enumeration Theorems," and the operator-ball completion literature; see also "A strong Parrott theorem" for a modern strengthening of the prescribed-column contraction completion.</w:t>
      </w:r>
    </w:p>
    <w:p>
      <w:r>
        <w:t>[8] C. A. Micchelli and T. J. Rivlin, "A Survey of Optimal Recovery," in Optimal Estimation in Approximation Theory, Plenum Press, 1977, pp. 1–54; and A. A. Melkman and C. A. Micchelli, "Optimal Estimation of Linear Operators in Hilbert Spaces from Inaccurate Data," SIAM Journal on Numerical Analysis, vol. 16, 1979.</w:t>
      </w:r>
    </w:p>
    <w:p>
      <w:r>
        <w:t>[9] H. Sun et al., "Robust Beamforming Design in a NOMA Cognitive Radio Network," IEEE 2018 (representative of parallel/orthogonal error decomposition in bounded-error robust beamforming); exact bibliographic details to be finalized.</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and `experiments_v6.py` (realistic pool, NMSE mapping and controlled scaling) write into separate immutable result directories and exit nonzero on any failed check.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