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pBdr>
      </w:pPr>
      <w:r>
        <w:t>Spectral Compatible Shared Error Budget Envelopes for Robust QoS Certification</w:t>
      </w:r>
    </w:p>
    <w:p>
      <w:r>
        <w:t>Fixed beamforming and RIS candidates under a six scalar information model</w:t>
      </w:r>
    </w:p>
    <w:p>
      <w:r>
        <w:t>Version 4.1 • English revision • 6 October 2026</w:t>
      </w:r>
    </w:p>
    <w:p>
      <w:pPr>
        <w:pStyle w:val="Heading1"/>
      </w:pPr>
      <w:r>
        <w:t>Abstract</w:t>
      </w:r>
    </w:p>
    <w:p>
      <w:r>
        <w:t>We study the certification of a fixed downlink configuration under a Euclidean channel error ball. The certificate retains six scalar summaries of the desired beam, nominal channel and interference operator. Joint use of the desired direction gain, orthogonal subspace gain and total spectral norm yields a continuous three branch envelope for interference perturbations. Its associated shared error budget QoS bound is safe and dominates the previous envelope based on separate norm inequalities. For a nondegenerate information class, we prove that the bound equals the infimum of the true worst case QoS margin over all instances with the same six summaries. The proof uses a positive definite operator completion and handles zero desired direction interference separately. At the degenerate boundary where the desired direction attains the total interference norm, we give an explicit construction attaining a different envelope that respects signal and interference phase coupling. The boundary envelope can be 0.59 while the general safe bound is −0.21 for the same boundary summaries. Numerical checks reproduce the analytical envelopes and certify six flips in a 21 point constructed spectral scan. In an exploratory fixed parameter candidate study, the implemented bound certifies 390 of 472 feasible units, versus 380 for the previous bound, with no observed false acceptance. The resulting reduction in reference calls does not establish a stable runtime advantage over the previous envelope. The optimality statements concern the unrestricted information class, and the numerical results are limited to the tested candidates and reference implementation.</w:t>
      </w:r>
    </w:p>
    <w:p>
      <w:r>
        <w:t>Keywords: robust QoS certification; shared error budget; spectral compatibility; information class optimality; RIS; fixed configuration.</w:t>
      </w:r>
    </w:p>
    <w:p>
      <w:pPr>
        <w:pStyle w:val="Heading1"/>
      </w:pPr>
      <w:r>
        <w:t>1 Introduction</w:t>
      </w:r>
    </w:p>
    <w:p>
      <w:r>
        <w:t>For a candidate downlink configuration with fixed beamforming vectors and discrete reconfigurable intelligent surface (RIS) phases, deployment requires verification of all user QoS constraints under channel uncertainty. Robust transmission design with imperfect RIS channels is an established problem [1]. The fixed configuration verification considered here is a ball constrained quadratic problem. Trust region methods and the single ball S procedure provide exact optimization formulations [2,3]. These tools are reference methods in this paper rather than contributions.</w:t>
      </w:r>
    </w:p>
    <w:p>
      <w:r>
        <w:t>Our question concerns the information available to a certificate. Suppose that the complete matrix geometry is compressed into six scalar summaries. What uniform guarantee can a certificate obtain from these summaries? A separable bound uses the full error radius both to reduce the desired signal and to increase interference. Shared budget bounds improve this construction by decomposing the same error into its desired direction and orthogonal components. However, a bound that separately uses three interference gains still does not fully exploit their origin in one operator.</w:t>
      </w:r>
    </w:p>
    <w:p>
      <w:r>
        <w:t>We solve the corresponding direction extremum under the joint spectral constraints. The resulting envelope gives a stronger safe QoS bound. We then characterize its optimality over a fixed six scalar information class, with separate treatment of the degenerate boundary. The contributions are the explicit extremum, the completion proof of information class sharpness and the boundary construction. Orthogonal decompositions, positive semidefinite (PSD) constraints, matrix factorization and trust region optimization are established tools used in these arguments.</w:t>
      </w:r>
    </w:p>
    <w:p>
      <w:r>
        <w:t>The numerical study asks whether the formulas are implemented correctly, whether the new envelope crosses certification thresholds that the previous envelope misses, and how a screening and reference fallback pipeline behaves on fixed candidates. It does not address candidate generation optimality, channel evolution or online configuration refresh.</w:t>
      </w:r>
    </w:p>
    <w:p>
      <w:pPr>
        <w:pStyle w:val="Heading1"/>
      </w:pPr>
      <w:r>
        <w:t>2 Fixed configuration model and information class</w:t>
      </w:r>
    </w:p>
    <w:p>
      <w:pPr>
        <w:pStyle w:val="Heading2"/>
      </w:pPr>
      <w:r>
        <w:t>2.1 Robust QoS margin</w:t>
      </w:r>
    </w:p>
    <w:p>
      <w:r>
        <w:t xml:space="preserve">For a user, let </w:t>
      </w:r>
      <m:oMath>
        <m:r>
          <m:t xml:space="preserve">b</m:t>
        </m:r>
        <m:r>
          <m:t xml:space="preserve">∈</m:t>
        </m:r>
        <m:sSup>
          <m:e>
            <m:r>
              <m:t xml:space="preserve">ℂ</m:t>
            </m:r>
          </m:e>
          <m:sup>
            <m:r>
              <m:t xml:space="preserve">n</m:t>
            </m:r>
          </m:sup>
        </m:sSup>
      </m:oMath>
      <w:r>
        <w:t xml:space="preserve"> be the nonzero desired beam, </w:t>
      </w:r>
      <m:oMath>
        <m:r>
          <m:t xml:space="preserve">C</m:t>
        </m:r>
        <m:r>
          <m:t xml:space="preserve">∈</m:t>
        </m:r>
        <m:sSup>
          <m:e>
            <m:r>
              <m:t xml:space="preserve">ℂ</m:t>
            </m:r>
          </m:e>
          <m:sup>
            <m:r>
              <m:t xml:space="preserve">n</m:t>
            </m:r>
            <m:r>
              <m:t xml:space="preserve">×</m:t>
            </m:r>
            <m:r>
              <m:t xml:space="preserve">m</m:t>
            </m:r>
          </m:sup>
        </m:sSup>
      </m:oMath>
      <w:r>
        <w:t xml:space="preserve"> the matrix of interfering beams, and </w:t>
      </w:r>
      <m:oMath>
        <m:r>
          <m:t xml:space="preserve">h</m:t>
        </m:r>
        <m:r>
          <m:t xml:space="preserve">̂</m:t>
        </m:r>
        <m:r>
          <m:t xml:space="preserve">∈</m:t>
        </m:r>
        <m:sSup>
          <m:e>
            <m:r>
              <m:t xml:space="preserve">ℂ</m:t>
            </m:r>
          </m:e>
          <m:sup>
            <m:r>
              <m:t xml:space="preserve">n</m:t>
            </m:r>
          </m:sup>
        </m:sSup>
      </m:oMath>
      <w:r>
        <w:t xml:space="preserve"> the nominal stacked channel. The actual channel is </w:t>
      </w:r>
      <m:oMath>
        <m:r>
          <m:t xml:space="preserve">h</m:t>
        </m:r>
        <m:r>
          <m:t xml:space="preserve">̂</m:t>
        </m:r>
        <m:r>
          <m:t xml:space="preserve">+</m:t>
        </m:r>
        <m:r>
          <m:t xml:space="preserve">e</m:t>
        </m:r>
      </m:oMath>
      <w:r>
        <w:t xml:space="preserve">, with </w:t>
      </w:r>
      <m:oMath>
        <m:r>
          <m:t xml:space="preserve">∥</m:t>
        </m:r>
        <m:r>
          <m:t xml:space="preserve">e</m:t>
        </m:r>
        <m:r>
          <m:t xml:space="preserve">∥</m:t>
        </m:r>
        <m:r>
          <m:t xml:space="preserve">≤</m:t>
        </m:r>
        <m:r>
          <m:t xml:space="preserve">r</m:t>
        </m:r>
      </m:oMath>
      <w:r>
        <w:t xml:space="preserve">. The SINR requirement is </w:t>
      </w:r>
      <m:oMath>
        <m:r>
          <m:t xml:space="preserve">γ</m:t>
        </m:r>
        <m:r>
          <m:t xml:space="preserve">&gt;</m:t>
        </m:r>
        <m:r>
          <m:t xml:space="preserve">0</m:t>
        </m:r>
      </m:oMath>
      <w:r>
        <w:t xml:space="preserve">, and </w:t>
      </w:r>
      <m:oMath>
        <m:sSup>
          <m:e>
            <m:r>
              <m:t xml:space="preserve">σ</m:t>
            </m:r>
          </m:e>
          <m:sup>
            <m:r>
              <m:t xml:space="preserve">2</m:t>
            </m:r>
          </m:sup>
        </m:sSup>
        <m:r>
          <m:t xml:space="preserve">≥</m:t>
        </m:r>
        <m:r>
          <m:t xml:space="preserve">0</m:t>
        </m:r>
      </m:oMath>
      <w:r>
        <w:t xml:space="preserve"> denotes noise power, not noise amplitude. We suppress user indices and define</w:t>
      </w:r>
    </w:p>
    <w:p>
      <w:pPr>
        <w:pStyle w:val="Equation"/>
      </w:pPr>
      <m:oMath>
        <m:sSup>
          <m:e>
            <m:r>
              <m:t xml:space="preserve">q</m:t>
            </m:r>
          </m:e>
          <m:sup>
            <m:r>
              <m:t xml:space="preserve">*</m:t>
            </m:r>
          </m:sup>
        </m:sSup>
        <m:d>
          <m:dPr>
            <m:begChr m:val="("/>
            <m:endChr m:val=")"/>
          </m:dPr>
          <m:e>
            <m:r>
              <m:t xml:space="preserve">r</m:t>
            </m:r>
          </m:e>
        </m:d>
        <m:r>
          <m:t xml:space="preserve">=</m:t>
        </m:r>
        <m:sSub>
          <m:e>
            <m:r>
              <m:rPr>
                <m:nor/>
              </m:rPr>
              <m:t xml:space="preserve">min</m:t>
            </m:r>
          </m:e>
          <m:sub>
            <m:r>
              <m:t xml:space="preserve">∥</m:t>
            </m:r>
            <m:r>
              <m:t xml:space="preserve">e</m:t>
            </m:r>
            <m:r>
              <m:t xml:space="preserve">∥</m:t>
            </m:r>
            <m:r>
              <m:t xml:space="preserve">≤</m:t>
            </m:r>
            <m:r>
              <m:t xml:space="preserve">r</m:t>
            </m:r>
          </m:sub>
        </m:sSub>
        <m:r>
          <m:t xml:space="preserve"> </m:t>
        </m:r>
        <m:d>
          <m:dPr>
            <m:begChr m:val="{"/>
            <m:endChr m:val="}"/>
          </m:dPr>
          <m:e>
            <m:r>
              <m:t xml:space="preserve"> </m:t>
            </m:r>
            <m:r>
              <m:t xml:space="preserve">|</m:t>
            </m:r>
            <m:sSup>
              <m:e>
                <m:r>
                  <m:t xml:space="preserve">b</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r>
              <m:t xml:space="preserve">∥</m:t>
            </m:r>
            <m:sSup>
              <m:e>
                <m:r>
                  <m:t xml:space="preserve">C</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sSup>
              <m:e>
                <m:r>
                  <m:t xml:space="preserve">σ</m:t>
                </m:r>
              </m:e>
              <m:sup>
                <m:r>
                  <m:t xml:space="preserve">2</m:t>
                </m:r>
              </m:sup>
            </m:sSup>
            <m:r>
              <m:t xml:space="preserve"> </m:t>
            </m:r>
          </m:e>
        </m:d>
      </m:oMath>
      <w:r>
        <w:tab/>
        <w:t>(1)</w:t>
      </w:r>
    </w:p>
    <w:p>
      <w:r>
        <w:t xml:space="preserve">All users satisfying </w:t>
      </w:r>
      <m:oMath>
        <m:sSup>
          <m:e>
            <m:sSub>
              <m:e>
                <m:r>
                  <m:t xml:space="preserve">q</m:t>
                </m:r>
              </m:e>
              <m:sub>
                <m:r>
                  <m:t xml:space="preserve">u</m:t>
                </m:r>
              </m:sub>
            </m:sSub>
          </m:e>
          <m:sup>
            <m:r>
              <m:t xml:space="preserve">*</m:t>
            </m:r>
          </m:sup>
        </m:sSup>
        <m:d>
          <m:dPr>
            <m:begChr m:val="("/>
            <m:endChr m:val=")"/>
          </m:dPr>
          <m:e>
            <m:sSub>
              <m:e>
                <m:r>
                  <m:t xml:space="preserve">r</m:t>
                </m:r>
              </m:e>
              <m:sub>
                <m:r>
                  <m:t xml:space="preserve">u</m:t>
                </m:r>
              </m:sub>
            </m:sSub>
          </m:e>
        </m:d>
        <m:r>
          <m:t xml:space="preserve">≥</m:t>
        </m:r>
        <m:r>
          <m:t xml:space="preserve">0</m:t>
        </m:r>
      </m:oMath>
      <w:r>
        <w:t xml:space="preserve"> makes the fixed candidate robustly feasible. A negative lower bound alone does not establish infeasibility.</w:t>
      </w:r>
    </w:p>
    <w:p>
      <w:pPr>
        <w:pStyle w:val="Heading2"/>
      </w:pPr>
      <w:r>
        <w:t>2.2 Six scalar summaries</w:t>
      </w:r>
    </w:p>
    <w:p>
      <w:r>
        <w:t xml:space="preserve">Set </w:t>
      </w:r>
      <m:oMath>
        <m:r>
          <m:t xml:space="preserve">v</m:t>
        </m:r>
        <m:r>
          <m:t xml:space="preserve">=</m:t>
        </m:r>
        <m:r>
          <m:t xml:space="preserve">b</m:t>
        </m:r>
        <m:r>
          <m:t xml:space="preserve">/</m:t>
        </m:r>
        <m:r>
          <m:t xml:space="preserve">∥</m:t>
        </m:r>
        <m:r>
          <m:t xml:space="preserve">b</m:t>
        </m:r>
        <m:r>
          <m:t xml:space="preserve">∥</m:t>
        </m:r>
      </m:oMath>
      <w:r>
        <w:t xml:space="preserve"> and </w:t>
      </w:r>
      <m:oMath>
        <m:r>
          <m:t xml:space="preserve">P</m:t>
        </m:r>
        <m:r>
          <m:t xml:space="preserve">=</m:t>
        </m:r>
        <m:r>
          <m:t xml:space="preserve">I</m:t>
        </m:r>
        <m:r>
          <m:t xml:space="preserve">−</m:t>
        </m:r>
        <m:r>
          <m:t xml:space="preserve">v</m:t>
        </m:r>
        <m:sSup>
          <m:e>
            <m:r>
              <m:t xml:space="preserve">v</m:t>
            </m:r>
          </m:e>
          <m:sup>
            <m:r>
              <m:t xml:space="preserve">H</m:t>
            </m:r>
          </m:sup>
        </m:sSup>
      </m:oMath>
      <w:r>
        <w:t>. The retained summaries are</w:t>
      </w:r>
    </w:p>
    <w:p>
      <w:pPr>
        <w:pStyle w:val="Equation"/>
      </w:pPr>
      <m:oMath>
        <m:r>
          <m:t xml:space="preserve">p</m:t>
        </m:r>
        <m:r>
          <m:t xml:space="preserve">=</m:t>
        </m:r>
        <m:r>
          <m:t xml:space="preserve">∥</m:t>
        </m:r>
        <m:r>
          <m:t xml:space="preserve">b</m:t>
        </m:r>
        <m:sSup>
          <m:e>
            <m:r>
              <m:t xml:space="preserve">∥</m:t>
            </m:r>
          </m:e>
          <m:sup>
            <m:r>
              <m:t xml:space="preserve">2</m:t>
            </m:r>
          </m:sup>
        </m:sSup>
        <m:r>
          <m:t xml:space="preserve">,</m:t>
        </m:r>
        <m:r>
          <m:t xml:space="preserve"> </m:t>
        </m:r>
        <m:r>
          <m:t xml:space="preserve"> </m:t>
        </m:r>
        <m:r>
          <m:t xml:space="preserve"> </m:t>
        </m:r>
        <m:r>
          <m:t xml:space="preserve">a</m:t>
        </m:r>
        <m:r>
          <m:t xml:space="preserve">=</m:t>
        </m:r>
        <m:r>
          <m:t xml:space="preserve">|</m:t>
        </m:r>
        <m:sSup>
          <m:e>
            <m:r>
              <m:t xml:space="preserve">v</m:t>
            </m:r>
          </m:e>
          <m:sup>
            <m:r>
              <m:t xml:space="preserve">H</m:t>
            </m:r>
          </m:sup>
        </m:sSup>
        <m:r>
          <m:t xml:space="preserve">h</m:t>
        </m:r>
        <m:r>
          <m:t xml:space="preserve">̂</m:t>
        </m:r>
        <m:r>
          <m:t xml:space="preserve">|</m:t>
        </m:r>
        <m:r>
          <m:t xml:space="preserve">,</m:t>
        </m:r>
        <m:r>
          <m:t xml:space="preserve"> </m:t>
        </m:r>
        <m:r>
          <m:t xml:space="preserve"> </m:t>
        </m:r>
        <m:r>
          <m:t xml:space="preserve"> </m:t>
        </m:r>
        <m:sSub>
          <m:e>
            <m:r>
              <m:t xml:space="preserve">I</m:t>
            </m:r>
          </m:e>
          <m:sub>
            <m:r>
              <m:t xml:space="preserve">0</m:t>
            </m:r>
          </m:sub>
        </m:sSub>
        <m:r>
          <m:t xml:space="preserve">=</m:t>
        </m:r>
        <m:r>
          <m:t xml:space="preserve">∥</m:t>
        </m:r>
        <m:sSup>
          <m:e>
            <m:r>
              <m:t xml:space="preserve">C</m:t>
            </m:r>
          </m:e>
          <m:sup>
            <m:r>
              <m:t xml:space="preserve">H</m:t>
            </m:r>
          </m:sup>
        </m:sSup>
        <m:r>
          <m:t xml:space="preserve">h</m:t>
        </m:r>
        <m:r>
          <m:t xml:space="preserve">̂</m:t>
        </m:r>
        <m:r>
          <m:t xml:space="preserve">∥</m:t>
        </m:r>
      </m:oMath>
      <w:r>
        <w:tab/>
        <w:t>(2a)</w:t>
      </w:r>
    </w:p>
    <w:p>
      <w:pPr>
        <w:pStyle w:val="Equation"/>
      </w:pPr>
      <m:oMath>
        <m:r>
          <m:t xml:space="preserve">α</m:t>
        </m:r>
        <m:r>
          <m:t xml:space="preserve">=</m:t>
        </m:r>
        <m:r>
          <m:t xml:space="preserve">∥</m:t>
        </m:r>
        <m:sSup>
          <m:e>
            <m:r>
              <m:t xml:space="preserve">C</m:t>
            </m:r>
          </m:e>
          <m:sup>
            <m:r>
              <m:t xml:space="preserve">H</m:t>
            </m:r>
          </m:sup>
        </m:sSup>
        <m:r>
          <m:t xml:space="preserve">v</m:t>
        </m:r>
        <m:r>
          <m:t xml:space="preserve">∥</m:t>
        </m:r>
        <m:r>
          <m:t xml:space="preserve">,</m:t>
        </m:r>
        <m:r>
          <m:t xml:space="preserve"> </m:t>
        </m:r>
        <m:r>
          <m:t xml:space="preserve"> </m:t>
        </m:r>
        <m:r>
          <m:t xml:space="preserve"> </m:t>
        </m:r>
        <m:r>
          <m:t xml:space="preserve">β</m:t>
        </m:r>
        <m:r>
          <m:t xml:space="preserve">=</m:t>
        </m:r>
        <m:r>
          <m:t xml:space="preserve">∥</m:t>
        </m:r>
        <m:sSup>
          <m:e>
            <m:r>
              <m:t xml:space="preserve">C</m:t>
            </m:r>
          </m:e>
          <m:sup>
            <m:r>
              <m:t xml:space="preserve">H</m:t>
            </m:r>
          </m:sup>
        </m:sSup>
        <m:r>
          <m:t xml:space="preserve">P</m:t>
        </m:r>
        <m:sSub>
          <m:e>
            <m:r>
              <m:t xml:space="preserve">∥</m:t>
            </m:r>
          </m:e>
          <m:sub>
            <m:r>
              <m:t xml:space="preserve">2</m:t>
            </m:r>
          </m:sub>
        </m:sSub>
        <m:r>
          <m:t xml:space="preserve">,</m:t>
        </m:r>
        <m:r>
          <m:t xml:space="preserve"> </m:t>
        </m:r>
        <m:r>
          <m:t xml:space="preserve"> </m:t>
        </m:r>
        <m:r>
          <m:t xml:space="preserve"> </m:t>
        </m:r>
        <m:sSub>
          <m:e>
            <m:r>
              <m:t xml:space="preserve">β</m:t>
            </m:r>
          </m:e>
          <m:sub>
            <m:r>
              <m:t xml:space="preserve">0</m:t>
            </m:r>
          </m:sub>
        </m:sSub>
        <m:r>
          <m:t xml:space="preserve">=</m:t>
        </m:r>
        <m:r>
          <m:t xml:space="preserve">∥</m:t>
        </m:r>
        <m:r>
          <m:t xml:space="preserve">C</m:t>
        </m:r>
        <m:sSub>
          <m:e>
            <m:r>
              <m:t xml:space="preserve">∥</m:t>
            </m:r>
          </m:e>
          <m:sub>
            <m:r>
              <m:t xml:space="preserve">2</m:t>
            </m:r>
          </m:sub>
        </m:sSub>
      </m:oMath>
      <w:r>
        <w:tab/>
        <w:t>(2b)</w:t>
      </w:r>
    </w:p>
    <w:p>
      <w:r>
        <w:t>Their necessary spectral compatibility condition is</w:t>
      </w:r>
    </w:p>
    <w:p>
      <w:pPr>
        <w:pStyle w:val="Equation"/>
      </w:pPr>
      <m:oMath>
        <m:r>
          <m:rPr>
            <m:nor/>
          </m:rPr>
          <m:t xml:space="preserve">max</m:t>
        </m:r>
        <m:d>
          <m:dPr>
            <m:begChr m:val="{"/>
            <m:endChr m:val="}"/>
          </m:dPr>
          <m:e>
            <m:r>
              <m:t xml:space="preserve">α</m:t>
            </m:r>
            <m:r>
              <m:t xml:space="preserve">,</m:t>
            </m:r>
            <m:r>
              <m:t xml:space="preserve">β</m:t>
            </m:r>
          </m:e>
        </m:d>
        <m:r>
          <m:t xml:space="preserve">≤</m:t>
        </m:r>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ab/>
        <w:t>(3)</w:t>
      </w:r>
    </w:p>
    <w:p>
      <w:r>
        <w:t xml:space="preserve">For fixed dimensions </w:t>
      </w:r>
      <m:oMath>
        <m:r>
          <m:t xml:space="preserve">n</m:t>
        </m:r>
        <m:r>
          <m:t xml:space="preserve">,</m:t>
        </m:r>
        <m:r>
          <m:t xml:space="preserve">m</m:t>
        </m:r>
      </m:oMath>
      <w:r>
        <w:t xml:space="preserve">, let </w:t>
      </w:r>
      <m:oMath>
        <m:sSub>
          <m:e>
            <m:r>
              <m:t xml:space="preserve">S</m:t>
            </m:r>
          </m:e>
          <m:sub>
            <m:r>
              <m:t xml:space="preserve">6</m:t>
            </m:r>
          </m:sub>
        </m:sSub>
      </m:oMath>
      <w:r>
        <w:t xml:space="preserve"> denote the nonempty set of triples </w:t>
      </w:r>
      <m:oMath>
        <m:d>
          <m:dPr>
            <m:begChr m:val="("/>
            <m:endChr m:val=")"/>
          </m:dPr>
          <m:e>
            <m:r>
              <m:t xml:space="preserve">b</m:t>
            </m:r>
            <m:r>
              <m:t xml:space="preserve">,</m:t>
            </m:r>
            <m:r>
              <m:t xml:space="preserve">h</m:t>
            </m:r>
            <m:r>
              <m:t xml:space="preserve">̂</m:t>
            </m:r>
            <m:r>
              <m:t xml:space="preserve">,</m:t>
            </m:r>
            <m:r>
              <m:t xml:space="preserve">C</m:t>
            </m:r>
          </m:e>
        </m:d>
      </m:oMath>
      <w:r>
        <w:t xml:space="preserve"> having the prescribed summaries. We assume </w:t>
      </w:r>
      <m:oMath>
        <m:r>
          <m:t xml:space="preserve">p</m:t>
        </m:r>
        <m:r>
          <m:t xml:space="preserve">&gt;</m:t>
        </m:r>
        <m:r>
          <m:t xml:space="preserve">0</m:t>
        </m:r>
      </m:oMath>
      <w:r>
        <w:t xml:space="preserve">, </w:t>
      </w:r>
      <m:oMath>
        <m:r>
          <m:t xml:space="preserve">a</m:t>
        </m:r>
        <m:r>
          <m:t xml:space="preserve">,</m:t>
        </m:r>
        <m:sSub>
          <m:e>
            <m:r>
              <m:t xml:space="preserve">I</m:t>
            </m:r>
          </m:e>
          <m:sub>
            <m:r>
              <m:t xml:space="preserve">0</m:t>
            </m:r>
          </m:sub>
        </m:sSub>
        <m:r>
          <m:t xml:space="preserve">≥</m:t>
        </m:r>
        <m:r>
          <m:t xml:space="preserve">0</m:t>
        </m:r>
      </m:oMath>
      <w:r>
        <w:t>. The class does not constrain the nominal channel norm, interference rank, base station support pattern or the set of physically reachable RIS channels. Thus, information class sharpness does not imply optimality over a specific wireless deployment.</w:t>
      </w:r>
    </w:p>
    <w:p>
      <w:pPr>
        <w:pStyle w:val="Heading1"/>
      </w:pPr>
      <w:r>
        <w:t>3 Spectral compatible directional envelope</w:t>
      </w:r>
    </w:p>
    <w:p>
      <w:r>
        <w:t xml:space="preserve">Write </w:t>
      </w:r>
      <m:oMath>
        <m:r>
          <m:t xml:space="preserve">e</m:t>
        </m:r>
        <m:r>
          <m:t xml:space="preserve">=</m:t>
        </m:r>
        <m:r>
          <m:t xml:space="preserve">t</m:t>
        </m:r>
        <m:r>
          <m:t xml:space="preserve">v</m:t>
        </m:r>
        <m:r>
          <m:t xml:space="preserve">+</m:t>
        </m:r>
        <m:r>
          <m:t xml:space="preserve">w</m:t>
        </m:r>
      </m:oMath>
      <w:r>
        <w:t xml:space="preserve">, where </w:t>
      </w:r>
      <m:oMath>
        <m:sSup>
          <m:e>
            <m:r>
              <m:t xml:space="preserve">v</m:t>
            </m:r>
          </m:e>
          <m:sup>
            <m:r>
              <m:t xml:space="preserve">H</m:t>
            </m:r>
          </m:sup>
        </m:sSup>
        <m:r>
          <m:t xml:space="preserve">w</m:t>
        </m:r>
        <m:r>
          <m:t xml:space="preserve">=</m:t>
        </m:r>
        <m:r>
          <m:t xml:space="preserve">0</m:t>
        </m:r>
      </m:oMath>
      <w:r>
        <w:t xml:space="preserve">, </w:t>
      </w:r>
      <m:oMath>
        <m:r>
          <m:t xml:space="preserve">x</m:t>
        </m:r>
        <m:r>
          <m:t xml:space="preserve">=</m:t>
        </m:r>
        <m:r>
          <m:t xml:space="preserve">|</m:t>
        </m:r>
        <m:r>
          <m:t xml:space="preserve">t</m:t>
        </m:r>
        <m:r>
          <m:t xml:space="preserve">|</m:t>
        </m:r>
      </m:oMath>
      <w:r>
        <w:t xml:space="preserve"> and </w:t>
      </w:r>
      <m:oMath>
        <m:r>
          <m:t xml:space="preserve">∥</m:t>
        </m:r>
        <m:r>
          <m:t xml:space="preserve">w</m:t>
        </m:r>
        <m:r>
          <m:t xml:space="preserve">∥</m:t>
        </m:r>
        <m:r>
          <m:t xml:space="preserve">≤</m:t>
        </m:r>
        <m:r>
          <m:t xml:space="preserve">y</m:t>
        </m:r>
      </m:oMath>
      <w:r>
        <w:t xml:space="preserve">. Put </w:t>
      </w:r>
      <m:oMath>
        <m:r>
          <m:t xml:space="preserve">d</m:t>
        </m:r>
        <m:r>
          <m:t xml:space="preserve">=</m:t>
        </m:r>
        <m:sSup>
          <m:e>
            <m:r>
              <m:t xml:space="preserve">C</m:t>
            </m:r>
          </m:e>
          <m:sup>
            <m:r>
              <m:t xml:space="preserve">H</m:t>
            </m:r>
          </m:sup>
        </m:sSup>
        <m:r>
          <m:t xml:space="preserve">v</m:t>
        </m:r>
      </m:oMath>
      <w:r>
        <w:t xml:space="preserve">. For an orthogonal unit or subunit input </w:t>
      </w:r>
      <m:oMath>
        <m:r>
          <m:t xml:space="preserve">u</m:t>
        </m:r>
      </m:oMath>
      <w:r>
        <w:t xml:space="preserve">, put </w:t>
      </w:r>
      <m:oMath>
        <m:r>
          <m:t xml:space="preserve">ℓ</m:t>
        </m:r>
        <m:r>
          <m:t xml:space="preserve">=</m:t>
        </m:r>
        <m:sSup>
          <m:e>
            <m:r>
              <m:t xml:space="preserve">C</m:t>
            </m:r>
          </m:e>
          <m:sup>
            <m:r>
              <m:t xml:space="preserve">H</m:t>
            </m:r>
          </m:sup>
        </m:sSup>
        <m:r>
          <m:t xml:space="preserve">u</m:t>
        </m:r>
      </m:oMath>
      <w:r>
        <w:t xml:space="preserve"> and </w:t>
      </w:r>
      <m:oMath>
        <m:r>
          <m:t xml:space="preserve">s</m:t>
        </m:r>
        <m:r>
          <m:t xml:space="preserve">=</m:t>
        </m:r>
        <m:r>
          <m:t xml:space="preserve">∥</m:t>
        </m:r>
        <m:r>
          <m:t xml:space="preserve">ℓ</m:t>
        </m:r>
        <m:r>
          <m:t xml:space="preserve">∥</m:t>
        </m:r>
        <m:r>
          <m:t xml:space="preserve">≤</m:t>
        </m:r>
        <m:r>
          <m:t xml:space="preserve">β</m:t>
        </m:r>
      </m:oMath>
      <w:r>
        <w:t xml:space="preserve">. Since the map with columns </w:t>
      </w:r>
      <m:oMath>
        <m:r>
          <m:t xml:space="preserve">v</m:t>
        </m:r>
        <m:r>
          <m:t xml:space="preserve">,</m:t>
        </m:r>
        <m:r>
          <m:t xml:space="preserve">u</m:t>
        </m:r>
      </m:oMath>
      <w:r>
        <w:t xml:space="preserve"> is a contraction, its compressed output Gram matrix is bounded by </w:t>
      </w:r>
      <m:oMath>
        <m:sSup>
          <m:e>
            <m:sSub>
              <m:e>
                <m:r>
                  <m:t xml:space="preserve">β</m:t>
                </m:r>
              </m:e>
              <m:sub>
                <m:r>
                  <m:t xml:space="preserve">0</m:t>
                </m:r>
              </m:sub>
            </m:sSub>
          </m:e>
          <m:sup>
            <m:r>
              <m:t xml:space="preserve">2</m:t>
            </m:r>
          </m:sup>
        </m:sSup>
        <m:r>
          <m:t xml:space="preserve">I</m:t>
        </m:r>
      </m:oMath>
      <w:r>
        <w:t xml:space="preserve">. Define </w:t>
      </w:r>
      <m:oMath>
        <m:r>
          <m:t xml:space="preserve">δ</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oMath>
      <w:r>
        <w:t xml:space="preserve"> and </w:t>
      </w:r>
      <m:oMath>
        <m:r>
          <m:t xml:space="preserve">ν</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β</m:t>
                </m:r>
              </m:e>
              <m:sup>
                <m:r>
                  <m:t xml:space="preserve">2</m:t>
                </m:r>
              </m:sup>
            </m:sSup>
          </m:e>
        </m:rad>
      </m:oMath>
      <w:r>
        <w:t>. Cauchy–Schwarz and the determinant condition give</w:t>
      </w:r>
    </w:p>
    <w:p>
      <w:pPr>
        <w:pStyle w:val="Equation"/>
      </w:pPr>
      <m:oMath>
        <m:r>
          <m:t xml:space="preserve">|</m:t>
        </m:r>
        <m:sSup>
          <m:e>
            <m:r>
              <m:t xml:space="preserve">d</m:t>
            </m:r>
          </m:e>
          <m:sup>
            <m:r>
              <m:t xml:space="preserve">H</m:t>
            </m:r>
          </m:sup>
        </m:sSup>
        <m:r>
          <m:t xml:space="preserve">ℓ</m:t>
        </m:r>
        <m:r>
          <m:t xml:space="preserve">|</m:t>
        </m:r>
        <m:r>
          <m:t xml:space="preserve">≤</m:t>
        </m:r>
        <m:r>
          <m:rPr>
            <m:nor/>
          </m:rPr>
          <m:t xml:space="preserve">min</m:t>
        </m:r>
        <m:d>
          <m:dPr>
            <m:begChr m:val="{"/>
            <m:endChr m:val="}"/>
          </m:dPr>
          <m:e>
            <m:r>
              <m:t xml:space="preserve">α</m:t>
            </m:r>
            <m:r>
              <m:t xml:space="preserve">s</m:t>
            </m:r>
            <m:r>
              <m:t xml:space="preserve">,</m:t>
            </m:r>
            <m:r>
              <m:t xml:space="preserve"> </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oMath>
      <w:r>
        <w:tab/>
        <w:t>(4)</w:t>
      </w:r>
    </w:p>
    <w:p>
      <w:r>
        <w:t>Consequently, define the directional envelope by the scalar extremum</w:t>
      </w:r>
    </w:p>
    <w:p>
      <w:pPr>
        <w:pStyle w:val="Equation"/>
      </w:pPr>
      <m:oMath>
        <m:sSup>
          <m:e>
            <m:r>
              <m:t xml:space="preserve">R</m:t>
            </m:r>
          </m:e>
          <m:sup>
            <m:r>
              <m:t xml:space="preserve">2</m:t>
            </m:r>
          </m:sup>
        </m:sSup>
        <m:d>
          <m:dPr>
            <m:begChr m:val="("/>
            <m:endChr m:val=")"/>
          </m:dPr>
          <m:e>
            <m:r>
              <m:t xml:space="preserve">x</m:t>
            </m:r>
            <m:r>
              <m:t xml:space="preserve">,</m:t>
            </m:r>
            <m:r>
              <m:t xml:space="preserve">y</m:t>
            </m:r>
          </m:e>
        </m:d>
        <m:r>
          <m:t xml:space="preserve">=</m:t>
        </m:r>
        <m:sSub>
          <m:e>
            <m:r>
              <m:rPr>
                <m:nor/>
              </m:rPr>
              <m:t xml:space="preserve">max</m:t>
            </m:r>
          </m:e>
          <m:sub>
            <m:r>
              <m:t xml:space="preserve">0</m:t>
            </m:r>
            <m:r>
              <m:t xml:space="preserve">≤</m:t>
            </m:r>
            <m:r>
              <m:t xml:space="preserve">s</m:t>
            </m:r>
            <m:r>
              <m:t xml:space="preserve">≤</m:t>
            </m:r>
            <m:r>
              <m:t xml:space="preserve">β</m:t>
            </m:r>
          </m:sub>
        </m:sSub>
        <m:d>
          <m:dPr>
            <m:begChr m:val="{"/>
            <m:endChr m:val="}"/>
          </m:dPr>
          <m:e>
            <m:sSup>
              <m:e>
                <m:r>
                  <m:t xml:space="preserve">α</m:t>
                </m:r>
              </m:e>
              <m:sup>
                <m:r>
                  <m:t xml:space="preserve">2</m:t>
                </m:r>
              </m:sup>
            </m:sSup>
            <m:sSup>
              <m:e>
                <m:r>
                  <m:t xml:space="preserve">x</m:t>
                </m:r>
              </m:e>
              <m:sup>
                <m:r>
                  <m:t xml:space="preserve">2</m:t>
                </m:r>
              </m:sup>
            </m:sSup>
            <m:r>
              <m:t xml:space="preserve">+</m:t>
            </m:r>
            <m:sSup>
              <m:e>
                <m:r>
                  <m:t xml:space="preserve">s</m:t>
                </m:r>
              </m:e>
              <m:sup>
                <m:r>
                  <m:t xml:space="preserve">2</m:t>
                </m:r>
              </m:sup>
            </m:sSup>
            <m:sSup>
              <m:e>
                <m:r>
                  <m:t xml:space="preserve">y</m:t>
                </m:r>
              </m:e>
              <m:sup>
                <m:r>
                  <m:t xml:space="preserve">2</m:t>
                </m:r>
              </m:sup>
            </m:sSup>
            <m:r>
              <m:t xml:space="preserve">+</m:t>
            </m:r>
            <m:r>
              <m:t xml:space="preserve">2</m:t>
            </m:r>
            <m:r>
              <m:t xml:space="preserve">x</m:t>
            </m:r>
            <m:r>
              <m:t xml:space="preserve">y</m:t>
            </m:r>
            <m:r>
              <m:t xml:space="preserve"> </m:t>
            </m:r>
            <m:r>
              <m:rPr>
                <m:nor/>
              </m:rPr>
              <m:t xml:space="preserve">min</m:t>
            </m:r>
            <m:d>
              <m:dPr>
                <m:begChr m:val="{"/>
                <m:endChr m:val="}"/>
              </m:dPr>
              <m:e>
                <m:r>
                  <m:t xml:space="preserve">α</m:t>
                </m:r>
                <m:r>
                  <m:t xml:space="preserve">s</m:t>
                </m:r>
                <m:r>
                  <m:t xml:space="preserve">,</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e>
        </m:d>
      </m:oMath>
      <w:r>
        <w:tab/>
        <w:t>(5)</w:t>
      </w:r>
    </w:p>
    <w:p>
      <w:r>
        <w:rPr>
          <w:b/>
        </w:rPr>
        <w:t>Theorem 1 — Directional envelope.</w:t>
      </w:r>
      <w:r>
        <w:t xml:space="preserve"> Under (3), the extremum in (5) is given by</w:t>
      </w:r>
    </w:p>
    <w:p>
      <w:pPr>
        <w:pStyle w:val="Equation"/>
      </w:pPr>
      <m:oMath>
        <m:r>
          <m:t xml:space="preserve">R</m:t>
        </m:r>
        <m:d>
          <m:dPr>
            <m:begChr m:val="("/>
            <m:endChr m:val=")"/>
          </m:dPr>
          <m:e>
            <m:r>
              <m:t xml:space="preserve">x</m:t>
            </m:r>
            <m:r>
              <m:t xml:space="preserve">,</m:t>
            </m:r>
            <m:r>
              <m:t xml:space="preserve">y</m:t>
            </m:r>
          </m:e>
        </m:d>
        <m:r>
          <m:t xml:space="preserve">=</m:t>
        </m:r>
        <m:d>
          <m:dPr>
            <m:begChr m:val="{"/>
            <m:endChr m:val=""/>
          </m:dPr>
          <m:e>
            <m:m>
              <m:mr>
                <m:e>
                  <m:rad>
                    <m:radPr>
                      <m:degHide m:val="1"/>
                    </m:radPr>
                    <m:deg/>
                    <m:e>
                      <m:sSup>
                        <m:e>
                          <m:r>
                            <m:t xml:space="preserve">α</m:t>
                          </m:r>
                        </m:e>
                        <m:sup>
                          <m:r>
                            <m:t xml:space="preserve">2</m:t>
                          </m:r>
                        </m:sup>
                      </m:sSup>
                      <m:sSup>
                        <m:e>
                          <m:r>
                            <m:t xml:space="preserve">x</m:t>
                          </m:r>
                        </m:e>
                        <m:sup>
                          <m:r>
                            <m:t xml:space="preserve">2</m:t>
                          </m:r>
                        </m:sup>
                      </m:sSup>
                      <m:r>
                        <m:t xml:space="preserve">+</m:t>
                      </m:r>
                      <m:sSup>
                        <m:e>
                          <m:r>
                            <m:t xml:space="preserve">β</m:t>
                          </m:r>
                        </m:e>
                        <m:sup>
                          <m:r>
                            <m:t xml:space="preserve">2</m:t>
                          </m:r>
                        </m:sup>
                      </m:sSup>
                      <m:sSup>
                        <m:e>
                          <m:r>
                            <m:t xml:space="preserve">y</m:t>
                          </m:r>
                        </m:e>
                        <m:sup>
                          <m:r>
                            <m:t xml:space="preserve">2</m:t>
                          </m:r>
                        </m:sup>
                      </m:sSup>
                      <m:r>
                        <m:t xml:space="preserve">+</m:t>
                      </m:r>
                      <m:r>
                        <m:t xml:space="preserve">2</m:t>
                      </m:r>
                      <m:r>
                        <m:t xml:space="preserve">δ</m:t>
                      </m:r>
                      <m:r>
                        <m:t xml:space="preserve">ν</m:t>
                      </m:r>
                      <m:r>
                        <m:t xml:space="preserve">x</m:t>
                      </m:r>
                      <m:r>
                        <m:t xml:space="preserve">y</m:t>
                      </m:r>
                    </m:e>
                  </m:rad>
                </m:e>
                <m:e>
                  <m:r>
                    <m:t xml:space="preserve">δ</m:t>
                  </m:r>
                  <m:r>
                    <m:t xml:space="preserve">x</m:t>
                  </m:r>
                  <m:r>
                    <m:t xml:space="preserve">≤</m:t>
                  </m:r>
                  <m:r>
                    <m:t xml:space="preserve">ν</m:t>
                  </m:r>
                  <m:r>
                    <m:t xml:space="preserve">y</m:t>
                  </m:r>
                </m:e>
              </m:mr>
              <m:m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e>
                <m:e>
                  <m:r>
                    <m:t xml:space="preserve">ν</m:t>
                  </m:r>
                  <m:r>
                    <m:t xml:space="preserve">y</m:t>
                  </m:r>
                  <m:r>
                    <m:t xml:space="preserve">&lt;</m:t>
                  </m:r>
                  <m:r>
                    <m:t xml:space="preserve">δ</m:t>
                  </m:r>
                  <m:r>
                    <m:t xml:space="preserve">x</m:t>
                  </m:r>
                  <m:r>
                    <m:t xml:space="preserve">&lt;</m:t>
                  </m:r>
                  <m:r>
                    <m:t xml:space="preserve">α</m:t>
                  </m:r>
                  <m:r>
                    <m:t xml:space="preserve">y</m:t>
                  </m:r>
                </m:e>
              </m:mr>
              <m:mr>
                <m:e>
                  <m:r>
                    <m:t xml:space="preserve">α</m:t>
                  </m:r>
                  <m:r>
                    <m:t xml:space="preserve">x</m:t>
                  </m:r>
                  <m:r>
                    <m:t xml:space="preserve">+</m:t>
                  </m:r>
                  <m:r>
                    <m:t xml:space="preserve">δ</m:t>
                  </m:r>
                  <m:r>
                    <m:t xml:space="preserve">y</m:t>
                  </m:r>
                </m:e>
                <m:e>
                  <m:r>
                    <m:t xml:space="preserve">δ</m:t>
                  </m:r>
                  <m:r>
                    <m:t xml:space="preserve">x</m:t>
                  </m:r>
                  <m:r>
                    <m:t xml:space="preserve">≥</m:t>
                  </m:r>
                  <m:r>
                    <m:t xml:space="preserve">α</m:t>
                  </m:r>
                  <m:r>
                    <m:t xml:space="preserve">y</m:t>
                  </m:r>
                </m:e>
              </m:mr>
            </m:m>
          </m:e>
        </m:d>
      </m:oMath>
      <w:r>
        <w:tab/>
        <w:t>(6)</w:t>
      </w:r>
    </w:p>
    <w:p>
      <w:r>
        <w:t xml:space="preserve">For every admissible error, </w:t>
      </w:r>
      <m:oMath>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 and</w:t>
      </w:r>
    </w:p>
    <w:p>
      <w:pPr>
        <w:pStyle w:val="Equation"/>
      </w:pPr>
      <m:oMath>
        <m:r>
          <m:t xml:space="preserve">R</m:t>
        </m:r>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r>
              <m:t xml:space="preserve">,</m:t>
            </m:r>
            <m:r>
              <m:t xml:space="preserve"> </m:t>
            </m:r>
            <m:r>
              <m:t xml:space="preserve">α</m:t>
            </m:r>
            <m:r>
              <m:t xml:space="preserve">x</m:t>
            </m:r>
            <m:r>
              <m:t xml:space="preserve">+</m:t>
            </m:r>
            <m:r>
              <m:t xml:space="preserve">β</m:t>
            </m:r>
            <m:r>
              <m:t xml:space="preserve">y</m:t>
            </m:r>
          </m:e>
        </m:d>
      </m:oMath>
      <w:r>
        <w:tab/>
        <w:t>(7)</w:t>
      </w:r>
    </w:p>
    <w:p>
      <w:r>
        <w:rPr>
          <w:b/>
        </w:rPr>
        <w:t>Proof.</w:t>
      </w:r>
      <w:r>
        <w:t xml:space="preserve"> Compatibility implies </w:t>
      </w:r>
      <m:oMath>
        <m:r>
          <m:t xml:space="preserve">δ</m:t>
        </m:r>
        <m:r>
          <m:t xml:space="preserve">≤</m:t>
        </m:r>
        <m:r>
          <m:t xml:space="preserve">β</m:t>
        </m:r>
      </m:oMath>
      <w:r>
        <w:t xml:space="preserve"> and </w:t>
      </w:r>
      <m:oMath>
        <m:r>
          <m:t xml:space="preserve">ν</m:t>
        </m:r>
        <m:r>
          <m:t xml:space="preserve">≤</m:t>
        </m:r>
        <m:r>
          <m:t xml:space="preserve">α</m:t>
        </m:r>
      </m:oMath>
      <w:r>
        <w:t xml:space="preserve">. The two cross term bounds in (4) exchange order at </w:t>
      </w:r>
      <m:oMath>
        <m:r>
          <m:t xml:space="preserve">s</m:t>
        </m:r>
        <m:r>
          <m:t xml:space="preserve">=</m:t>
        </m:r>
        <m:r>
          <m:t xml:space="preserve">δ</m:t>
        </m:r>
      </m:oMath>
      <w:r>
        <w:t xml:space="preserve">. On </w:t>
      </w:r>
      <m:oMath>
        <m:d>
          <m:dPr>
            <m:begChr m:val="["/>
            <m:endChr m:val="]"/>
          </m:dPr>
          <m:e>
            <m:r>
              <m:t xml:space="preserve">0</m:t>
            </m:r>
            <m:r>
              <m:t xml:space="preserve">,</m:t>
            </m:r>
            <m:r>
              <m:t xml:space="preserve">δ</m:t>
            </m:r>
          </m:e>
        </m:d>
      </m:oMath>
      <w:r>
        <w:t xml:space="preserve">, the objective is </w:t>
      </w:r>
      <m:oMath>
        <m:sSup>
          <m:e>
            <m:d>
              <m:dPr>
                <m:begChr m:val="("/>
                <m:endChr m:val=")"/>
              </m:dPr>
              <m:e>
                <m:r>
                  <m:t xml:space="preserve">α</m:t>
                </m:r>
                <m:r>
                  <m:t xml:space="preserve">x</m:t>
                </m:r>
                <m:r>
                  <m:t xml:space="preserve">+</m:t>
                </m:r>
                <m:r>
                  <m:t xml:space="preserve">s</m:t>
                </m:r>
                <m:r>
                  <m:t xml:space="preserve">y</m:t>
                </m:r>
              </m:e>
            </m:d>
          </m:e>
          <m:sup>
            <m:r>
              <m:t xml:space="preserve">2</m:t>
            </m:r>
          </m:sup>
        </m:sSup>
      </m:oMath>
      <w:r>
        <w:t xml:space="preserve">, whose maximum is at </w:t>
      </w:r>
      <m:oMath>
        <m:r>
          <m:t xml:space="preserve">s</m:t>
        </m:r>
        <m:r>
          <m:t xml:space="preserve">=</m:t>
        </m:r>
        <m:r>
          <m:t xml:space="preserve">δ</m:t>
        </m:r>
      </m:oMath>
      <w:r>
        <w:t xml:space="preserve">. For </w:t>
      </w:r>
      <m:oMath>
        <m:r>
          <m:t xml:space="preserve">y</m:t>
        </m:r>
        <m:r>
          <m:t xml:space="preserve">&gt;</m:t>
        </m:r>
        <m:r>
          <m:t xml:space="preserve">0</m:t>
        </m:r>
      </m:oMath>
      <w:r>
        <w:t xml:space="preserve">, on </w:t>
      </w:r>
      <m:oMath>
        <m:d>
          <m:dPr>
            <m:begChr m:val="["/>
            <m:endChr m:val="]"/>
          </m:dPr>
          <m:e>
            <m:r>
              <m:t xml:space="preserve">δ</m:t>
            </m:r>
            <m:r>
              <m:t xml:space="preserve">,</m:t>
            </m:r>
            <m:r>
              <m:t xml:space="preserve">β</m:t>
            </m:r>
          </m:e>
        </m:d>
      </m:oMath>
      <w:r>
        <w:t xml:space="preserve">, change variables to </w:t>
      </w:r>
      <m:oMath>
        <m:r>
          <m:t xml:space="preserve">k</m:t>
        </m:r>
        <m:r>
          <m:t xml:space="preserve">=</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r>
          <m:t xml:space="preserve">∈</m:t>
        </m:r>
        <m:d>
          <m:dPr>
            <m:begChr m:val="["/>
            <m:endChr m:val="]"/>
          </m:dPr>
          <m:e>
            <m:r>
              <m:t xml:space="preserve">ν</m:t>
            </m:r>
            <m:r>
              <m:t xml:space="preserve">,</m:t>
            </m:r>
            <m:r>
              <m:t xml:space="preserve">α</m:t>
            </m:r>
          </m:e>
        </m:d>
      </m:oMath>
      <w:r>
        <w:t>. The objective becomes</w:t>
      </w:r>
    </w:p>
    <w:p>
      <w:pPr>
        <w:pStyle w:val="Equation"/>
      </w:pPr>
      <m:oMath>
        <m:sSup>
          <m:e>
            <m:r>
              <m:t xml:space="preserve">α</m:t>
            </m:r>
          </m:e>
          <m:sup>
            <m:r>
              <m:t xml:space="preserve">2</m:t>
            </m:r>
          </m:sup>
        </m:sSup>
        <m:sSup>
          <m:e>
            <m:r>
              <m:t xml:space="preserve">x</m:t>
            </m:r>
          </m:e>
          <m:sup>
            <m:r>
              <m:t xml:space="preserve">2</m:t>
            </m:r>
          </m:sup>
        </m:sSup>
        <m:r>
          <m:t xml:space="preserve">+</m:t>
        </m:r>
        <m:sSup>
          <m:e>
            <m:sSub>
              <m:e>
                <m:r>
                  <m:t xml:space="preserve">β</m:t>
                </m:r>
              </m:e>
              <m:sub>
                <m:r>
                  <m:t xml:space="preserve">0</m:t>
                </m:r>
              </m:sub>
            </m:sSub>
          </m:e>
          <m:sup>
            <m:r>
              <m:t xml:space="preserve">2</m:t>
            </m:r>
          </m:sup>
        </m:sSup>
        <m:sSup>
          <m:e>
            <m:r>
              <m:t xml:space="preserve">y</m:t>
            </m:r>
          </m:e>
          <m:sup>
            <m:r>
              <m:t xml:space="preserve">2</m:t>
            </m:r>
          </m:sup>
        </m:sSup>
        <m:r>
          <m:t xml:space="preserve">−</m:t>
        </m:r>
        <m:sSup>
          <m:e>
            <m:r>
              <m:t xml:space="preserve">y</m:t>
            </m:r>
          </m:e>
          <m:sup>
            <m:r>
              <m:t xml:space="preserve">2</m:t>
            </m:r>
          </m:sup>
        </m:sSup>
        <m:sSup>
          <m:e>
            <m:r>
              <m:t xml:space="preserve">k</m:t>
            </m:r>
          </m:e>
          <m:sup>
            <m:r>
              <m:t xml:space="preserve">2</m:t>
            </m:r>
          </m:sup>
        </m:sSup>
        <m:r>
          <m:t xml:space="preserve">+</m:t>
        </m:r>
        <m:r>
          <m:t xml:space="preserve">2</m:t>
        </m:r>
        <m:r>
          <m:t xml:space="preserve">x</m:t>
        </m:r>
        <m:r>
          <m:t xml:space="preserve">y</m:t>
        </m:r>
        <m:r>
          <m:t xml:space="preserve">δ</m:t>
        </m:r>
        <m:r>
          <m:t xml:space="preserve">k</m:t>
        </m:r>
      </m:oMath>
      <w:r>
        <w:tab/>
        <w:t>(8)</w:t>
      </w:r>
    </w:p>
    <w:p>
      <w:r>
        <w:t xml:space="preserve">Its maximizing argument is </w:t>
      </w:r>
      <m:oMath>
        <m:r>
          <m:t xml:space="preserve">δ</m:t>
        </m:r>
        <m:r>
          <m:t xml:space="preserve">x</m:t>
        </m:r>
        <m:r>
          <m:t xml:space="preserve">/</m:t>
        </m:r>
        <m:r>
          <m:t xml:space="preserve">y</m:t>
        </m:r>
      </m:oMath>
      <w:r>
        <w:t xml:space="preserve"> projected onto </w:t>
      </w:r>
      <m:oMath>
        <m:d>
          <m:dPr>
            <m:begChr m:val="["/>
            <m:endChr m:val="]"/>
          </m:dPr>
          <m:e>
            <m:r>
              <m:t xml:space="preserve">ν</m:t>
            </m:r>
            <m:r>
              <m:t xml:space="preserve">,</m:t>
            </m:r>
            <m:r>
              <m:t xml:space="preserve">α</m:t>
            </m:r>
          </m:e>
        </m:d>
      </m:oMath>
      <w:r>
        <w:t xml:space="preserve">. The lower endpoint, interior and upper endpoint give the three branches in (6). Values agree on both branch boundaries. If </w:t>
      </w:r>
      <m:oMath>
        <m:r>
          <m:t xml:space="preserve">y</m:t>
        </m:r>
        <m:r>
          <m:t xml:space="preserve">=</m:t>
        </m:r>
        <m:r>
          <m:t xml:space="preserve">0</m:t>
        </m:r>
      </m:oMath>
      <w:r>
        <w:t xml:space="preserve">, direct substitution into (5) gives </w:t>
      </w:r>
      <m:oMath>
        <m:r>
          <m:t xml:space="preserve">R</m:t>
        </m:r>
        <m:r>
          <m:t xml:space="preserve">=</m:t>
        </m:r>
        <m:r>
          <m:t xml:space="preserve">α</m:t>
        </m:r>
        <m:r>
          <m:t xml:space="preserve">x</m:t>
        </m:r>
      </m:oMath>
      <w:r>
        <w:t xml:space="preserve">, so division by </w:t>
      </w:r>
      <m:oMath>
        <m:r>
          <m:t xml:space="preserve">y</m:t>
        </m:r>
      </m:oMath>
      <w:r>
        <w:t xml:space="preserve"> is unnecessary. If </w:t>
      </w:r>
      <m:oMath>
        <m:r>
          <m:t xml:space="preserve">α</m:t>
        </m:r>
        <m:r>
          <m:t xml:space="preserve">=</m:t>
        </m:r>
        <m:r>
          <m:t xml:space="preserve">0</m:t>
        </m:r>
      </m:oMath>
      <w:r>
        <w:t xml:space="preserve">, compatibility forces </w:t>
      </w:r>
      <m:oMath>
        <m:sSub>
          <m:e>
            <m:r>
              <m:t xml:space="preserve">β</m:t>
            </m:r>
          </m:e>
          <m:sub>
            <m:r>
              <m:t xml:space="preserve">0</m:t>
            </m:r>
          </m:sub>
        </m:sSub>
        <m:r>
          <m:t xml:space="preserve">=</m:t>
        </m:r>
        <m:r>
          <m:t xml:space="preserve">β</m:t>
        </m:r>
      </m:oMath>
      <w:r>
        <w:t xml:space="preserve"> and </w:t>
      </w:r>
      <m:oMath>
        <m:r>
          <m:t xml:space="preserve">R</m:t>
        </m:r>
        <m:r>
          <m:t xml:space="preserve">=</m:t>
        </m:r>
        <m:r>
          <m:t xml:space="preserve">β</m:t>
        </m:r>
        <m:r>
          <m:t xml:space="preserve">y</m:t>
        </m:r>
      </m:oMath>
      <w:r>
        <w:t xml:space="preserve">. If </w:t>
      </w:r>
      <m:oMath>
        <m:r>
          <m:t xml:space="preserve">β</m:t>
        </m:r>
        <m:r>
          <m:t xml:space="preserve">=</m:t>
        </m:r>
        <m:r>
          <m:t xml:space="preserve">0</m:t>
        </m:r>
      </m:oMath>
      <w:r>
        <w:t xml:space="preserve">, it forces </w:t>
      </w:r>
      <m:oMath>
        <m:sSub>
          <m:e>
            <m:r>
              <m:t xml:space="preserve">β</m:t>
            </m:r>
          </m:e>
          <m:sub>
            <m:r>
              <m:t xml:space="preserve">0</m:t>
            </m:r>
          </m:sub>
        </m:sSub>
        <m:r>
          <m:t xml:space="preserve">=</m:t>
        </m:r>
        <m:r>
          <m:t xml:space="preserve">α</m:t>
        </m:r>
      </m:oMath>
      <w:r>
        <w:t xml:space="preserve"> and </w:t>
      </w:r>
      <m:oMath>
        <m:r>
          <m:t xml:space="preserve">R</m:t>
        </m:r>
        <m:r>
          <m:t xml:space="preserve">=</m:t>
        </m:r>
        <m:r>
          <m:t xml:space="preserve">α</m:t>
        </m:r>
        <m:r>
          <m:t xml:space="preserve">x</m:t>
        </m:r>
      </m:oMath>
      <w:r>
        <w:t xml:space="preserve">. When </w:t>
      </w:r>
      <m:oMath>
        <m:sSup>
          <m:e>
            <m:sSub>
              <m:e>
                <m:r>
                  <m:t xml:space="preserve">β</m:t>
                </m:r>
              </m:e>
              <m:sub>
                <m:r>
                  <m:t xml:space="preserve">0</m:t>
                </m:r>
              </m:sub>
            </m:sSub>
          </m:e>
          <m:sup>
            <m:r>
              <m:t xml:space="preserve">2</m:t>
            </m:r>
          </m:sup>
        </m:sSup>
        <m:r>
          <m:t xml:space="preserve">=</m:t>
        </m:r>
        <m:sSup>
          <m:e>
            <m:r>
              <m:t xml:space="preserve">α</m:t>
            </m:r>
          </m:e>
          <m:sup>
            <m:r>
              <m:t xml:space="preserve">2</m:t>
            </m:r>
          </m:sup>
        </m:sSup>
        <m:r>
          <m:t xml:space="preserve">+</m:t>
        </m:r>
        <m:sSup>
          <m:e>
            <m:r>
              <m:t xml:space="preserve">β</m:t>
            </m:r>
          </m:e>
          <m:sup>
            <m:r>
              <m:t xml:space="preserve">2</m:t>
            </m:r>
          </m:sup>
        </m:sSup>
      </m:oMath>
      <w:r>
        <w:t xml:space="preserve">, the middle region disappears and </w:t>
      </w:r>
      <m:oMath>
        <m:r>
          <m:t xml:space="preserve">R</m:t>
        </m:r>
        <m:r>
          <m:t xml:space="preserve">=</m:t>
        </m:r>
        <m:r>
          <m:t xml:space="preserve">α</m:t>
        </m:r>
        <m:r>
          <m:t xml:space="preserve">x</m:t>
        </m:r>
        <m:r>
          <m:t xml:space="preserve">+</m:t>
        </m:r>
        <m:r>
          <m:t xml:space="preserve">β</m:t>
        </m:r>
        <m:r>
          <m:t xml:space="preserve">y</m:t>
        </m:r>
      </m:oMath>
      <w:r>
        <w:t>. The all zero operator is included by these limits. Inequality (7) follows from the norm cap and the linear cross term cap in (5). Finally, the compression and (4) bound every actual output, proving safety. □</w:t>
      </w:r>
    </w:p>
    <w:p>
      <w:r>
        <w:t>The envelope is nondecreasing in either nonnegative input amplitude. This follows directly from (5), because each objective being maximized has nonnegative coefficients. The same expression, or the constructive characterization below, yields the Lipschitz control used in Section 6.</w:t>
      </w:r>
    </w:p>
    <w:p>
      <w:pPr>
        <w:pStyle w:val="Heading1"/>
      </w:pPr>
      <w:r>
        <w:t>4 QoS envelopes and sharpness</w:t>
      </w:r>
    </w:p>
    <w:p>
      <w:pPr>
        <w:pStyle w:val="Heading2"/>
      </w:pPr>
      <w:r>
        <w:t>4.1 Safe shared budget bound</w:t>
      </w:r>
    </w:p>
    <w:p>
      <w:r>
        <w:t xml:space="preserve">For </w:t>
      </w:r>
      <m:oMath>
        <m:r>
          <m:t xml:space="preserve">x</m:t>
        </m:r>
        <m:r>
          <m:t xml:space="preserve">=</m:t>
        </m:r>
        <m:r>
          <m:t xml:space="preserve">|</m:t>
        </m:r>
        <m:sSup>
          <m:e>
            <m:r>
              <m:t xml:space="preserve">v</m:t>
            </m:r>
          </m:e>
          <m:sup>
            <m:r>
              <m:t xml:space="preserve">H</m:t>
            </m:r>
          </m:sup>
        </m:sSup>
        <m:r>
          <m:t xml:space="preserve">e</m:t>
        </m:r>
        <m:r>
          <m:t xml:space="preserve">|</m:t>
        </m:r>
      </m:oMath>
      <w:r>
        <w:t xml:space="preserve">, the reverse triangle inequality gives </w:t>
      </w:r>
      <m:oMath>
        <m:r>
          <m:t xml:space="preserve">|</m:t>
        </m:r>
        <m:sSup>
          <m:e>
            <m:r>
              <m:t xml:space="preserve">b</m:t>
            </m:r>
          </m:e>
          <m:sup>
            <m:r>
              <m:t xml:space="preserve">H</m:t>
            </m:r>
          </m:sup>
        </m:sSup>
        <m:d>
          <m:dPr>
            <m:begChr m:val="("/>
            <m:endChr m:val=")"/>
          </m:dPr>
          <m:e>
            <m:r>
              <m:t xml:space="preserve">h</m:t>
            </m:r>
            <m:r>
              <m:t xml:space="preserve">̂</m:t>
            </m:r>
            <m:r>
              <m:t xml:space="preserve">+</m:t>
            </m:r>
            <m:r>
              <m:t xml:space="preserve">e</m:t>
            </m:r>
          </m:e>
        </m:d>
        <m:r>
          <m:t xml:space="preserve">|</m:t>
        </m:r>
        <m:r>
          <m:t xml:space="preserve">≥</m:t>
        </m:r>
        <m:rad>
          <m:radPr>
            <m:degHide m:val="1"/>
          </m:radPr>
          <m:deg/>
          <m:e>
            <m:r>
              <m:t xml:space="preserve">p</m:t>
            </m:r>
          </m:e>
        </m:rad>
        <m:r>
          <m:t xml:space="preserve">|</m:t>
        </m:r>
        <m:r>
          <m:t xml:space="preserve">a</m:t>
        </m:r>
        <m:r>
          <m:t xml:space="preserve">−</m:t>
        </m:r>
        <m:r>
          <m:t xml:space="preserve">x</m:t>
        </m:r>
        <m:r>
          <m:t xml:space="preserve">|</m:t>
        </m:r>
      </m:oMath>
      <w:r>
        <w:t xml:space="preserve">, including </w:t>
      </w:r>
      <m:oMath>
        <m:r>
          <m:t xml:space="preserve">x</m:t>
        </m:r>
        <m:r>
          <m:t xml:space="preserve">&gt;</m:t>
        </m:r>
        <m:r>
          <m:t xml:space="preserve">a</m:t>
        </m:r>
      </m:oMath>
      <w:r>
        <w:t xml:space="preserve">. The orthogonal budget is at most </w:t>
      </w:r>
      <m:oMath>
        <m:rad>
          <m:radPr>
            <m:degHide m:val="1"/>
          </m:radPr>
          <m:deg/>
          <m:e>
            <m:sSup>
              <m:e>
                <m:r>
                  <m:t xml:space="preserve">r</m:t>
                </m:r>
              </m:e>
              <m:sup>
                <m:r>
                  <m:t xml:space="preserve">2</m:t>
                </m:r>
              </m:sup>
            </m:sSup>
            <m:r>
              <m:t xml:space="preserve">−</m:t>
            </m:r>
            <m:sSup>
              <m:e>
                <m:r>
                  <m:t xml:space="preserve">x</m:t>
                </m:r>
              </m:e>
              <m:sup>
                <m:r>
                  <m:t xml:space="preserve">2</m:t>
                </m:r>
              </m:sup>
            </m:sSup>
          </m:e>
        </m:rad>
      </m:oMath>
      <w:r>
        <w:t>. Define</w:t>
      </w:r>
    </w:p>
    <w:p>
      <w:pPr>
        <w:pStyle w:val="Equation"/>
      </w:pPr>
      <m:oMath>
        <m:sSub>
          <m:e>
            <m:r>
              <m:t xml:space="preserve">Q</m:t>
            </m:r>
          </m:e>
          <m:sub>
            <m:r>
              <m:t xml:space="preserve">G</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R</m:t>
                    </m:r>
                    <m:d>
                      <m:dPr>
                        <m:begChr m:val="("/>
                        <m:endChr m:val=")"/>
                      </m:dPr>
                      <m:e>
                        <m:r>
                          <m:t xml:space="preserve">x</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e>
                    </m:d>
                  </m:e>
                </m:d>
              </m:e>
              <m:sup>
                <m:r>
                  <m:t xml:space="preserve">2</m:t>
                </m:r>
              </m:sup>
            </m:sSup>
            <m:r>
              <m:t xml:space="preserve">−</m:t>
            </m:r>
            <m:r>
              <m:t xml:space="preserve">γ</m:t>
            </m:r>
            <m:sSup>
              <m:e>
                <m:r>
                  <m:t xml:space="preserve">σ</m:t>
                </m:r>
              </m:e>
              <m:sup>
                <m:r>
                  <m:t xml:space="preserve">2</m:t>
                </m:r>
              </m:sup>
            </m:sSup>
          </m:e>
        </m:d>
      </m:oMath>
      <w:r>
        <w:tab/>
        <w:t>(9)</w:t>
      </w:r>
    </w:p>
    <w:p>
      <w:r>
        <w:t xml:space="preserve">The previous shared budget bound </w:t>
      </w:r>
      <m:oMath>
        <m:r>
          <m:t xml:space="preserve">Q</m:t>
        </m:r>
        <m:d>
          <m:dPr>
            <m:begChr m:val="("/>
            <m:endChr m:val=")"/>
          </m:dPr>
          <m:e>
            <m:r>
              <m:t xml:space="preserve">r</m:t>
            </m:r>
          </m:e>
        </m:d>
      </m:oMath>
      <w:r>
        <w:t xml:space="preserve"> replaces </w:t>
      </w:r>
      <m:oMath>
        <m:r>
          <m:t xml:space="preserve">R</m:t>
        </m:r>
      </m:oMath>
      <w:r>
        <w:t xml:space="preserve"> in (9) with</w:t>
      </w:r>
    </w:p>
    <w:p>
      <w:pPr>
        <w:pStyle w:val="Equation"/>
      </w:pPr>
      <m:oMath>
        <m:sSub>
          <m:e>
            <m:r>
              <m:t xml:space="preserve">R</m:t>
            </m:r>
          </m:e>
          <m:sub>
            <m:r>
              <m:t xml:space="preserve">o</m:t>
            </m:r>
            <m:r>
              <m:t xml:space="preserve">l</m:t>
            </m:r>
            <m:r>
              <m:t xml:space="preserve">d</m:t>
            </m:r>
          </m:sub>
        </m:sSub>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α</m:t>
            </m:r>
            <m:r>
              <m:t xml:space="preserve">x</m:t>
            </m:r>
            <m:r>
              <m:t xml:space="preserve">+</m:t>
            </m:r>
            <m:r>
              <m:t xml:space="preserve">β</m:t>
            </m:r>
            <m:r>
              <m:t xml:space="preserve">y</m:t>
            </m:r>
          </m:e>
        </m:d>
        <m:r>
          <m:t xml:space="preserve">,</m:t>
        </m:r>
        <m:r>
          <m:t xml:space="preserve"> </m:t>
        </m:r>
        <m:r>
          <m:t xml:space="preserve"> </m:t>
        </m:r>
        <m:r>
          <m:t xml:space="preserve"> </m:t>
        </m:r>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ab/>
        <w:t>(10)</w:t>
      </w:r>
    </w:p>
    <w:p>
      <w:r>
        <w:rPr>
          <w:b/>
        </w:rPr>
        <w:t>Proposition 1 — Safety and dominance.</w:t>
      </w:r>
      <w:r>
        <w:t xml:space="preserve"> For every compatible fixed instance,</w:t>
      </w:r>
    </w:p>
    <w:p>
      <w:pPr>
        <w:pStyle w:val="Equation"/>
      </w:pPr>
      <m:oMath>
        <m:r>
          <m:t xml:space="preserve">Q</m:t>
        </m:r>
        <m:d>
          <m:dPr>
            <m:begChr m:val="("/>
            <m:endChr m:val=")"/>
          </m:dPr>
          <m:e>
            <m:r>
              <m:t xml:space="preserve">r</m:t>
            </m:r>
          </m:e>
        </m:d>
        <m:r>
          <m:t xml:space="preserve">≤</m:t>
        </m:r>
        <m:sSub>
          <m:e>
            <m:r>
              <m:t xml:space="preserve">Q</m:t>
            </m:r>
          </m:e>
          <m:sub>
            <m:r>
              <m:t xml:space="preserve">G</m:t>
            </m:r>
          </m:sub>
        </m:sSub>
        <m:d>
          <m:dPr>
            <m:begChr m:val="("/>
            <m:endChr m:val=")"/>
          </m:dPr>
          <m:e>
            <m:r>
              <m:t xml:space="preserve">r</m:t>
            </m:r>
          </m:e>
        </m:d>
        <m:r>
          <m:t xml:space="preserve">≤</m:t>
        </m:r>
        <m:sSup>
          <m:e>
            <m:r>
              <m:t xml:space="preserve">q</m:t>
            </m:r>
          </m:e>
          <m:sup>
            <m:r>
              <m:t xml:space="preserve">*</m:t>
            </m:r>
          </m:sup>
        </m:sSup>
        <m:d>
          <m:dPr>
            <m:begChr m:val="("/>
            <m:endChr m:val=")"/>
          </m:dPr>
          <m:e>
            <m:r>
              <m:t xml:space="preserve">r</m:t>
            </m:r>
          </m:e>
        </m:d>
      </m:oMath>
      <w:r>
        <w:tab/>
        <w:t>(11)</w:t>
      </w:r>
    </w:p>
    <w:p>
      <w:r>
        <w:rPr>
          <w:b/>
        </w:rPr>
        <w:t>Proof.</w:t>
      </w:r>
      <w:r>
        <w:t xml:space="preserve"> For any ball feasible error, square the nonnegative lower bound </w:t>
      </w:r>
      <m:oMath>
        <m:rad>
          <m:radPr>
            <m:degHide m:val="1"/>
          </m:radPr>
          <m:deg/>
          <m:e>
            <m:r>
              <m:t xml:space="preserve">p</m:t>
            </m:r>
          </m:e>
        </m:rad>
        <m:r>
          <m:t xml:space="preserve">|</m:t>
        </m:r>
        <m:r>
          <m:t xml:space="preserve">a</m:t>
        </m:r>
        <m:r>
          <m:t xml:space="preserve">−</m:t>
        </m:r>
        <m:r>
          <m:t xml:space="preserve">x</m:t>
        </m:r>
        <m:r>
          <m:t xml:space="preserve">|</m:t>
        </m:r>
      </m:oMath>
      <w:r>
        <w:t xml:space="preserve">. Apply the interference triangle inequality and the directional envelope with the remaining orthogonal budget. This gives a pointwise lower bound by the objective in (9). Minimizing proves </w:t>
      </w:r>
      <m:oMath>
        <m:sSub>
          <m:e>
            <m:r>
              <m:t xml:space="preserve">Q</m:t>
            </m:r>
          </m:e>
          <m:sub>
            <m:r>
              <m:t xml:space="preserve">G</m:t>
            </m:r>
          </m:sub>
        </m:sSub>
        <m:r>
          <m:t xml:space="preserve">≤</m:t>
        </m:r>
        <m:sSup>
          <m:e>
            <m:r>
              <m:t xml:space="preserve">q</m:t>
            </m:r>
          </m:e>
          <m:sup>
            <m:r>
              <m:t xml:space="preserve">*</m:t>
            </m:r>
          </m:sup>
        </m:sSup>
      </m:oMath>
      <w:r>
        <w:t xml:space="preserve">. Inequality (7), with </w:t>
      </w:r>
      <m:oMath>
        <m:sSup>
          <m:e>
            <m:r>
              <m:t xml:space="preserve">x</m:t>
            </m:r>
          </m:e>
          <m:sup>
            <m:r>
              <m:t xml:space="preserve">2</m:t>
            </m:r>
          </m:sup>
        </m:sSup>
        <m:r>
          <m:t xml:space="preserve">+</m:t>
        </m:r>
        <m:sSup>
          <m:e>
            <m:r>
              <m:t xml:space="preserve">y</m:t>
            </m:r>
          </m:e>
          <m:sup>
            <m:r>
              <m:t xml:space="preserve">2</m:t>
            </m:r>
          </m:sup>
        </m:sSup>
        <m:r>
          <m:t xml:space="preserve">=</m:t>
        </m:r>
        <m:sSup>
          <m:e>
            <m:r>
              <m:t xml:space="preserve">r</m:t>
            </m:r>
          </m:e>
          <m:sup>
            <m:r>
              <m:t xml:space="preserve">2</m:t>
            </m:r>
          </m:sup>
        </m:sSup>
      </m:oMath>
      <w:r>
        <w:t xml:space="preserve">, makes the objective in (9) no smaller than the old objective, proving </w:t>
      </w:r>
      <m:oMath>
        <m:r>
          <m:t xml:space="preserve">Q</m:t>
        </m:r>
        <m:r>
          <m:t xml:space="preserve">≤</m:t>
        </m:r>
        <m:sSub>
          <m:e>
            <m:r>
              <m:t xml:space="preserve">Q</m:t>
            </m:r>
          </m:e>
          <m:sub>
            <m:r>
              <m:t xml:space="preserve">G</m:t>
            </m:r>
          </m:sub>
        </m:sSub>
      </m:oMath>
      <w:r>
        <w:t>. □</w:t>
      </w:r>
    </w:p>
    <w:p>
      <w:r>
        <w:t>Thus, a positive safe numerical lower bound can accept a candidate. A nonpositive value returns unknown and requires a reference decision if a final classification is needed.</w:t>
      </w:r>
    </w:p>
    <w:p>
      <w:pPr>
        <w:pStyle w:val="Heading2"/>
      </w:pPr>
      <w:r>
        <w:t>4.2 Nondegenerate information class sharpness</w:t>
      </w:r>
    </w:p>
    <w:p>
      <w:r>
        <w:rPr>
          <w:b/>
        </w:rPr>
        <w:t>Theorem 2 — Sharpness away from the degenerate boundary.</w:t>
      </w:r>
      <w:r>
        <w:t xml:space="preserve"> Fix </w:t>
      </w:r>
      <m:oMath>
        <m:r>
          <m:t xml:space="preserve">n</m:t>
        </m:r>
        <m:r>
          <m:t xml:space="preserve">≥</m:t>
        </m:r>
        <m:r>
          <m:t xml:space="preserve">5</m:t>
        </m:r>
      </m:oMath>
      <w:r>
        <w:t xml:space="preserve">, </w:t>
      </w:r>
      <m:oMath>
        <m:r>
          <m:t xml:space="preserve">m</m:t>
        </m:r>
        <m:r>
          <m:t xml:space="preserve">≥</m:t>
        </m:r>
        <m:r>
          <m:t xml:space="preserve">3</m:t>
        </m:r>
      </m:oMath>
      <w:r>
        <w:t xml:space="preserve">, </w:t>
      </w:r>
      <m:oMath>
        <m:r>
          <m:t xml:space="preserve">β</m:t>
        </m:r>
        <m:r>
          <m:t xml:space="preserve">&gt;</m:t>
        </m:r>
        <m:r>
          <m:t xml:space="preserve">0</m:t>
        </m:r>
      </m:oMath>
      <w:r>
        <w:t xml:space="preserve">, </w:t>
      </w:r>
      <m:oMath>
        <m:sSub>
          <m:e>
            <m:r>
              <m:t xml:space="preserve">β</m:t>
            </m:r>
          </m:e>
          <m:sub>
            <m:r>
              <m:t xml:space="preserve">0</m:t>
            </m:r>
          </m:sub>
        </m:sSub>
        <m:r>
          <m:t xml:space="preserve">&gt;</m:t>
        </m:r>
        <m:r>
          <m:t xml:space="preserve">α</m:t>
        </m:r>
        <m:r>
          <m:t xml:space="preserve">≥</m:t>
        </m:r>
        <m:r>
          <m:t xml:space="preserve">0</m:t>
        </m:r>
      </m:oMath>
      <w:r>
        <w:t xml:space="preserve">, </w:t>
      </w:r>
      <m:oMath>
        <m:r>
          <m:t xml:space="preserve">p</m:t>
        </m:r>
        <m:r>
          <m:t xml:space="preserve">&gt;</m:t>
        </m:r>
        <m:r>
          <m:t xml:space="preserve">0</m:t>
        </m:r>
      </m:oMath>
      <w:r>
        <w:t xml:space="preserve">, </w:t>
      </w:r>
      <m:oMath>
        <m:r>
          <m:t xml:space="preserve">γ</m:t>
        </m:r>
        <m:r>
          <m:t xml:space="preserve">&gt;</m:t>
        </m:r>
        <m:r>
          <m:t xml:space="preserve">0</m:t>
        </m:r>
      </m:oMath>
      <w:r>
        <w:t xml:space="preserve">, </w:t>
      </w:r>
      <m:oMath>
        <m:r>
          <m:t xml:space="preserve">r</m:t>
        </m:r>
        <m:r>
          <m:t xml:space="preserve">≥</m:t>
        </m:r>
        <m:r>
          <m:t xml:space="preserve">0</m:t>
        </m:r>
      </m:oMath>
      <w:r>
        <w:t xml:space="preserve">, </w:t>
      </w:r>
      <m:oMath>
        <m:r>
          <m:t xml:space="preserve">a</m:t>
        </m:r>
        <m:r>
          <m:t xml:space="preserve">,</m:t>
        </m:r>
        <m:sSub>
          <m:e>
            <m:r>
              <m:t xml:space="preserve">I</m:t>
            </m:r>
          </m:e>
          <m:sub>
            <m:r>
              <m:t xml:space="preserve">0</m:t>
            </m:r>
          </m:sub>
        </m:sSub>
        <m:r>
          <m:t xml:space="preserve">≥</m:t>
        </m:r>
        <m:r>
          <m:t xml:space="preserve">0</m:t>
        </m:r>
      </m:oMath>
      <w:r>
        <w:t xml:space="preserve"> and compatible spectral summaries. Over the corresponding nonempty information class,</w:t>
      </w:r>
    </w:p>
    <w:p>
      <w:pPr>
        <w:pStyle w:val="Equation"/>
      </w:pPr>
      <m:oMath>
        <m:sSub>
          <m:e>
            <m:r>
              <m:rPr>
                <m:nor/>
              </m:rPr>
              <m:t xml:space="preserve">inf</m:t>
            </m:r>
          </m:e>
          <m:sub>
            <m:d>
              <m:dPr>
                <m:begChr m:val="("/>
                <m:endChr m:val=")"/>
              </m:dPr>
              <m:e>
                <m:r>
                  <m:t xml:space="preserve">b</m:t>
                </m:r>
                <m:r>
                  <m:t xml:space="preserve">,</m:t>
                </m:r>
                <m:r>
                  <m:t xml:space="preserve">h</m:t>
                </m:r>
                <m:r>
                  <m:t xml:space="preserve">̂</m:t>
                </m:r>
                <m:r>
                  <m:t xml:space="preserve">,</m:t>
                </m:r>
                <m:r>
                  <m:t xml:space="preserve">C</m:t>
                </m:r>
              </m:e>
            </m:d>
            <m:r>
              <m:t xml:space="preserve">∈</m:t>
            </m:r>
            <m:sSub>
              <m:e>
                <m:r>
                  <m:t xml:space="preserve">S</m:t>
                </m:r>
              </m:e>
              <m:sub>
                <m:r>
                  <m:t xml:space="preserve">6</m:t>
                </m:r>
              </m:sub>
            </m:sSub>
          </m:sub>
        </m:sSub>
        <m:r>
          <m:t xml:space="preserve"> </m:t>
        </m:r>
        <m:sSup>
          <m:e>
            <m:r>
              <m:t xml:space="preserve">q</m:t>
            </m:r>
          </m:e>
          <m:sup>
            <m:r>
              <m:t xml:space="preserve">*</m:t>
            </m:r>
          </m:sup>
        </m:sSup>
        <m:d>
          <m:dPr>
            <m:begChr m:val="("/>
            <m:endChr m:val=")"/>
          </m:dPr>
          <m:e>
            <m:r>
              <m:t xml:space="preserve">r</m:t>
            </m:r>
          </m:e>
        </m:d>
        <m:r>
          <m:t xml:space="preserve">=</m:t>
        </m:r>
        <m:sSub>
          <m:e>
            <m:r>
              <m:t xml:space="preserve">Q</m:t>
            </m:r>
          </m:e>
          <m:sub>
            <m:r>
              <m:t xml:space="preserve">G</m:t>
            </m:r>
          </m:sub>
        </m:sSub>
        <m:d>
          <m:dPr>
            <m:begChr m:val="("/>
            <m:endChr m:val=")"/>
          </m:dPr>
          <m:e>
            <m:r>
              <m:t xml:space="preserve">r</m:t>
            </m:r>
          </m:e>
        </m:d>
      </m:oMath>
      <w:r>
        <w:tab/>
        <w:t>(12)</w:t>
      </w:r>
    </w:p>
    <w:p>
      <w:r>
        <w:t>The dimensions are sufficient for the construction; no minimal dimension claim is made.</w:t>
      </w:r>
    </w:p>
    <w:p>
      <w:r>
        <w:rPr>
          <w:b/>
        </w:rPr>
        <w:t>Proof for positive alpha and radius.</w:t>
      </w:r>
      <w:r>
        <w:t xml:space="preserve"> First take </w:t>
      </w:r>
      <m:oMath>
        <m:r>
          <m:t xml:space="preserve">α</m:t>
        </m:r>
        <m:r>
          <m:t xml:space="preserve">&gt;</m:t>
        </m:r>
        <m:r>
          <m:t xml:space="preserve">0</m:t>
        </m:r>
      </m:oMath>
      <w:r>
        <w:t xml:space="preserve"> and </w:t>
      </w:r>
      <m:oMath>
        <m:r>
          <m:t xml:space="preserve">r</m:t>
        </m:r>
        <m:r>
          <m:t xml:space="preserve">&gt;</m:t>
        </m:r>
        <m:r>
          <m:t xml:space="preserve">0</m:t>
        </m:r>
      </m:oMath>
      <w:r>
        <w:t xml:space="preserve">. Continuity gives a minimizing </w:t>
      </w:r>
      <m:oMath>
        <m:r>
          <m:t xml:space="preserve">x</m:t>
        </m:r>
        <m:r>
          <m:t xml:space="preserve">∈</m:t>
        </m:r>
        <m:d>
          <m:dPr>
            <m:begChr m:val="["/>
            <m:endChr m:val="]"/>
          </m:dPr>
          <m:e>
            <m:r>
              <m:t xml:space="preserve">0</m:t>
            </m:r>
            <m:r>
              <m:t xml:space="preserve">,</m:t>
            </m:r>
            <m:r>
              <m:t xml:space="preserve">r</m:t>
            </m:r>
          </m:e>
        </m:d>
      </m:oMath>
      <w:r>
        <w:t xml:space="preserve"> in (9); put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If </w:t>
      </w:r>
      <m:oMath>
        <m:r>
          <m:t xml:space="preserve">y</m:t>
        </m:r>
        <m:r>
          <m:t xml:space="preserve">&gt;</m:t>
        </m:r>
        <m:r>
          <m:t xml:space="preserve">0</m:t>
        </m:r>
      </m:oMath>
      <w:r>
        <w:t xml:space="preserve">, let </w:t>
      </w:r>
      <m:oMath>
        <m:r>
          <m:t xml:space="preserve">k</m:t>
        </m:r>
      </m:oMath>
      <w:r>
        <w:t xml:space="preserve"> be the projection of </w:t>
      </w:r>
      <m:oMath>
        <m:r>
          <m:t xml:space="preserve">δ</m:t>
        </m:r>
        <m:r>
          <m:t xml:space="preserve">x</m:t>
        </m:r>
        <m:r>
          <m:t xml:space="preserve">/</m:t>
        </m:r>
        <m:r>
          <m:t xml:space="preserve">y</m:t>
        </m:r>
      </m:oMath>
      <w:r>
        <w:t xml:space="preserve"> onto </w:t>
      </w:r>
      <m:oMath>
        <m:d>
          <m:dPr>
            <m:begChr m:val="["/>
            <m:endChr m:val="]"/>
          </m:dPr>
          <m:e>
            <m:r>
              <m:t xml:space="preserve">ν</m:t>
            </m:r>
            <m:r>
              <m:t xml:space="preserve">,</m:t>
            </m:r>
            <m:r>
              <m:t xml:space="preserve">α</m:t>
            </m:r>
          </m:e>
        </m:d>
      </m:oMath>
      <w:r>
        <w:t xml:space="preserve">. If </w:t>
      </w:r>
      <m:oMath>
        <m:r>
          <m:t xml:space="preserve">y</m:t>
        </m:r>
        <m:r>
          <m:t xml:space="preserve">=</m:t>
        </m:r>
        <m:r>
          <m:t xml:space="preserve">0</m:t>
        </m:r>
      </m:oMath>
      <w:r>
        <w:t xml:space="preserve">, choose </w:t>
      </w:r>
      <m:oMath>
        <m:r>
          <m:t xml:space="preserve">k</m:t>
        </m:r>
        <m:r>
          <m:t xml:space="preserve">=</m:t>
        </m:r>
        <m:r>
          <m:t xml:space="preserve">α</m:t>
        </m:r>
      </m:oMath>
      <w:r>
        <w:t>. In three output coordinates define</w:t>
      </w:r>
    </w:p>
    <w:p>
      <w:pPr>
        <w:pStyle w:val="Equation"/>
      </w:pPr>
      <m:oMath>
        <m:r>
          <m:t xml:space="preserve">d</m:t>
        </m:r>
        <m:r>
          <m:t xml:space="preserve">=</m:t>
        </m:r>
        <m:d>
          <m:dPr>
            <m:begChr m:val="("/>
            <m:endChr m:val=")"/>
          </m:dPr>
          <m:e>
            <m:m>
              <m:mr>
                <m:e>
                  <m:r>
                    <m:t xml:space="preserve">α</m:t>
                  </m:r>
                </m:e>
              </m:mr>
              <m:mr>
                <m:e>
                  <m:r>
                    <m:t xml:space="preserve">0</m:t>
                  </m:r>
                </m:e>
              </m:mr>
              <m:mr>
                <m:e>
                  <m:r>
                    <m:t xml:space="preserve">0</m:t>
                  </m:r>
                </m:e>
              </m:mr>
            </m:m>
          </m:e>
        </m:d>
        <m:r>
          <m:t xml:space="preserve">,</m:t>
        </m:r>
        <m:r>
          <m:t xml:space="preserve"> </m:t>
        </m:r>
        <m:r>
          <m:t xml:space="preserve"> </m:t>
        </m:r>
        <m:r>
          <m:t xml:space="preserve"> </m:t>
        </m:r>
        <m:r>
          <m:t xml:space="preserve">ℓ</m:t>
        </m:r>
        <m:r>
          <m:t xml:space="preserve">=</m:t>
        </m:r>
        <m:d>
          <m:dPr>
            <m:begChr m:val="("/>
            <m:endChr m:val=")"/>
          </m:dPr>
          <m:e>
            <m:m>
              <m:mr>
                <m:e>
                  <m:r>
                    <m:t xml:space="preserve">δ</m:t>
                  </m:r>
                  <m:r>
                    <m:t xml:space="preserve">k</m:t>
                  </m:r>
                  <m:r>
                    <m:t xml:space="preserve">/</m:t>
                  </m:r>
                  <m:r>
                    <m:t xml:space="preserve">α</m:t>
                  </m:r>
                </m:e>
              </m:mr>
              <m:mr>
                <m:e>
                  <m:sSub>
                    <m:e>
                      <m:r>
                        <m:t xml:space="preserve">β</m:t>
                      </m:r>
                    </m:e>
                    <m:sub>
                      <m:r>
                        <m:t xml:space="preserve">0</m:t>
                      </m:r>
                    </m:sub>
                  </m:sSub>
                  <m:rad>
                    <m:radPr>
                      <m:degHide m:val="1"/>
                    </m:radPr>
                    <m:deg/>
                    <m:e>
                      <m:r>
                        <m:t xml:space="preserve">1</m:t>
                      </m:r>
                      <m:r>
                        <m:t xml:space="preserve">−</m:t>
                      </m:r>
                      <m:sSup>
                        <m:e>
                          <m:r>
                            <m:t xml:space="preserve">k</m:t>
                          </m:r>
                        </m:e>
                        <m:sup>
                          <m:r>
                            <m:t xml:space="preserve">2</m:t>
                          </m:r>
                        </m:sup>
                      </m:sSup>
                      <m:r>
                        <m:t xml:space="preserve">/</m:t>
                      </m:r>
                      <m:sSup>
                        <m:e>
                          <m:r>
                            <m:t xml:space="preserve">α</m:t>
                          </m:r>
                        </m:e>
                        <m:sup>
                          <m:r>
                            <m:t xml:space="preserve">2</m:t>
                          </m:r>
                        </m:sup>
                      </m:sSup>
                    </m:e>
                  </m:rad>
                </m:e>
              </m:mr>
              <m:mr>
                <m:e>
                  <m:r>
                    <m:t xml:space="preserve">0</m:t>
                  </m:r>
                </m:e>
              </m:mr>
            </m:m>
          </m:e>
        </m:d>
      </m:oMath>
      <w:r>
        <w:tab/>
        <w:t>(13)</w:t>
      </w:r>
    </w:p>
    <w:p>
      <w:r>
        <w:t xml:space="preserve">These vectors satisfy </w:t>
      </w:r>
      <m:oMath>
        <m:r>
          <m:t xml:space="preserve">∥</m:t>
        </m:r>
        <m:r>
          <m:t xml:space="preserve">d</m:t>
        </m:r>
        <m:r>
          <m:t xml:space="preserve">∥</m:t>
        </m:r>
        <m:r>
          <m:t xml:space="preserve">=</m:t>
        </m:r>
        <m:r>
          <m:t xml:space="preserve">α</m:t>
        </m:r>
      </m:oMath>
      <w:r>
        <w:t xml:space="preserve">, </w:t>
      </w:r>
      <m:oMath>
        <m:r>
          <m:t xml:space="preserve">∥</m:t>
        </m:r>
        <m:r>
          <m:t xml:space="preserve">ℓ</m:t>
        </m:r>
        <m:r>
          <m:t xml:space="preserve">∥</m:t>
        </m:r>
        <m:r>
          <m:t xml:space="preserve">≤</m:t>
        </m:r>
        <m:r>
          <m:t xml:space="preserve">β</m:t>
        </m:r>
      </m:oMath>
      <w:r>
        <w:t xml:space="preserve">, </w:t>
      </w:r>
      <m:oMath>
        <m:sSup>
          <m:e>
            <m:r>
              <m:t xml:space="preserve">d</m:t>
            </m:r>
          </m:e>
          <m:sup>
            <m:r>
              <m:t xml:space="preserve">H</m:t>
            </m:r>
          </m:sup>
        </m:sSup>
        <m:r>
          <m:t xml:space="preserve">ℓ</m:t>
        </m:r>
        <m:r>
          <m:t xml:space="preserve">=</m:t>
        </m:r>
        <m:r>
          <m:t xml:space="preserve">δ</m:t>
        </m:r>
        <m:r>
          <m:t xml:space="preserve">k</m:t>
        </m:r>
      </m:oMath>
      <w:r>
        <w:t xml:space="preserve"> and </w:t>
      </w:r>
      <m:oMath>
        <m:r>
          <m:t xml:space="preserve">∥</m:t>
        </m:r>
        <m:r>
          <m:t xml:space="preserve">x</m:t>
        </m:r>
        <m:r>
          <m:t xml:space="preserve">d</m:t>
        </m:r>
        <m:r>
          <m:t xml:space="preserve">+</m:t>
        </m:r>
        <m:r>
          <m:t xml:space="preserve">y</m:t>
        </m:r>
        <m:r>
          <m:t xml:space="preserve">ℓ</m:t>
        </m:r>
        <m:r>
          <m:t xml:space="preserve">∥</m:t>
        </m:r>
        <m:r>
          <m:t xml:space="preserve">=</m:t>
        </m:r>
        <m:r>
          <m:t xml:space="preserve">R</m:t>
        </m:r>
        <m:d>
          <m:dPr>
            <m:begChr m:val="("/>
            <m:endChr m:val=")"/>
          </m:dPr>
          <m:e>
            <m:r>
              <m:t xml:space="preserve">x</m:t>
            </m:r>
            <m:r>
              <m:t xml:space="preserve">,</m:t>
            </m:r>
            <m:r>
              <m:t xml:space="preserve">y</m:t>
            </m:r>
          </m:e>
        </m:d>
      </m:oMath>
      <w:r>
        <w:t xml:space="preserve">. For </w:t>
      </w:r>
      <m:oMath>
        <m:r>
          <m:t xml:space="preserve">Z</m:t>
        </m:r>
        <m:r>
          <m:t xml:space="preserve">=</m:t>
        </m:r>
        <m:d>
          <m:dPr>
            <m:begChr m:val="["/>
            <m:endChr m:val="]"/>
          </m:dPr>
          <m:e>
            <m:r>
              <m:t xml:space="preserve">d</m:t>
            </m:r>
            <m:r>
              <m:t xml:space="preserve">,</m:t>
            </m:r>
            <m:r>
              <m:t xml:space="preserve">ℓ</m:t>
            </m:r>
          </m:e>
        </m:d>
      </m:oMath>
      <w:r>
        <w:t xml:space="preserve">, the two by two matrix </w:t>
      </w:r>
      <m:oMath>
        <m:sSup>
          <m:e>
            <m:r>
              <m:t xml:space="preserve">Z</m:t>
            </m:r>
          </m:e>
          <m:sup>
            <m:r>
              <m:t xml:space="preserve">H</m:t>
            </m:r>
          </m:sup>
        </m:sSup>
        <m:r>
          <m:t xml:space="preserve">Z</m:t>
        </m:r>
      </m:oMath>
      <w:r>
        <w:t xml:space="preserve"> has largest eigenvalue </w:t>
      </w:r>
      <m:oMath>
        <m:sSup>
          <m:e>
            <m:sSub>
              <m:e>
                <m:r>
                  <m:t xml:space="preserve">β</m:t>
                </m:r>
              </m:e>
              <m:sub>
                <m:r>
                  <m:t xml:space="preserve">0</m:t>
                </m:r>
              </m:sub>
            </m:sSub>
          </m:e>
          <m:sup>
            <m:r>
              <m:t xml:space="preserve">2</m:t>
            </m:r>
          </m:sup>
        </m:sSup>
      </m:oMath>
      <w:r>
        <w:t xml:space="preserve">: the determinant of </w:t>
      </w:r>
      <m:oMath>
        <m:sSup>
          <m:e>
            <m:sSub>
              <m:e>
                <m:r>
                  <m:t xml:space="preserve">β</m:t>
                </m:r>
              </m:e>
              <m:sub>
                <m:r>
                  <m:t xml:space="preserve">0</m:t>
                </m:r>
              </m:sub>
            </m:sSub>
          </m:e>
          <m:sup>
            <m:r>
              <m:t xml:space="preserve">2</m:t>
            </m:r>
          </m:sup>
        </m:sSup>
        <m:r>
          <m:t xml:space="preserve">I</m:t>
        </m:r>
        <m:r>
          <m:t xml:space="preserve">−</m:t>
        </m:r>
        <m:sSup>
          <m:e>
            <m:r>
              <m:t xml:space="preserve">Z</m:t>
            </m:r>
          </m:e>
          <m:sup>
            <m:r>
              <m:t xml:space="preserve">H</m:t>
            </m:r>
          </m:sup>
        </m:sSup>
        <m:r>
          <m:t xml:space="preserve">Z</m:t>
        </m:r>
      </m:oMath>
      <w:r>
        <w:t xml:space="preserve"> is zero, and its diagonal entries are nonnegative. Therefore,</w:t>
      </w:r>
    </w:p>
    <w:p>
      <w:pPr>
        <w:pStyle w:val="Equation"/>
      </w:pPr>
      <m:oMath>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(14)</w:t>
      </w:r>
    </w:p>
    <w:p>
      <w:r>
        <w:t xml:space="preserve">Choose </w:t>
      </w:r>
      <m:oMath>
        <m:r>
          <m:t xml:space="preserve">0</m:t>
        </m:r>
        <m:r>
          <m:t xml:space="preserve">&lt;</m:t>
        </m:r>
        <m:r>
          <m:t xml:space="preserve">ε</m:t>
        </m:r>
        <m:r>
          <m:t xml:space="preserve">&lt;</m:t>
        </m:r>
        <m:r>
          <m:t xml:space="preserve">1</m:t>
        </m:r>
      </m:oMath>
      <w:r>
        <w:t xml:space="preserve"> and put </w:t>
      </w:r>
      <m:oMath>
        <m:sSub>
          <m:e>
            <m:r>
              <m:t xml:space="preserve">ℓ</m:t>
            </m:r>
          </m:e>
          <m:sub>
            <m:r>
              <m:t xml:space="preserve">ε</m:t>
            </m:r>
          </m:sub>
        </m:sSub>
        <m:r>
          <m:t xml:space="preserve">=</m:t>
        </m:r>
        <m:d>
          <m:dPr>
            <m:begChr m:val="("/>
            <m:endChr m:val=")"/>
          </m:dPr>
          <m:e>
            <m:r>
              <m:t xml:space="preserve">1</m:t>
            </m:r>
            <m:r>
              <m:t xml:space="preserve">−</m:t>
            </m:r>
            <m:r>
              <m:t xml:space="preserve">ε</m:t>
            </m:r>
          </m:e>
        </m:d>
        <m:r>
          <m:t xml:space="preserve">ℓ</m:t>
        </m:r>
      </m:oMath>
      <w:r>
        <w:t>. In output space, rank one scaling gives the valid PSD ordering</w:t>
      </w:r>
    </w:p>
    <w:p>
      <w:pPr>
        <w:pStyle w:val="Equation"/>
      </w:pPr>
      <m:oMath>
        <m:r>
          <m:t xml:space="preserve">d</m:t>
        </m:r>
        <m:sSup>
          <m:e>
            <m:r>
              <m:t xml:space="preserve">d</m:t>
            </m:r>
          </m:e>
          <m:sup>
            <m:r>
              <m:t xml:space="preserve">H</m:t>
            </m:r>
          </m:sup>
        </m:sSup>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(15)</w:t>
      </w:r>
    </w:p>
    <w:p>
      <w:r>
        <w:t>No ordering between the original and contracted two by two Gram matrices is required. In fact, their difference generally has a negative determinant when the cross term is nonzero.</w:t>
      </w:r>
    </w:p>
    <w:p>
      <w:r>
        <w:t xml:space="preserve">Let </w:t>
      </w:r>
      <m:oMath>
        <m:sSub>
          <m:e>
            <m:r>
              <m:t xml:space="preserve">d</m:t>
            </m:r>
          </m:e>
          <m:sub>
            <m:r>
              <m:t xml:space="preserve">2</m:t>
            </m:r>
          </m:sub>
        </m:sSub>
        <m:r>
          <m:t xml:space="preserve">,</m:t>
        </m:r>
        <m:sSub>
          <m:e>
            <m:r>
              <m:t xml:space="preserve">ℓ</m:t>
            </m:r>
          </m:e>
          <m:sub>
            <m:r>
              <m:t xml:space="preserve">ε</m:t>
            </m:r>
            <m:r>
              <m:t xml:space="preserve">,</m:t>
            </m:r>
            <m:r>
              <m:t xml:space="preserve">2</m:t>
            </m:r>
          </m:sub>
        </m:sSub>
      </m:oMath>
      <w:r>
        <w:t xml:space="preserve"> be the first two coordinates, and define a planar interpolant</w:t>
      </w:r>
    </w:p>
    <w:p>
      <w:pPr>
        <w:pStyle w:val="Equation"/>
      </w:pPr>
      <m:oMath>
        <m:r>
          <m:t xml:space="preserve">S</m:t>
        </m:r>
        <m:d>
          <m:dPr>
            <m:begChr m:val="("/>
            <m:endChr m:val=")"/>
          </m:dPr>
          <m:e>
            <m:r>
              <m:t xml:space="preserve">t</m:t>
            </m:r>
          </m:e>
        </m:d>
        <m:r>
          <m:t xml:space="preserve">=</m:t>
        </m:r>
        <m:sSub>
          <m:e>
            <m:r>
              <m:t xml:space="preserve">d</m:t>
            </m:r>
          </m:e>
          <m:sub>
            <m:r>
              <m:t xml:space="preserve">2</m:t>
            </m:r>
          </m:sub>
        </m:sSub>
        <m:sSup>
          <m:e>
            <m:sSub>
              <m:e>
                <m:r>
                  <m:t xml:space="preserve">d</m:t>
                </m:r>
              </m:e>
              <m:sub>
                <m:r>
                  <m:t xml:space="preserve">2</m:t>
                </m:r>
              </m:sub>
            </m:sSub>
          </m:e>
          <m:sup>
            <m:r>
              <m:t xml:space="preserve">H</m:t>
            </m:r>
          </m:sup>
        </m:sSup>
        <m:r>
          <m:t xml:space="preserve">+</m:t>
        </m:r>
        <m:d>
          <m:dPr>
            <m:begChr m:val="("/>
            <m:endChr m:val=")"/>
          </m:dPr>
          <m:e>
            <m:r>
              <m:t xml:space="preserve">1</m:t>
            </m:r>
            <m:r>
              <m:t xml:space="preserve">−</m:t>
            </m:r>
            <m:r>
              <m:t xml:space="preserve">t</m:t>
            </m:r>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r>
          <m:t xml:space="preserve">t</m:t>
        </m:r>
        <m:sSup>
          <m:e>
            <m:r>
              <m:t xml:space="preserve">β</m:t>
            </m:r>
          </m:e>
          <m:sup>
            <m:r>
              <m:t xml:space="preserve">2</m:t>
            </m:r>
          </m:sup>
        </m:sSup>
        <m:sSub>
          <m:e>
            <m:r>
              <m:t xml:space="preserve">I</m:t>
            </m:r>
          </m:e>
          <m:sub>
            <m:r>
              <m:t xml:space="preserve">2</m:t>
            </m:r>
          </m:sub>
        </m:sSub>
      </m:oMath>
      <w:r>
        <w:tab/>
        <w:t>(16)</w:t>
      </w:r>
    </w:p>
    <w:p>
      <w:r>
        <w:t xml:space="preserve">We claim that </w:t>
      </w:r>
      <m:oMath>
        <m:sSub>
          <m:e>
            <m:r>
              <m:t xml:space="preserve">λ</m:t>
            </m:r>
          </m:e>
          <m:sub>
            <m:r>
              <m:rPr>
                <m:nor/>
              </m:rPr>
              <m:t xml:space="preserve">max</m:t>
            </m:r>
          </m:sub>
        </m:sSub>
        <m:d>
          <m:dPr>
            <m:begChr m:val="("/>
            <m:endChr m:val=")"/>
          </m:dPr>
          <m:e>
            <m:r>
              <m:t xml:space="preserve">S</m:t>
            </m:r>
            <m:d>
              <m:dPr>
                <m:begChr m:val="("/>
                <m:endChr m:val=")"/>
              </m:dPr>
              <m:e>
                <m:r>
                  <m:t xml:space="preserve">0</m:t>
                </m:r>
              </m:e>
            </m:d>
          </m:e>
        </m:d>
        <m:r>
          <m:t xml:space="preserve">&lt;</m:t>
        </m:r>
        <m:sSup>
          <m:e>
            <m:sSub>
              <m:e>
                <m:r>
                  <m:t xml:space="preserve">β</m:t>
                </m:r>
              </m:e>
              <m:sub>
                <m:r>
                  <m:t xml:space="preserve">0</m:t>
                </m:r>
              </m:sub>
            </m:sSub>
          </m:e>
          <m:sup>
            <m:r>
              <m:t xml:space="preserve">2</m:t>
            </m:r>
          </m:sup>
        </m:sSup>
      </m:oMath>
      <w:r>
        <w:t xml:space="preserve">. Otherwise a unit vector attaining </w:t>
      </w:r>
      <m:oMath>
        <m:sSup>
          <m:e>
            <m:sSub>
              <m:e>
                <m:r>
                  <m:t xml:space="preserve">β</m:t>
                </m:r>
              </m:e>
              <m:sub>
                <m:r>
                  <m:t xml:space="preserve">0</m:t>
                </m:r>
              </m:sub>
            </m:sSub>
          </m:e>
          <m:sup>
            <m:r>
              <m:t xml:space="preserve">2</m:t>
            </m:r>
          </m:sup>
        </m:sSup>
      </m:oMath>
      <w:r>
        <w:t xml:space="preserve"> for </w:t>
      </w:r>
      <m:oMath>
        <m:r>
          <m:t xml:space="preserve">S</m:t>
        </m:r>
        <m:d>
          <m:dPr>
            <m:begChr m:val="("/>
            <m:endChr m:val=")"/>
          </m:dPr>
          <m:e>
            <m:r>
              <m:t xml:space="preserve">0</m:t>
            </m:r>
          </m:e>
        </m:d>
      </m:oMath>
      <w:r>
        <w:t xml:space="preserve"> also attains equality in (14). Since the removed PSD term is </w:t>
      </w:r>
      <m:oMath>
        <m:d>
          <m:dPr>
            <m:begChr m:val="("/>
            <m:endChr m:val=")"/>
          </m:dPr>
          <m:e>
            <m:r>
              <m:t xml:space="preserve">2</m:t>
            </m:r>
            <m:r>
              <m:t xml:space="preserve">ε</m:t>
            </m:r>
            <m:r>
              <m:t xml:space="preserve">−</m:t>
            </m:r>
            <m:sSup>
              <m:e>
                <m:r>
                  <m:t xml:space="preserve">ε</m:t>
                </m:r>
              </m:e>
              <m:sup>
                <m:r>
                  <m:t xml:space="preserve">2</m:t>
                </m:r>
              </m:sup>
            </m:sSup>
          </m:e>
        </m:d>
        <m:sSub>
          <m:e>
            <m:r>
              <m:t xml:space="preserve">ℓ</m:t>
            </m:r>
          </m:e>
          <m:sub>
            <m:r>
              <m:t xml:space="preserve">2</m:t>
            </m:r>
          </m:sub>
        </m:sSub>
        <m:sSup>
          <m:e>
            <m:sSub>
              <m:e>
                <m:r>
                  <m:t xml:space="preserve">ℓ</m:t>
                </m:r>
              </m:e>
              <m:sub>
                <m:r>
                  <m:t xml:space="preserve">2</m:t>
                </m:r>
              </m:sub>
            </m:sSub>
          </m:e>
          <m:sup>
            <m:r>
              <m:t xml:space="preserve">H</m:t>
            </m:r>
          </m:sup>
        </m:sSup>
      </m:oMath>
      <w:r>
        <w:t xml:space="preserve">, that vector is orthogonal to </w:t>
      </w:r>
      <m:oMath>
        <m:sSub>
          <m:e>
            <m:r>
              <m:t xml:space="preserve">ℓ</m:t>
            </m:r>
          </m:e>
          <m:sub>
            <m:r>
              <m:t xml:space="preserve">2</m:t>
            </m:r>
          </m:sub>
        </m:sSub>
      </m:oMath>
      <w:r>
        <w:t xml:space="preserve">. Its eigenvalue for </w:t>
      </w:r>
      <m:oMath>
        <m:r>
          <m:t xml:space="preserve">S</m:t>
        </m:r>
        <m:d>
          <m:dPr>
            <m:begChr m:val="("/>
            <m:endChr m:val=")"/>
          </m:dPr>
          <m:e>
            <m:r>
              <m:t xml:space="preserve">0</m:t>
            </m:r>
          </m:e>
        </m:d>
      </m:oMath>
      <w:r>
        <w:t xml:space="preserve"> must then come entirely from </w:t>
      </w:r>
      <m:oMath>
        <m:sSub>
          <m:e>
            <m:r>
              <m:t xml:space="preserve">d</m:t>
            </m:r>
          </m:e>
          <m:sub>
            <m:r>
              <m:t xml:space="preserve">2</m:t>
            </m:r>
          </m:sub>
        </m:sSub>
        <m:sSup>
          <m:e>
            <m:sSub>
              <m:e>
                <m:r>
                  <m:t xml:space="preserve">d</m:t>
                </m:r>
              </m:e>
              <m:sub>
                <m:r>
                  <m:t xml:space="preserve">2</m:t>
                </m:r>
              </m:sub>
            </m:sSub>
          </m:e>
          <m:sup>
            <m:r>
              <m:t xml:space="preserve">H</m:t>
            </m:r>
          </m:sup>
        </m:sSup>
      </m:oMath>
      <w:r>
        <w:t xml:space="preserve">, which is at most </w:t>
      </w:r>
      <m:oMath>
        <m:sSup>
          <m:e>
            <m:r>
              <m:t xml:space="preserve">α</m:t>
            </m:r>
          </m:e>
          <m:sup>
            <m:r>
              <m:t xml:space="preserve">2</m:t>
            </m:r>
          </m:sup>
        </m:sSup>
        <m:r>
          <m:t xml:space="preserve">&lt;</m:t>
        </m:r>
        <m:sSup>
          <m:e>
            <m:sSub>
              <m:e>
                <m:r>
                  <m:t xml:space="preserve">β</m:t>
                </m:r>
              </m:e>
              <m:sub>
                <m:r>
                  <m:t xml:space="preserve">0</m:t>
                </m:r>
              </m:sub>
            </m:sSub>
          </m:e>
          <m:sup>
            <m:r>
              <m:t xml:space="preserve">2</m:t>
            </m:r>
          </m:sup>
        </m:sSup>
      </m:oMath>
      <w:r>
        <w:t xml:space="preserve">, a contradiction. At the other endpoint, </w:t>
      </w:r>
      <m:oMath>
        <m:sSub>
          <m:e>
            <m:r>
              <m:t xml:space="preserve">λ</m:t>
            </m:r>
          </m:e>
          <m:sub>
            <m:r>
              <m:rPr>
                <m:nor/>
              </m:rPr>
              <m:t xml:space="preserve">max</m:t>
            </m:r>
          </m:sub>
        </m:sSub>
        <m:d>
          <m:dPr>
            <m:begChr m:val="("/>
            <m:endChr m:val=")"/>
          </m:dPr>
          <m:e>
            <m:r>
              <m:t xml:space="preserve">S</m:t>
            </m:r>
            <m:d>
              <m:dPr>
                <m:begChr m:val="("/>
                <m:endChr m:val=")"/>
              </m:dPr>
              <m:e>
                <m:r>
                  <m:t xml:space="preserve">1</m:t>
                </m:r>
              </m:e>
            </m:d>
          </m:e>
        </m:d>
        <m:r>
          <m:t xml:space="preserve">=</m:t>
        </m:r>
        <m:sSup>
          <m:e>
            <m:r>
              <m:t xml:space="preserve">α</m:t>
            </m:r>
          </m:e>
          <m:sup>
            <m:r>
              <m:t xml:space="preserve">2</m:t>
            </m:r>
          </m:sup>
        </m:sSup>
        <m:r>
          <m:t xml:space="preserve">+</m:t>
        </m:r>
        <m:sSup>
          <m:e>
            <m:r>
              <m:t xml:space="preserve">β</m:t>
            </m:r>
          </m:e>
          <m:sup>
            <m:r>
              <m:t xml:space="preserve">2</m:t>
            </m:r>
          </m:sup>
        </m:sSup>
        <m:r>
          <m:t xml:space="preserve">≥</m:t>
        </m:r>
        <m:sSup>
          <m:e>
            <m:sSub>
              <m:e>
                <m:r>
                  <m:t xml:space="preserve">β</m:t>
                </m:r>
              </m:e>
              <m:sub>
                <m:r>
                  <m:t xml:space="preserve">0</m:t>
                </m:r>
              </m:sub>
            </m:sSub>
          </m:e>
          <m:sup>
            <m:r>
              <m:t xml:space="preserve">2</m:t>
            </m:r>
          </m:sup>
        </m:sSup>
      </m:oMath>
      <w:r>
        <w:t xml:space="preserve">. Continuity therefore gives a </w:t>
      </w:r>
      <m:oMath>
        <m:sSub>
          <m:e>
            <m:r>
              <m:t xml:space="preserve">t</m:t>
            </m:r>
          </m:e>
          <m:sub>
            <m:r>
              <m:t xml:space="preserve">ε</m:t>
            </m:r>
          </m:sub>
        </m:sSub>
        <m:r>
          <m:t xml:space="preserve">∈</m:t>
        </m:r>
        <m:d>
          <m:dPr>
            <m:begChr m:val="("/>
            <m:endChr m:val="]"/>
          </m:dPr>
          <m:e>
            <m:r>
              <m:t xml:space="preserve">0</m:t>
            </m:r>
            <m:r>
              <m:t xml:space="preserve">,</m:t>
            </m:r>
            <m:r>
              <m:t xml:space="preserve">1</m:t>
            </m:r>
          </m:e>
        </m:d>
      </m:oMath>
      <w:r>
        <w:t xml:space="preserve"> for which </w:t>
      </w:r>
      <m:oMath>
        <m:sSub>
          <m:e>
            <m:r>
              <m:t xml:space="preserve">λ</m:t>
            </m:r>
          </m:e>
          <m:sub>
            <m:r>
              <m:rPr>
                <m:nor/>
              </m:rPr>
              <m:t xml:space="preserve">max</m:t>
            </m:r>
          </m:sub>
        </m:sSub>
        <m:d>
          <m:dPr>
            <m:begChr m:val="("/>
            <m:endChr m:val=")"/>
          </m:dPr>
          <m:e>
            <m:r>
              <m:t xml:space="preserve">S</m:t>
            </m:r>
            <m:d>
              <m:dPr>
                <m:begChr m:val="("/>
                <m:endChr m:val=")"/>
              </m:dPr>
              <m:e>
                <m:sSub>
                  <m:e>
                    <m:r>
                      <m:t xml:space="preserve">t</m:t>
                    </m:r>
                  </m:e>
                  <m:sub>
                    <m:r>
                      <m:t xml:space="preserve">ε</m:t>
                    </m:r>
                  </m:sub>
                </m:sSub>
              </m:e>
            </m:d>
          </m:e>
        </m:d>
        <m:r>
          <m:t xml:space="preserve">=</m:t>
        </m:r>
        <m:sSup>
          <m:e>
            <m:sSub>
              <m:e>
                <m:r>
                  <m:t xml:space="preserve">β</m:t>
                </m:r>
              </m:e>
              <m:sub>
                <m:r>
                  <m:t xml:space="preserve">0</m:t>
                </m:r>
              </m:sub>
            </m:sSub>
          </m:e>
          <m:sup>
            <m:r>
              <m:t xml:space="preserve">2</m:t>
            </m:r>
          </m:sup>
        </m:sSup>
      </m:oMath>
      <w:r>
        <w:t xml:space="preserve">. An explicit root or uniqueness is not needed. Using the planar eigenvalue is essential when </w:t>
      </w:r>
      <m:oMath>
        <m:r>
          <m:t xml:space="preserve">β</m:t>
        </m:r>
        <m:r>
          <m:t xml:space="preserve">=</m:t>
        </m:r>
        <m:sSub>
          <m:e>
            <m:r>
              <m:t xml:space="preserve">β</m:t>
            </m:r>
          </m:e>
          <m:sub>
            <m:r>
              <m:t xml:space="preserve">0</m:t>
            </m:r>
          </m:sub>
        </m:sSub>
      </m:oMath>
      <w:r>
        <w:t xml:space="preserve">: an auxiliary third direction could otherwise make the full maximum eigenvalue constant over an initial interval of </w:t>
      </w:r>
      <m:oMath>
        <m:r>
          <m:t xml:space="preserve">t</m:t>
        </m:r>
      </m:oMath>
      <w:r>
        <w:t>.</w:t>
      </w:r>
    </w:p>
    <w:p>
      <w:r>
        <w:t>Complete the orthogonal operator through</w:t>
      </w:r>
    </w:p>
    <w:p>
      <w:pPr>
        <w:pStyle w:val="Equation"/>
      </w:pPr>
      <m:oMath>
        <m:sSub>
          <m:e>
            <m:r>
              <m:t xml:space="preserve">T</m:t>
            </m:r>
          </m:e>
          <m:sub>
            <m:r>
              <m:t xml:space="preserve">ε</m:t>
            </m:r>
          </m:sub>
        </m:sSub>
        <m:r>
          <m:t xml:space="preserve">=</m:t>
        </m:r>
        <m:r>
          <m:rPr>
            <m:nor/>
          </m:rPr>
          <m:t xml:space="preserve">diag</m:t>
        </m:r>
        <m:d>
          <m:dPr>
            <m:begChr m:val="("/>
            <m:endChr m:val=")"/>
          </m:dPr>
          <m:e>
            <m:d>
              <m:dPr>
                <m:begChr m:val="("/>
                <m:endChr m:val=")"/>
              </m:dPr>
              <m:e>
                <m:r>
                  <m:t xml:space="preserve">1</m:t>
                </m:r>
                <m:r>
                  <m:t xml:space="preserve">−</m:t>
                </m:r>
                <m:sSub>
                  <m:e>
                    <m:r>
                      <m:t xml:space="preserve">t</m:t>
                    </m:r>
                  </m:e>
                  <m:sub>
                    <m:r>
                      <m:t xml:space="preserve">ε</m:t>
                    </m:r>
                  </m:sub>
                </m:sSub>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sSub>
              <m:e>
                <m:r>
                  <m:t xml:space="preserve">t</m:t>
                </m:r>
              </m:e>
              <m:sub>
                <m:r>
                  <m:t xml:space="preserve">ε</m:t>
                </m:r>
              </m:sub>
            </m:sSub>
            <m:sSup>
              <m:e>
                <m:r>
                  <m:t xml:space="preserve">β</m:t>
                </m:r>
              </m:e>
              <m:sup>
                <m:r>
                  <m:t xml:space="preserve">2</m:t>
                </m:r>
              </m:sup>
            </m:sSup>
            <m:sSub>
              <m:e>
                <m:r>
                  <m:t xml:space="preserve">I</m:t>
                </m:r>
              </m:e>
              <m:sub>
                <m:r>
                  <m:t xml:space="preserve">2</m:t>
                </m:r>
              </m:sub>
            </m:sSub>
            <m:r>
              <m:t xml:space="preserve">,</m:t>
            </m:r>
            <m:r>
              <m:t xml:space="preserve"> </m:t>
            </m:r>
            <m:sSup>
              <m:e>
                <m:r>
                  <m:t xml:space="preserve">β</m:t>
                </m:r>
              </m:e>
              <m:sup>
                <m:r>
                  <m:t xml:space="preserve">2</m:t>
                </m:r>
              </m:sup>
            </m:sSup>
          </m:e>
        </m:d>
      </m:oMath>
      <w:r>
        <w:tab/>
        <w:t>(17)</w:t>
      </w:r>
    </w:p>
    <w:p>
      <w:r>
        <w:t xml:space="preserve">The planar block is bounded by </w:t>
      </w:r>
      <m:oMath>
        <m:sSup>
          <m:e>
            <m:r>
              <m:t xml:space="preserve">β</m:t>
            </m:r>
          </m:e>
          <m:sup>
            <m:r>
              <m:t xml:space="preserve">2</m:t>
            </m:r>
          </m:sup>
        </m:sSup>
        <m:sSub>
          <m:e>
            <m:r>
              <m:t xml:space="preserve">I</m:t>
            </m:r>
          </m:e>
          <m:sub>
            <m:r>
              <m:t xml:space="preserve">2</m:t>
            </m:r>
          </m:sub>
        </m:sSub>
      </m:oMath>
      <w:r>
        <w:t xml:space="preserve">, and the third direction equals </w:t>
      </w:r>
      <m:oMath>
        <m:sSup>
          <m:e>
            <m:r>
              <m:t xml:space="preserve">β</m:t>
            </m:r>
          </m:e>
          <m:sup>
            <m:r>
              <m:t xml:space="preserve">2</m:t>
            </m:r>
          </m:sup>
        </m:sSup>
      </m:oMath>
      <w:r>
        <w:t xml:space="preserve">. Hence </w:t>
      </w:r>
      <m:oMath>
        <m:r>
          <m:t xml:space="preserve">∥</m:t>
        </m:r>
        <m:sSub>
          <m:e>
            <m:r>
              <m:t xml:space="preserve">T</m:t>
            </m:r>
          </m:e>
          <m:sub>
            <m:r>
              <m:t xml:space="preserve">ε</m:t>
            </m:r>
          </m:sub>
        </m:sSub>
        <m:sSub>
          <m:e>
            <m:r>
              <m:t xml:space="preserve">∥</m:t>
            </m:r>
          </m:e>
          <m:sub>
            <m:r>
              <m:t xml:space="preserve">2</m:t>
            </m:r>
          </m:sub>
        </m:sSub>
        <m:r>
          <m:t xml:space="preserve">=</m:t>
        </m:r>
        <m:sSup>
          <m:e>
            <m:r>
              <m:t xml:space="preserve">β</m:t>
            </m:r>
          </m:e>
          <m:sup>
            <m:r>
              <m:t xml:space="preserve">2</m:t>
            </m:r>
          </m:sup>
        </m:sSup>
      </m:oMath>
      <w:r>
        <w:t xml:space="preserve"> and </w:t>
      </w:r>
      <m:oMath>
        <m:r>
          <m:t xml:space="preserve">∥</m:t>
        </m:r>
        <m:r>
          <m:t xml:space="preserve">d</m:t>
        </m:r>
        <m:sSup>
          <m:e>
            <m:r>
              <m:t xml:space="preserve">d</m:t>
            </m:r>
          </m:e>
          <m:sup>
            <m:r>
              <m:t xml:space="preserve">H</m:t>
            </m:r>
          </m:sup>
        </m:sSup>
        <m:r>
          <m:t xml:space="preserve">+</m:t>
        </m:r>
        <m:sSub>
          <m:e>
            <m:r>
              <m:t xml:space="preserve">T</m:t>
            </m:r>
          </m:e>
          <m:sub>
            <m:r>
              <m:t xml:space="preserve">ε</m:t>
            </m:r>
          </m:sub>
        </m:sSub>
        <m:sSub>
          <m:e>
            <m:r>
              <m:t xml:space="preserve">∥</m:t>
            </m:r>
          </m:e>
          <m:sub>
            <m:r>
              <m:t xml:space="preserve">2</m:t>
            </m:r>
          </m:sub>
        </m:sSub>
        <m:r>
          <m:t xml:space="preserve">=</m:t>
        </m:r>
        <m:sSup>
          <m:e>
            <m:sSub>
              <m:e>
                <m:r>
                  <m:t xml:space="preserve">β</m:t>
                </m:r>
              </m:e>
              <m:sub>
                <m:r>
                  <m:t xml:space="preserve">0</m:t>
                </m:r>
              </m:sub>
            </m:sSub>
          </m:e>
          <m:sup>
            <m:r>
              <m:t xml:space="preserve">2</m:t>
            </m:r>
          </m:sup>
        </m:sSup>
      </m:oMath>
      <w:r>
        <w:t>. Moreover,</w:t>
      </w:r>
    </w:p>
    <w:p>
      <w:pPr>
        <w:pStyle w:val="Equation"/>
      </w:pPr>
      <m:oMath>
        <m:sSub>
          <m:e>
            <m:r>
              <m:t xml:space="preserve">M</m:t>
            </m:r>
          </m:e>
          <m:sub>
            <m:r>
              <m:t xml:space="preserve">ε</m:t>
            </m:r>
          </m:sub>
        </m:sSub>
        <m:r>
          <m:t xml:space="preserve">=</m:t>
        </m:r>
        <m:sSub>
          <m:e>
            <m:r>
              <m:t xml:space="preserve">T</m:t>
            </m:r>
          </m:e>
          <m:sub>
            <m:r>
              <m:t xml:space="preserve">ε</m:t>
            </m:r>
          </m:sub>
        </m:sSub>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rPr>
            <m:nor/>
          </m:rPr>
          <m:t xml:space="preserve">diag</m:t>
        </m:r>
        <m:d>
          <m:dPr>
            <m:begChr m:val="("/>
            <m:endChr m:val=")"/>
          </m:dPr>
          <m:e>
            <m:sSub>
              <m:e>
                <m:r>
                  <m:t xml:space="preserve">t</m:t>
                </m:r>
              </m:e>
              <m:sub>
                <m:r>
                  <m:t xml:space="preserve">ε</m:t>
                </m:r>
              </m:sub>
            </m:sSub>
            <m:d>
              <m:dPr>
                <m:begChr m:val="("/>
                <m:endChr m:val=")"/>
              </m:dPr>
              <m:e>
                <m:sSup>
                  <m:e>
                    <m:r>
                      <m:t xml:space="preserve">β</m:t>
                    </m:r>
                  </m:e>
                  <m:sup>
                    <m:r>
                      <m:t xml:space="preserve">2</m:t>
                    </m:r>
                  </m:sup>
                </m:sSup>
                <m:sSub>
                  <m:e>
                    <m:r>
                      <m:t xml:space="preserve">I</m:t>
                    </m:r>
                  </m:e>
                  <m:sub>
                    <m:r>
                      <m:t xml:space="preserve">2</m:t>
                    </m:r>
                  </m:sub>
                </m:sSub>
                <m:r>
                  <m:t xml:space="preserve">−</m:t>
                </m:r>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e>
            </m:d>
            <m:r>
              <m:t xml:space="preserve">,</m:t>
            </m:r>
            <m:sSup>
              <m:e>
                <m:r>
                  <m:t xml:space="preserve">β</m:t>
                </m:r>
              </m:e>
              <m:sup>
                <m:r>
                  <m:t xml:space="preserve">2</m:t>
                </m:r>
              </m:sup>
            </m:sSup>
          </m:e>
        </m:d>
        <m:r>
          <m:t xml:space="preserve">≻</m:t>
        </m:r>
        <m:r>
          <m:t xml:space="preserve">0</m:t>
        </m:r>
      </m:oMath>
      <w:r>
        <w:tab/>
        <w:t>(18)</w:t>
      </w:r>
    </w:p>
    <w:p>
      <w:r>
        <w:t xml:space="preserve">Positive definiteness follows from </w:t>
      </w:r>
      <m:oMath>
        <m:sSub>
          <m:e>
            <m:r>
              <m:t xml:space="preserve">t</m:t>
            </m:r>
          </m:e>
          <m:sub>
            <m:r>
              <m:t xml:space="preserve">ε</m:t>
            </m:r>
          </m:sub>
        </m:sSub>
        <m:r>
          <m:t xml:space="preserve">&gt;</m:t>
        </m:r>
        <m:r>
          <m:t xml:space="preserve">0</m:t>
        </m:r>
      </m:oMath>
      <w:r>
        <w:t xml:space="preserve">, </w:t>
      </w:r>
      <m:oMath>
        <m:r>
          <m:t xml:space="preserve">β</m:t>
        </m:r>
        <m:r>
          <m:t xml:space="preserve">&gt;</m:t>
        </m:r>
        <m:r>
          <m:t xml:space="preserve">0</m:t>
        </m:r>
      </m:oMath>
      <w:r>
        <w:t xml:space="preserve"> and </w:t>
      </w:r>
      <m:oMath>
        <m:r>
          <m:t xml:space="preserve">∥</m:t>
        </m:r>
        <m:sSub>
          <m:e>
            <m:r>
              <m:t xml:space="preserve">ℓ</m:t>
            </m:r>
          </m:e>
          <m:sub>
            <m:r>
              <m:t xml:space="preserve">ε</m:t>
            </m:r>
          </m:sub>
        </m:sSub>
        <m:r>
          <m:t xml:space="preserve">∥</m:t>
        </m:r>
        <m:r>
          <m:t xml:space="preserve">&lt;</m:t>
        </m:r>
        <m:r>
          <m:t xml:space="preserve">β</m:t>
        </m:r>
      </m:oMath>
      <w:r>
        <w:t xml:space="preserve">. Let </w:t>
      </w:r>
      <m:oMath>
        <m:sSub>
          <m:e>
            <m:r>
              <m:t xml:space="preserve">K</m:t>
            </m:r>
          </m:e>
          <m:sub>
            <m:r>
              <m:t xml:space="preserve">ε</m:t>
            </m:r>
          </m:sub>
        </m:sSub>
        <m:r>
          <m:t xml:space="preserve">=</m:t>
        </m:r>
        <m:sSup>
          <m:e>
            <m:sSub>
              <m:e>
                <m:r>
                  <m:t xml:space="preserve">M</m:t>
                </m:r>
              </m:e>
              <m:sub>
                <m:r>
                  <m:t xml:space="preserve">ε</m:t>
                </m:r>
              </m:sub>
            </m:sSub>
          </m:e>
          <m:sup>
            <m:r>
              <m:t xml:space="preserve">1</m:t>
            </m:r>
            <m:r>
              <m:t xml:space="preserve">/</m:t>
            </m:r>
            <m:r>
              <m:t xml:space="preserve">2</m:t>
            </m:r>
          </m:sup>
        </m:sSup>
      </m:oMath>
      <w:r>
        <w:t>, which is invertible, and set</w:t>
      </w:r>
    </w:p>
    <w:p>
      <w:pPr>
        <w:pStyle w:val="Equation"/>
      </w:pPr>
      <m:oMath>
        <m:sSub>
          <m:e>
            <m:r>
              <m:t xml:space="preserve">B</m:t>
            </m:r>
          </m:e>
          <m:sub>
            <m:r>
              <m:t xml:space="preserve">ε</m:t>
            </m:r>
          </m:sub>
        </m:sSub>
        <m:r>
          <m:t xml:space="preserve">=</m:t>
        </m:r>
        <m:d>
          <m:dPr>
            <m:begChr m:val="["/>
            <m:endChr m:val="]"/>
          </m:dPr>
          <m:e>
            <m:sSub>
              <m:e>
                <m:r>
                  <m:t xml:space="preserve">ℓ</m:t>
                </m:r>
              </m:e>
              <m:sub>
                <m:r>
                  <m:t xml:space="preserve">ε</m:t>
                </m:r>
              </m:sub>
            </m:sSub>
            <m:r>
              <m:t xml:space="preserve">,</m:t>
            </m:r>
            <m:sSub>
              <m:e>
                <m:r>
                  <m:t xml:space="preserve">K</m:t>
                </m:r>
              </m:e>
              <m:sub>
                <m:r>
                  <m:t xml:space="preserve">ε</m:t>
                </m:r>
              </m:sub>
            </m:sSub>
          </m:e>
        </m:d>
        <m:r>
          <m:t xml:space="preserve">,</m:t>
        </m:r>
        <m:r>
          <m:t xml:space="preserve"> </m:t>
        </m:r>
        <m:r>
          <m:t xml:space="preserve"> </m:t>
        </m:r>
        <m:r>
          <m:t xml:space="preserve"> </m:t>
        </m:r>
        <m:sSup>
          <m:e>
            <m:sSub>
              <m:e>
                <m:r>
                  <m:t xml:space="preserve">C</m:t>
                </m:r>
              </m:e>
              <m:sub>
                <m:r>
                  <m:t xml:space="preserve">ε</m:t>
                </m:r>
              </m:sub>
            </m:sSub>
          </m:e>
          <m:sup>
            <m:r>
              <m:t xml:space="preserve">H</m:t>
            </m:r>
          </m:sup>
        </m:sSup>
        <m:r>
          <m:t xml:space="preserve">=</m:t>
        </m:r>
        <m:d>
          <m:dPr>
            <m:begChr m:val="["/>
            <m:endChr m:val="]"/>
          </m:dPr>
          <m:e>
            <m:r>
              <m:t xml:space="preserve">d</m:t>
            </m:r>
            <m:r>
              <m:t xml:space="preserve">,</m:t>
            </m:r>
            <m:sSub>
              <m:e>
                <m:r>
                  <m:t xml:space="preserve">B</m:t>
                </m:r>
              </m:e>
              <m:sub>
                <m:r>
                  <m:t xml:space="preserve">ε</m:t>
                </m:r>
              </m:sub>
            </m:sSub>
          </m:e>
        </m:d>
      </m:oMath>
      <w:r>
        <w:tab/>
        <w:t>(19)</w:t>
      </w:r>
    </w:p>
    <w:p>
      <w:r>
        <w:t xml:space="preserve">Here </w:t>
      </w:r>
      <m:oMath>
        <m:sSub>
          <m:e>
            <m:r>
              <m:t xml:space="preserve">B</m:t>
            </m:r>
          </m:e>
          <m:sub>
            <m:r>
              <m:t xml:space="preserve">ε</m:t>
            </m:r>
          </m:sub>
        </m:sSub>
      </m:oMath>
      <w:r>
        <w:t xml:space="preserve"> has three rows and four columns and full row rank, while </w:t>
      </w:r>
      <m:oMath>
        <m:sSup>
          <m:e>
            <m:sSub>
              <m:e>
                <m:r>
                  <m:t xml:space="preserve">C</m:t>
                </m:r>
              </m:e>
              <m:sub>
                <m:r>
                  <m:t xml:space="preserve">ε</m:t>
                </m:r>
              </m:sub>
            </m:sSub>
          </m:e>
          <m:sup>
            <m:r>
              <m:t xml:space="preserve">H</m:t>
            </m:r>
          </m:sup>
        </m:sSup>
      </m:oMath>
      <w:r>
        <w:t xml:space="preserve"> has three rows and five columns. With </w:t>
      </w:r>
      <m:oMath>
        <m:r>
          <m:t xml:space="preserve">v</m:t>
        </m:r>
        <m:r>
          <m:t xml:space="preserve">=</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we obtain </w:t>
      </w:r>
      <m:oMath>
        <m:sSub>
          <m:e>
            <m:r>
              <m:t xml:space="preserve">B</m:t>
            </m:r>
          </m:e>
          <m:sub>
            <m:r>
              <m:t xml:space="preserve">ε</m:t>
            </m:r>
          </m:sub>
        </m:sSub>
        <m:sSup>
          <m:e>
            <m:sSub>
              <m:e>
                <m:r>
                  <m:t xml:space="preserve">B</m:t>
                </m:r>
              </m:e>
              <m:sub>
                <m:r>
                  <m:t xml:space="preserve">ε</m:t>
                </m:r>
              </m:sub>
            </m:sSub>
          </m:e>
          <m:sup>
            <m:r>
              <m:t xml:space="preserve">H</m:t>
            </m:r>
          </m:sup>
        </m:sSup>
        <m:r>
          <m:t xml:space="preserve">=</m:t>
        </m:r>
        <m:sSub>
          <m:e>
            <m:r>
              <m:t xml:space="preserve">T</m:t>
            </m:r>
          </m:e>
          <m:sub>
            <m:r>
              <m:t xml:space="preserve">ε</m:t>
            </m:r>
          </m:sub>
        </m:sSub>
      </m:oMath>
      <w:r>
        <w:t xml:space="preserve"> and the required exact values of </w:t>
      </w:r>
      <m:oMath>
        <m:r>
          <m:t xml:space="preserve">α</m:t>
        </m:r>
        <m:r>
          <m:t xml:space="preserve">,</m:t>
        </m:r>
        <m:r>
          <m:t xml:space="preserve">β</m:t>
        </m:r>
        <m:r>
          <m:t xml:space="preserve">,</m:t>
        </m:r>
        <m:sSub>
          <m:e>
            <m:r>
              <m:t xml:space="preserve">β</m:t>
            </m:r>
          </m:e>
          <m:sub>
            <m:r>
              <m:t xml:space="preserve">0</m:t>
            </m:r>
          </m:sub>
        </m:sSub>
      </m:oMath>
      <w:r>
        <w:t>.</w:t>
      </w:r>
    </w:p>
    <w:p>
      <w:r>
        <w:t xml:space="preserve">Set </w:t>
      </w:r>
      <m:oMath>
        <m:sSub>
          <m:e>
            <m:r>
              <m:t xml:space="preserve">u</m:t>
            </m:r>
          </m:e>
          <m:sub>
            <m:r>
              <m:t xml:space="preserve">ε</m:t>
            </m:r>
          </m:sub>
        </m:sSub>
        <m:r>
          <m:t xml:space="preserve">=</m:t>
        </m:r>
        <m:r>
          <m:t xml:space="preserve">−</m:t>
        </m:r>
        <m:r>
          <m:t xml:space="preserve">x</m:t>
        </m:r>
        <m:r>
          <m:t xml:space="preserve">d</m:t>
        </m:r>
        <m:r>
          <m:t xml:space="preserve">−</m:t>
        </m:r>
        <m:r>
          <m:t xml:space="preserve">y</m:t>
        </m:r>
        <m:sSub>
          <m:e>
            <m:r>
              <m:t xml:space="preserve">ℓ</m:t>
            </m:r>
          </m:e>
          <m:sub>
            <m:r>
              <m:t xml:space="preserve">ε</m:t>
            </m:r>
          </m:sub>
        </m:sSub>
      </m:oMath>
      <w:r>
        <w:t xml:space="preserve">. Its norm is nonzero: </w:t>
      </w:r>
      <m:oMath>
        <m:r>
          <m:t xml:space="preserve">δ</m:t>
        </m:r>
        <m:r>
          <m:t xml:space="preserve">&gt;</m:t>
        </m:r>
        <m:r>
          <m:t xml:space="preserve">0</m:t>
        </m:r>
      </m:oMath>
      <w:r>
        <w:t xml:space="preserve">, the chosen </w:t>
      </w:r>
      <m:oMath>
        <m:r>
          <m:t xml:space="preserve">ℓ</m:t>
        </m:r>
      </m:oMath>
      <w:r>
        <w:t xml:space="preserve"> is nonzero, its first coordinate is nonnegative, and </w:t>
      </w:r>
      <m:oMath>
        <m:r>
          <m:t xml:space="preserve">x</m:t>
        </m:r>
        <m:r>
          <m:t xml:space="preserve">,</m:t>
        </m:r>
        <m:r>
          <m:t xml:space="preserve">y</m:t>
        </m:r>
      </m:oMath>
      <w:r>
        <w:t xml:space="preserve"> are not both zero. Define</w:t>
      </w:r>
    </w:p>
    <w:p>
      <w:pPr>
        <w:pStyle w:val="Equation"/>
      </w:pPr>
      <m:oMath>
        <m:sSub>
          <m:e>
            <m:r>
              <m:t xml:space="preserve">z</m:t>
            </m:r>
          </m:e>
          <m:sub>
            <m:r>
              <m:t xml:space="preserve">ε</m:t>
            </m:r>
          </m:sub>
        </m:sSub>
        <m:r>
          <m:t xml:space="preserve">=</m:t>
        </m:r>
        <m:sSub>
          <m:e>
            <m:r>
              <m:t xml:space="preserve">I</m:t>
            </m:r>
          </m:e>
          <m:sub>
            <m:r>
              <m:t xml:space="preserve">0</m:t>
            </m:r>
          </m:sub>
        </m:sSub>
        <m:r>
          <m:t xml:space="preserve"> </m:t>
        </m:r>
        <m:f>
          <m:num>
            <m:sSub>
              <m:e>
                <m:r>
                  <m:t xml:space="preserve">u</m:t>
                </m:r>
              </m:e>
              <m:sub>
                <m:r>
                  <m:t xml:space="preserve">ε</m:t>
                </m:r>
              </m:sub>
            </m:sSub>
          </m:num>
          <m:den>
            <m:r>
              <m:t xml:space="preserve">∥</m:t>
            </m:r>
            <m:sSub>
              <m:e>
                <m:r>
                  <m:t xml:space="preserve">u</m:t>
                </m:r>
              </m:e>
              <m:sub>
                <m:r>
                  <m:t xml:space="preserve">ε</m:t>
                </m:r>
              </m:sub>
            </m:sSub>
            <m:r>
              <m:t xml:space="preserve">∥</m:t>
            </m:r>
          </m:den>
        </m:f>
        <m:r>
          <m:t xml:space="preserve">,</m:t>
        </m:r>
        <m:r>
          <m:t xml:space="preserve"> </m:t>
        </m:r>
        <m:r>
          <m:t xml:space="preserve"> </m:t>
        </m:r>
        <m:r>
          <m:t xml:space="preserve"> </m:t>
        </m:r>
        <m:sSub>
          <m:e>
            <m:r>
              <m:t xml:space="preserve">B</m:t>
            </m:r>
          </m:e>
          <m:sub>
            <m:r>
              <m:t xml:space="preserve">ε</m:t>
            </m:r>
          </m:sub>
        </m:sSub>
        <m:r>
          <m:t xml:space="preserve">h</m:t>
        </m:r>
        <m:sSub>
          <m:e>
            <m:r>
              <m:t xml:space="preserve">̂</m:t>
            </m:r>
          </m:e>
          <m:sub>
            <m:r>
              <m:t xml:space="preserve">⊥</m:t>
            </m:r>
          </m:sub>
        </m:sSub>
        <m:r>
          <m:t xml:space="preserve">=</m:t>
        </m:r>
        <m:sSub>
          <m:e>
            <m:r>
              <m:t xml:space="preserve">z</m:t>
            </m:r>
          </m:e>
          <m:sub>
            <m:r>
              <m:t xml:space="preserve">ε</m:t>
            </m:r>
          </m:sub>
        </m:sSub>
        <m:r>
          <m:t xml:space="preserve">−</m:t>
        </m:r>
        <m:r>
          <m:t xml:space="preserve">a</m:t>
        </m:r>
        <m:r>
          <m:t xml:space="preserve">d</m:t>
        </m:r>
        <m:r>
          <m:t xml:space="preserve">,</m:t>
        </m:r>
        <m:r>
          <m:t xml:space="preserve"> </m:t>
        </m:r>
        <m:r>
          <m:t xml:space="preserve"> </m:t>
        </m:r>
        <m:r>
          <m:t xml:space="preserve"> </m:t>
        </m:r>
        <m:r>
          <m:t xml:space="preserve">h</m:t>
        </m:r>
        <m:sSub>
          <m:e>
            <m:r>
              <m:t xml:space="preserve">̂</m:t>
            </m:r>
          </m:e>
          <m:sub>
            <m:r>
              <m:t xml:space="preserve">ε</m:t>
            </m:r>
          </m:sub>
        </m:sSub>
        <m:r>
          <m:t xml:space="preserve">=</m:t>
        </m:r>
        <m:sSup>
          <m:e>
            <m:d>
              <m:dPr>
                <m:begChr m:val="("/>
                <m:endChr m:val=")"/>
              </m:dPr>
              <m:e>
                <m:r>
                  <m:t xml:space="preserve">a</m:t>
                </m:r>
                <m:r>
                  <m:t xml:space="preserve">,</m:t>
                </m:r>
                <m:r>
                  <m:t xml:space="preserve">h</m:t>
                </m:r>
                <m:sSub>
                  <m:e>
                    <m:r>
                      <m:t xml:space="preserve">̂</m:t>
                    </m:r>
                  </m:e>
                  <m:sub>
                    <m:r>
                      <m:t xml:space="preserve">⊥</m:t>
                    </m:r>
                  </m:sub>
                </m:sSub>
              </m:e>
            </m:d>
          </m:e>
          <m:sup>
            <m:r>
              <m:t xml:space="preserve">T</m:t>
            </m:r>
          </m:sup>
        </m:sSup>
      </m:oMath>
      <w:r>
        <w:tab/>
        <w:t>(20)</w:t>
      </w:r>
    </w:p>
    <w:p>
      <w:r>
        <w:t xml:space="preserve">Full row rank ensures that this linear equation has a solution. Thus the nominal desired amplitude is exactly </w:t>
      </w:r>
      <m:oMath>
        <m:r>
          <m:t xml:space="preserve">a</m:t>
        </m:r>
      </m:oMath>
      <w:r>
        <w:t xml:space="preserve"> and the interference amplitude is exactly </w:t>
      </w:r>
      <m:oMath>
        <m:sSub>
          <m:e>
            <m:r>
              <m:t xml:space="preserve">I</m:t>
            </m:r>
          </m:e>
          <m:sub>
            <m:r>
              <m:t xml:space="preserve">0</m:t>
            </m:r>
          </m:sub>
        </m:sSub>
      </m:oMath>
      <w:r>
        <w:t xml:space="preserve">, including </w:t>
      </w:r>
      <m:oMath>
        <m:sSub>
          <m:e>
            <m:r>
              <m:t xml:space="preserve">I</m:t>
            </m:r>
          </m:e>
          <m:sub>
            <m:r>
              <m:t xml:space="preserve">0</m:t>
            </m:r>
          </m:sub>
        </m:sSub>
        <m:r>
          <m:t xml:space="preserve">=</m:t>
        </m:r>
        <m:r>
          <m:t xml:space="preserve">0</m:t>
        </m:r>
      </m:oMath>
      <w:r>
        <w:t xml:space="preserve">. For </w:t>
      </w:r>
      <m:oMath>
        <m:sSub>
          <m:e>
            <m:r>
              <m:t xml:space="preserve">e</m:t>
            </m:r>
          </m:e>
          <m:sub>
            <m:r>
              <m:t xml:space="preserve">ε</m:t>
            </m:r>
          </m:sub>
        </m:sSub>
        <m:r>
          <m:t xml:space="preserve">=</m:t>
        </m:r>
        <m:sSup>
          <m:e>
            <m:d>
              <m:dPr>
                <m:begChr m:val="("/>
                <m:endChr m:val=")"/>
              </m:dPr>
              <m:e>
                <m:r>
                  <m:t xml:space="preserve">−</m:t>
                </m:r>
                <m:r>
                  <m:t xml:space="preserve">x</m:t>
                </m:r>
                <m:r>
                  <m:t xml:space="preserve">,</m:t>
                </m:r>
                <m:r>
                  <m:t xml:space="preserve">−</m:t>
                </m:r>
                <m:r>
                  <m:t xml:space="preserve">y</m:t>
                </m:r>
                <m:r>
                  <m:t xml:space="preserve">,</m:t>
                </m:r>
                <m:r>
                  <m:t xml:space="preserve">0</m:t>
                </m:r>
                <m:r>
                  <m:t xml:space="preserve">,</m:t>
                </m:r>
                <m:r>
                  <m:t xml:space="preserve">0</m:t>
                </m:r>
                <m:r>
                  <m:t xml:space="preserve">,</m:t>
                </m:r>
                <m:r>
                  <m:t xml:space="preserve">0</m:t>
                </m:r>
              </m:e>
            </m:d>
          </m:e>
          <m:sup>
            <m:r>
              <m:t xml:space="preserve">T</m:t>
            </m:r>
          </m:sup>
        </m:sSup>
      </m:oMath>
      <w:r>
        <w:t xml:space="preserve">, the ball norm equals </w:t>
      </w:r>
      <m:oMath>
        <m:r>
          <m:t xml:space="preserve">r</m:t>
        </m:r>
      </m:oMath>
      <w:r>
        <w:t xml:space="preserve"> and </w:t>
      </w:r>
      <m:oMath>
        <m:sSup>
          <m:e>
            <m:sSub>
              <m:e>
                <m:r>
                  <m:t xml:space="preserve">C</m:t>
                </m:r>
              </m:e>
              <m:sub>
                <m:r>
                  <m:t xml:space="preserve">ε</m:t>
                </m:r>
              </m:sub>
            </m:sSub>
          </m:e>
          <m:sup>
            <m:r>
              <m:t xml:space="preserve">H</m:t>
            </m:r>
          </m:sup>
        </m:sSup>
        <m:sSub>
          <m:e>
            <m:r>
              <m:t xml:space="preserve">e</m:t>
            </m:r>
          </m:e>
          <m:sub>
            <m:r>
              <m:t xml:space="preserve">ε</m:t>
            </m:r>
          </m:sub>
        </m:sSub>
        <m:r>
          <m:t xml:space="preserve">=</m:t>
        </m:r>
        <m:sSub>
          <m:e>
            <m:r>
              <m:t xml:space="preserve">u</m:t>
            </m:r>
          </m:e>
          <m:sub>
            <m:r>
              <m:t xml:space="preserve">ε</m:t>
            </m:r>
          </m:sub>
        </m:sSub>
      </m:oMath>
      <w:r>
        <w:t>. Nominal and perturbation interference are aligned. Consequently,</w:t>
      </w:r>
    </w:p>
    <w:p>
      <w:pPr>
        <w:pStyle w:val="Equation"/>
      </w:pPr>
      <m:oMath>
        <m:sSub>
          <m:e>
            <m:r>
              <m:t xml:space="preserve">q</m:t>
            </m:r>
          </m:e>
          <m:sub>
            <m:r>
              <m:t xml:space="preserve">ε</m:t>
            </m:r>
          </m:sub>
        </m:sSub>
        <m:d>
          <m:dPr>
            <m:begChr m:val="("/>
            <m:endChr m:val=")"/>
          </m:dPr>
          <m:e>
            <m:sSub>
              <m:e>
                <m:r>
                  <m:t xml:space="preserve">e</m:t>
                </m:r>
              </m:e>
              <m:sub>
                <m:r>
                  <m:t xml:space="preserve">ε</m:t>
                </m:r>
              </m:sub>
            </m:sSub>
          </m:e>
        </m:d>
        <m:r>
          <m:t xml:space="preserve">=</m:t>
        </m:r>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m:t>
                </m:r>
                <m:sSub>
                  <m:e>
                    <m:r>
                      <m:t xml:space="preserve">u</m:t>
                    </m:r>
                  </m:e>
                  <m:sub>
                    <m:r>
                      <m:t xml:space="preserve">ε</m:t>
                    </m:r>
                  </m:sub>
                </m:sSub>
                <m:r>
                  <m:t xml:space="preserve">∥</m:t>
                </m:r>
              </m:e>
            </m:d>
          </m:e>
          <m:sup>
            <m:r>
              <m:t xml:space="preserve">2</m:t>
            </m:r>
          </m:sup>
        </m:sSup>
        <m:r>
          <m:t xml:space="preserve">−</m:t>
        </m:r>
        <m:r>
          <m:t xml:space="preserve">γ</m:t>
        </m:r>
        <m:sSup>
          <m:e>
            <m:r>
              <m:t xml:space="preserve">σ</m:t>
            </m:r>
          </m:e>
          <m:sup>
            <m:r>
              <m:t xml:space="preserve">2</m:t>
            </m:r>
          </m:sup>
        </m:sSup>
      </m:oMath>
      <w:r>
        <w:tab/>
        <w:t>(21)</w:t>
      </w:r>
    </w:p>
    <w:p>
      <w:r>
        <w:t xml:space="preserve">Let </w:t>
      </w:r>
      <m:oMath>
        <m:r>
          <m:t xml:space="preserve">R</m:t>
        </m:r>
        <m:r>
          <m:t xml:space="preserve">=</m:t>
        </m:r>
        <m:r>
          <m:t xml:space="preserve">R</m:t>
        </m:r>
        <m:d>
          <m:dPr>
            <m:begChr m:val="("/>
            <m:endChr m:val=")"/>
          </m:dPr>
          <m:e>
            <m:r>
              <m:t xml:space="preserve">x</m:t>
            </m:r>
            <m:r>
              <m:t xml:space="preserve">,</m:t>
            </m:r>
            <m:r>
              <m:t xml:space="preserve">y</m:t>
            </m:r>
          </m:e>
        </m:d>
      </m:oMath>
      <w:r>
        <w:t xml:space="preserve"> and </w:t>
      </w:r>
      <m:oMath>
        <m:sSub>
          <m:e>
            <m:r>
              <m:t xml:space="preserve">R</m:t>
            </m:r>
          </m:e>
          <m:sub>
            <m:r>
              <m:t xml:space="preserve">ε</m:t>
            </m:r>
          </m:sub>
        </m:sSub>
        <m:r>
          <m:t xml:space="preserve">=</m:t>
        </m:r>
        <m:r>
          <m:t xml:space="preserve">∥</m:t>
        </m:r>
        <m:sSub>
          <m:e>
            <m:r>
              <m:t xml:space="preserve">u</m:t>
            </m:r>
          </m:e>
          <m:sub>
            <m:r>
              <m:t xml:space="preserve">ε</m:t>
            </m:r>
          </m:sub>
        </m:sSub>
        <m:r>
          <m:t xml:space="preserve">∥</m:t>
        </m:r>
      </m:oMath>
      <w:r>
        <w:t xml:space="preserve">. Triangle inequalities imply </w:t>
      </w:r>
      <m:oMath>
        <m:r>
          <m:t xml:space="preserve">0</m:t>
        </m:r>
        <m:r>
          <m:t xml:space="preserve">≤</m:t>
        </m:r>
        <m:r>
          <m:t xml:space="preserve">R</m:t>
        </m:r>
        <m:r>
          <m:t xml:space="preserve">−</m:t>
        </m:r>
        <m:sSub>
          <m:e>
            <m:r>
              <m:t xml:space="preserve">R</m:t>
            </m:r>
          </m:e>
          <m:sub>
            <m:r>
              <m:t xml:space="preserve">ε</m:t>
            </m:r>
          </m:sub>
        </m:sSub>
        <m:r>
          <m:t xml:space="preserve">≤</m:t>
        </m:r>
        <m:r>
          <m:t xml:space="preserve">ε</m:t>
        </m:r>
        <m:r>
          <m:t xml:space="preserve">y</m:t>
        </m:r>
        <m:r>
          <m:t xml:space="preserve">∥</m:t>
        </m:r>
        <m:r>
          <m:t xml:space="preserve">ℓ</m:t>
        </m:r>
        <m:r>
          <m:t xml:space="preserve">∥</m:t>
        </m:r>
        <m:r>
          <m:t xml:space="preserve">≤</m:t>
        </m:r>
        <m:r>
          <m:t xml:space="preserve">ε</m:t>
        </m:r>
        <m:r>
          <m:t xml:space="preserve">y</m:t>
        </m:r>
        <m:r>
          <m:t xml:space="preserve">β</m:t>
        </m:r>
      </m:oMath>
      <w:r>
        <w:t>, because the constructed vectors have nonnegative real coordinates. Therefore,</w:t>
      </w:r>
    </w:p>
    <w:p>
      <w:pPr>
        <w:pStyle w:val="Equation"/>
      </w:pPr>
      <m:oMath>
        <m:r>
          <m:t xml:space="preserve">0</m:t>
        </m:r>
        <m:r>
          <m:t xml:space="preserve">≤</m:t>
        </m:r>
        <m:sSub>
          <m:e>
            <m:r>
              <m:t xml:space="preserve">q</m:t>
            </m:r>
          </m:e>
          <m:sub>
            <m:r>
              <m:t xml:space="preserve">ε</m:t>
            </m:r>
          </m:sub>
        </m:sSub>
        <m:d>
          <m:dPr>
            <m:begChr m:val="("/>
            <m:endChr m:val=")"/>
          </m:dPr>
          <m:e>
            <m:sSub>
              <m:e>
                <m:r>
                  <m:t xml:space="preserve">e</m:t>
                </m:r>
              </m:e>
              <m:sub>
                <m:r>
                  <m:t xml:space="preserve">ε</m:t>
                </m:r>
              </m:sub>
            </m:sSub>
          </m:e>
        </m:d>
        <m:r>
          <m:t xml:space="preserve">−</m:t>
        </m:r>
        <m:sSub>
          <m:e>
            <m:r>
              <m:t xml:space="preserve">Q</m:t>
            </m:r>
          </m:e>
          <m:sub>
            <m:r>
              <m:t xml:space="preserve">G</m:t>
            </m:r>
          </m:sub>
        </m:sSub>
        <m:d>
          <m:dPr>
            <m:begChr m:val="("/>
            <m:endChr m:val=")"/>
          </m:dPr>
          <m:e>
            <m:r>
              <m:t xml:space="preserve">r</m:t>
            </m:r>
          </m:e>
        </m:d>
        <m:r>
          <m:t xml:space="preserve">≤</m:t>
        </m:r>
        <m:r>
          <m:t xml:space="preserve">γ</m:t>
        </m:r>
        <m:d>
          <m:dPr>
            <m:begChr m:val="("/>
            <m:endChr m:val=")"/>
          </m:dPr>
          <m:e>
            <m:r>
              <m:t xml:space="preserve">2</m:t>
            </m:r>
            <m:sSub>
              <m:e>
                <m:r>
                  <m:t xml:space="preserve">I</m:t>
                </m:r>
              </m:e>
              <m:sub>
                <m:r>
                  <m:t xml:space="preserve">0</m:t>
                </m:r>
              </m:sub>
            </m:sSub>
            <m:r>
              <m:t xml:space="preserve">+</m:t>
            </m:r>
            <m:r>
              <m:t xml:space="preserve">2</m:t>
            </m:r>
            <m:r>
              <m:t xml:space="preserve">R</m:t>
            </m:r>
          </m:e>
        </m:d>
        <m:r>
          <m:t xml:space="preserve">ε</m:t>
        </m:r>
        <m:r>
          <m:t xml:space="preserve">y</m:t>
        </m:r>
        <m:r>
          <m:t xml:space="preserve">β</m:t>
        </m:r>
      </m:oMath>
      <w:r>
        <w:tab/>
        <w:t>(22)</w:t>
      </w:r>
    </w:p>
    <w:p>
      <w:r>
        <w:t xml:space="preserve">Since </w:t>
      </w:r>
      <m:oMath>
        <m:sSub>
          <m:e>
            <m:r>
              <m:t xml:space="preserve">Q</m:t>
            </m:r>
          </m:e>
          <m:sub>
            <m:r>
              <m:t xml:space="preserve">G</m:t>
            </m:r>
          </m:sub>
        </m:sSub>
        <m:r>
          <m:t xml:space="preserve">≤</m:t>
        </m:r>
        <m:sSup>
          <m:e>
            <m:sSub>
              <m:e>
                <m:r>
                  <m:t xml:space="preserve">q</m:t>
                </m:r>
              </m:e>
              <m:sub>
                <m:r>
                  <m:t xml:space="preserve">ε</m:t>
                </m:r>
              </m:sub>
            </m:sSub>
          </m:e>
          <m:sup>
            <m:r>
              <m:t xml:space="preserve">*</m:t>
            </m:r>
          </m:sup>
        </m:sSup>
        <m:r>
          <m:t xml:space="preserve">≤</m:t>
        </m:r>
        <m:sSub>
          <m:e>
            <m:r>
              <m:t xml:space="preserve">q</m:t>
            </m:r>
          </m:e>
          <m:sub>
            <m:r>
              <m:t xml:space="preserve">ε</m:t>
            </m:r>
          </m:sub>
        </m:sSub>
        <m:d>
          <m:dPr>
            <m:begChr m:val="("/>
            <m:endChr m:val=")"/>
          </m:dPr>
          <m:e>
            <m:sSub>
              <m:e>
                <m:r>
                  <m:t xml:space="preserve">e</m:t>
                </m:r>
              </m:e>
              <m:sub>
                <m:r>
                  <m:t xml:space="preserve">ε</m:t>
                </m:r>
              </m:sub>
            </m:sSub>
          </m:e>
        </m:d>
      </m:oMath>
      <w:r>
        <w:t xml:space="preserve">, the compatible sequence proves that the information class infimum is at most </w:t>
      </w:r>
      <m:oMath>
        <m:sSub>
          <m:e>
            <m:r>
              <m:t xml:space="preserve">Q</m:t>
            </m:r>
          </m:e>
          <m:sub>
            <m:r>
              <m:t xml:space="preserve">G</m:t>
            </m:r>
          </m:sub>
        </m:sSub>
      </m:oMath>
      <w:r>
        <w:t>. Proposition 1 proves the reverse inequality. The infimum need not be attained by a finite norm nominal channel.</w:t>
      </w:r>
    </w:p>
    <w:p>
      <w:r>
        <w:rPr>
          <w:b/>
        </w:rPr>
        <w:t>Zero alpha and zero radius.</w:t>
      </w:r>
      <w:r>
        <w:t xml:space="preserve"> If </w:t>
      </w:r>
      <m:oMath>
        <m:r>
          <m:t xml:space="preserve">α</m:t>
        </m:r>
        <m:r>
          <m:t xml:space="preserve">=</m:t>
        </m:r>
        <m:r>
          <m:t xml:space="preserve">0</m:t>
        </m:r>
      </m:oMath>
      <w:r>
        <w:t xml:space="preserve">, compatibility gives </w:t>
      </w:r>
      <m:oMath>
        <m:sSub>
          <m:e>
            <m:r>
              <m:t xml:space="preserve">β</m:t>
            </m:r>
          </m:e>
          <m:sub>
            <m:r>
              <m:t xml:space="preserve">0</m:t>
            </m:r>
          </m:sub>
        </m:sSub>
        <m:r>
          <m:t xml:space="preserve">=</m:t>
        </m:r>
        <m:r>
          <m:t xml:space="preserve">β</m:t>
        </m:r>
      </m:oMath>
      <w:r>
        <w:t xml:space="preserve">. Use </w:t>
      </w:r>
      <m:oMath>
        <m:sSup>
          <m:e>
            <m:r>
              <m:t xml:space="preserve">C</m:t>
            </m:r>
          </m:e>
          <m:sup>
            <m:r>
              <m:t xml:space="preserve">H</m:t>
            </m:r>
          </m:sup>
        </m:sSup>
        <m:r>
          <m:t xml:space="preserve">=</m:t>
        </m:r>
        <m:d>
          <m:dPr>
            <m:begChr m:val="["/>
            <m:endChr m:val="]"/>
          </m:dPr>
          <m:e>
            <m:r>
              <m:t xml:space="preserve">0</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I</m:t>
                    </m:r>
                  </m:e>
                  <m:sub>
                    <m:r>
                      <m:t xml:space="preserve">0</m:t>
                    </m:r>
                  </m:sub>
                </m:sSub>
                <m:r>
                  <m:t xml:space="preserve">/</m:t>
                </m:r>
                <m:r>
                  <m:t xml:space="preserve">β</m:t>
                </m:r>
              </m:e>
            </m:d>
          </m:e>
          <m:sup>
            <m:r>
              <m:t xml:space="preserve">T</m:t>
            </m:r>
          </m:sup>
        </m:sSup>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For </w:t>
      </w:r>
      <m:oMath>
        <m:r>
          <m:t xml:space="preserve">e</m:t>
        </m:r>
        <m:r>
          <m:t xml:space="preserve">=</m:t>
        </m:r>
        <m:sSup>
          <m:e>
            <m:d>
              <m:dPr>
                <m:begChr m:val="("/>
                <m:endChr m:val=")"/>
              </m:dPr>
              <m:e>
                <m:r>
                  <m:t xml:space="preserve">−</m:t>
                </m:r>
                <m:r>
                  <m:t xml:space="preserve">x</m:t>
                </m:r>
                <m:r>
                  <m:t xml:space="preserve">,</m:t>
                </m:r>
                <m:r>
                  <m:t xml:space="preserve">y</m:t>
                </m:r>
              </m:e>
            </m:d>
          </m:e>
          <m:sup>
            <m:r>
              <m:t xml:space="preserve">T</m:t>
            </m:r>
          </m:sup>
        </m:sSup>
      </m:oMath>
      <w:r>
        <w:t xml:space="preserve">, the signal equals </w:t>
      </w:r>
      <m:oMath>
        <m:r>
          <m:t xml:space="preserve">p</m:t>
        </m:r>
        <m:sSup>
          <m:e>
            <m:d>
              <m:dPr>
                <m:begChr m:val="("/>
                <m:endChr m:val=")"/>
              </m:dPr>
              <m:e>
                <m:r>
                  <m:t xml:space="preserve">a</m:t>
                </m:r>
                <m:r>
                  <m:t xml:space="preserve">−</m:t>
                </m:r>
                <m:r>
                  <m:t xml:space="preserve">x</m:t>
                </m:r>
              </m:e>
            </m:d>
          </m:e>
          <m:sup>
            <m:r>
              <m:t xml:space="preserve">2</m:t>
            </m:r>
          </m:sup>
        </m:sSup>
      </m:oMath>
      <w:r>
        <w:t xml:space="preserve"> and interference equals </w:t>
      </w:r>
      <m:oMath>
        <m:sSup>
          <m:e>
            <m:d>
              <m:dPr>
                <m:begChr m:val="("/>
                <m:endChr m:val=")"/>
              </m:dPr>
              <m:e>
                <m:sSub>
                  <m:e>
                    <m:r>
                      <m:t xml:space="preserve">I</m:t>
                    </m:r>
                  </m:e>
                  <m:sub>
                    <m:r>
                      <m:t xml:space="preserve">0</m:t>
                    </m:r>
                  </m:sub>
                </m:sSub>
                <m:r>
                  <m:t xml:space="preserve">+</m:t>
                </m:r>
                <m:r>
                  <m:t xml:space="preserve">β</m:t>
                </m:r>
                <m:r>
                  <m:t xml:space="preserve">y</m:t>
                </m:r>
              </m:e>
            </m:d>
          </m:e>
          <m:sup>
            <m:r>
              <m:t xml:space="preserve">2</m:t>
            </m:r>
          </m:sup>
        </m:sSup>
      </m:oMath>
      <w:r>
        <w:t xml:space="preserve">. Since </w:t>
      </w:r>
      <m:oMath>
        <m:r>
          <m:t xml:space="preserve">R</m:t>
        </m:r>
        <m:r>
          <m:t xml:space="preserve">=</m:t>
        </m:r>
        <m:r>
          <m:t xml:space="preserve">β</m:t>
        </m:r>
        <m:r>
          <m:t xml:space="preserve">y</m:t>
        </m:r>
      </m:oMath>
      <w:r>
        <w:t xml:space="preserve">, choosing a minimizing </w:t>
      </w:r>
      <m:oMath>
        <m:r>
          <m:t xml:space="preserve">x</m:t>
        </m:r>
      </m:oMath>
      <w:r>
        <w:t xml:space="preserve"> attains (9) exactly. This handles </w:t>
      </w:r>
      <m:oMath>
        <m:r>
          <m:t xml:space="preserve">y</m:t>
        </m:r>
        <m:r>
          <m:t xml:space="preserve">=</m:t>
        </m:r>
        <m:r>
          <m:t xml:space="preserve">0</m:t>
        </m:r>
      </m:oMath>
      <w:r>
        <w:t xml:space="preserve"> without normalizing a zero output. If </w:t>
      </w:r>
      <m:oMath>
        <m:r>
          <m:t xml:space="preserve">r</m:t>
        </m:r>
        <m:r>
          <m:t xml:space="preserve">=</m:t>
        </m:r>
        <m:r>
          <m:t xml:space="preserve">0</m:t>
        </m:r>
      </m:oMath>
      <w:r>
        <w:t xml:space="preserve">, every compatible instance has the same margin </w:t>
      </w:r>
      <m:oMath>
        <m:r>
          <m:t xml:space="preserve">p</m:t>
        </m:r>
        <m:sSup>
          <m:e>
            <m:r>
              <m:t xml:space="preserve">a</m:t>
            </m:r>
          </m:e>
          <m:sup>
            <m:r>
              <m:t xml:space="preserve">2</m:t>
            </m:r>
          </m:sup>
        </m:sSup>
        <m:r>
          <m:t xml:space="preserve">−</m:t>
        </m:r>
        <m:r>
          <m:t xml:space="preserve">γ</m:t>
        </m:r>
        <m:sSup>
          <m:e>
            <m:sSub>
              <m:e>
                <m:r>
                  <m:t xml:space="preserve">I</m:t>
                </m:r>
              </m:e>
              <m:sub>
                <m:r>
                  <m:t xml:space="preserve">0</m:t>
                </m:r>
              </m:sub>
            </m:sSub>
          </m:e>
          <m:sup>
            <m:r>
              <m:t xml:space="preserve">2</m:t>
            </m:r>
          </m:sup>
        </m:sSup>
        <m:r>
          <m:t xml:space="preserve">−</m:t>
        </m:r>
        <m:r>
          <m:t xml:space="preserve">γ</m:t>
        </m:r>
        <m:sSup>
          <m:e>
            <m:r>
              <m:t xml:space="preserve">σ</m:t>
            </m:r>
          </m:e>
          <m:sup>
            <m:r>
              <m:t xml:space="preserve">2</m:t>
            </m:r>
          </m:sup>
        </m:sSup>
      </m:oMath>
      <w:r>
        <w:t xml:space="preserve">, equal to </w:t>
      </w:r>
      <m:oMath>
        <m:sSub>
          <m:e>
            <m:r>
              <m:t xml:space="preserve">Q</m:t>
            </m:r>
          </m:e>
          <m:sub>
            <m:r>
              <m:t xml:space="preserve">G</m:t>
            </m:r>
          </m:sub>
        </m:sSub>
        <m:d>
          <m:dPr>
            <m:begChr m:val="("/>
            <m:endChr m:val=")"/>
          </m:dPr>
          <m:e>
            <m:r>
              <m:t xml:space="preserve">0</m:t>
            </m:r>
          </m:e>
        </m:d>
      </m:oMath>
      <w:r>
        <w:t xml:space="preserve">. Finally, append zero input coordinates and zero output rows to reach any fixed </w:t>
      </w:r>
      <m:oMath>
        <m:r>
          <m:t xml:space="preserve">n</m:t>
        </m:r>
        <m:r>
          <m:t xml:space="preserve">≥</m:t>
        </m:r>
        <m:r>
          <m:t xml:space="preserve">5</m:t>
        </m:r>
        <m:r>
          <m:t xml:space="preserve">,</m:t>
        </m:r>
        <m:r>
          <m:t xml:space="preserve">m</m:t>
        </m:r>
        <m:r>
          <m:t xml:space="preserve">≥</m:t>
        </m:r>
        <m:r>
          <m:t xml:space="preserve">3</m:t>
        </m:r>
      </m:oMath>
      <w:r>
        <w:t xml:space="preserve">; these operations preserve all six summaries and the evaluated error norm. The proof covers the upper spectral endpoint and </w:t>
      </w:r>
      <m:oMath>
        <m:r>
          <m:t xml:space="preserve">β</m:t>
        </m:r>
        <m:r>
          <m:t xml:space="preserve">=</m:t>
        </m:r>
        <m:sSub>
          <m:e>
            <m:r>
              <m:t xml:space="preserve">β</m:t>
            </m:r>
          </m:e>
          <m:sub>
            <m:r>
              <m:t xml:space="preserve">0</m:t>
            </m:r>
          </m:sub>
        </m:sSub>
      </m:oMath>
      <w:r>
        <w:t xml:space="preserve"> without excluding them. □</w:t>
      </w:r>
    </w:p>
    <w:p>
      <w:pPr>
        <w:pStyle w:val="Heading2"/>
      </w:pPr>
      <w:r>
        <w:t>4.3 Degenerate boundary and explicit attainment</w:t>
      </w:r>
    </w:p>
    <w:p>
      <w:r>
        <w:t xml:space="preserve">Suppose </w:t>
      </w:r>
      <m:oMath>
        <m:sSub>
          <m:e>
            <m:r>
              <m:t xml:space="preserve">β</m:t>
            </m:r>
          </m:e>
          <m:sub>
            <m:r>
              <m:t xml:space="preserve">0</m:t>
            </m:r>
          </m:sub>
        </m:sSub>
        <m:r>
          <m:t xml:space="preserve">=</m:t>
        </m:r>
        <m:r>
          <m:t xml:space="preserve">α</m:t>
        </m:r>
        <m:r>
          <m:t xml:space="preserve">&gt;</m:t>
        </m:r>
        <m:r>
          <m:t xml:space="preserve">0</m:t>
        </m:r>
      </m:oMath>
      <w:r>
        <w:t xml:space="preserve">. Since </w:t>
      </w:r>
      <m:oMath>
        <m:r>
          <m:t xml:space="preserve">v</m:t>
        </m:r>
      </m:oMath>
      <w:r>
        <w:t xml:space="preserve"> attains the operator norm, </w:t>
      </w:r>
      <m:oMath>
        <m:r>
          <m:t xml:space="preserve">C</m:t>
        </m:r>
        <m:sSup>
          <m:e>
            <m:r>
              <m:t xml:space="preserve">C</m:t>
            </m:r>
          </m:e>
          <m:sup>
            <m:r>
              <m:t xml:space="preserve">H</m:t>
            </m:r>
          </m:sup>
        </m:sSup>
        <m:r>
          <m:t xml:space="preserve">v</m:t>
        </m:r>
        <m:r>
          <m:t xml:space="preserve">=</m:t>
        </m:r>
        <m:sSup>
          <m:e>
            <m:r>
              <m:t xml:space="preserve">α</m:t>
            </m:r>
          </m:e>
          <m:sup>
            <m:r>
              <m:t xml:space="preserve">2</m:t>
            </m:r>
          </m:sup>
        </m:sSup>
        <m:r>
          <m:t xml:space="preserve">v</m:t>
        </m:r>
      </m:oMath>
      <w:r>
        <w:t xml:space="preserve">. Thus </w:t>
      </w:r>
      <m:oMath>
        <m:sSup>
          <m:e>
            <m:r>
              <m:t xml:space="preserve">d</m:t>
            </m:r>
          </m:e>
          <m:sup>
            <m:r>
              <m:t xml:space="preserve">H</m:t>
            </m:r>
          </m:sup>
        </m:sSup>
        <m:sSup>
          <m:e>
            <m:r>
              <m:t xml:space="preserve">C</m:t>
            </m:r>
          </m:e>
          <m:sup>
            <m:r>
              <m:t xml:space="preserve">H</m:t>
            </m:r>
          </m:sup>
        </m:sSup>
        <m:r>
          <m:t xml:space="preserve">P</m:t>
        </m:r>
        <m:r>
          <m:t xml:space="preserve">=</m:t>
        </m:r>
        <m:r>
          <m:t xml:space="preserve">0</m:t>
        </m:r>
      </m:oMath>
      <w:r>
        <w:t xml:space="preserve">: the parallel and orthogonal interference outputs are orthogonal. Put </w:t>
      </w:r>
      <m:oMath>
        <m:r>
          <m:t xml:space="preserve">s</m:t>
        </m:r>
        <m:r>
          <m:t xml:space="preserve">=</m:t>
        </m:r>
        <m:sSup>
          <m:e>
            <m:r>
              <m:t xml:space="preserve">v</m:t>
            </m:r>
          </m:e>
          <m:sup>
            <m:r>
              <m:t xml:space="preserve">H</m:t>
            </m:r>
          </m:sup>
        </m:sSup>
        <m:r>
          <m:t xml:space="preserve">h</m:t>
        </m:r>
        <m:r>
          <m:t xml:space="preserve">̂</m:t>
        </m:r>
      </m:oMath>
      <w:r>
        <w:t xml:space="preserve">, </w:t>
      </w:r>
      <m:oMath>
        <m:r>
          <m:t xml:space="preserve">d</m:t>
        </m:r>
        <m:r>
          <m:t xml:space="preserve">̂</m:t>
        </m:r>
        <m:r>
          <m:t xml:space="preserve">=</m:t>
        </m:r>
        <m:r>
          <m:t xml:space="preserve">d</m:t>
        </m:r>
        <m:r>
          <m:t xml:space="preserve">/</m:t>
        </m:r>
        <m:r>
          <m:t xml:space="preserve">α</m:t>
        </m:r>
      </m:oMath>
      <w:r>
        <w:t xml:space="preserve"> and</w:t>
      </w:r>
    </w:p>
    <w:p>
      <w:pPr>
        <w:pStyle w:val="Equation"/>
      </w:pPr>
      <m:oMath>
        <m:sSub>
          <m:e>
            <m:r>
              <m:t xml:space="preserve">J</m:t>
            </m:r>
          </m:e>
          <m:sub>
            <m:r>
              <m:t xml:space="preserve">⊥</m:t>
            </m:r>
          </m:sub>
        </m:sSub>
        <m:r>
          <m:t xml:space="preserve">=</m:t>
        </m:r>
        <m:rad>
          <m:radPr>
            <m:degHide m:val="1"/>
          </m:radPr>
          <m:deg/>
          <m:e>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e>
        </m:rad>
        <m:r>
          <m:t xml:space="preserve">,</m:t>
        </m:r>
        <m:r>
          <m:t xml:space="preserve"> </m:t>
        </m:r>
        <m:r>
          <m:t xml:space="preserve"> </m:t>
        </m:r>
        <m:r>
          <m:t xml:space="preserve"> </m:t>
        </m:r>
        <m:sSub>
          <m:e>
            <m:r>
              <m:t xml:space="preserve">c</m:t>
            </m:r>
          </m:e>
          <m:sub>
            <m:r>
              <m:t xml:space="preserve">∥</m:t>
            </m:r>
          </m:sub>
        </m:sSub>
        <m:r>
          <m:t xml:space="preserve">=</m:t>
        </m:r>
        <m:r>
          <m:t xml:space="preserve">p</m:t>
        </m:r>
        <m:r>
          <m:t xml:space="preserve">−</m:t>
        </m:r>
        <m:r>
          <m:t xml:space="preserve">γ</m:t>
        </m:r>
        <m:sSup>
          <m:e>
            <m:r>
              <m:t xml:space="preserve">α</m:t>
            </m:r>
          </m:e>
          <m:sup>
            <m:r>
              <m:t xml:space="preserve">2</m:t>
            </m:r>
          </m:sup>
        </m:sSup>
      </m:oMath>
      <w:r>
        <w:tab/>
        <w:t>(23)</w:t>
      </w:r>
    </w:p>
    <w:p>
      <w:r>
        <w:t xml:space="preserve">Boundary compatibility requires </w:t>
      </w:r>
      <m:oMath>
        <m:sSub>
          <m:e>
            <m:r>
              <m:t xml:space="preserve">I</m:t>
            </m:r>
          </m:e>
          <m:sub>
            <m:r>
              <m:t xml:space="preserve">0</m:t>
            </m:r>
          </m:sub>
        </m:sSub>
        <m:r>
          <m:t xml:space="preserve">≥</m:t>
        </m:r>
        <m:r>
          <m:t xml:space="preserve">α</m:t>
        </m:r>
        <m:r>
          <m:t xml:space="preserve">a</m:t>
        </m:r>
      </m:oMath>
      <w:r>
        <w:t xml:space="preserve"> and </w:t>
      </w:r>
      <m:oMath>
        <m:r>
          <m:t xml:space="preserve">0</m:t>
        </m:r>
        <m:r>
          <m:t xml:space="preserve">≤</m:t>
        </m:r>
        <m:r>
          <m:t xml:space="preserve">β</m:t>
        </m:r>
        <m:r>
          <m:t xml:space="preserve">≤</m:t>
        </m:r>
        <m:r>
          <m:t xml:space="preserve">α</m:t>
        </m:r>
      </m:oMath>
      <w:r>
        <w:t xml:space="preserve">. If </w:t>
      </w:r>
      <m:oMath>
        <m:r>
          <m:t xml:space="preserve">β</m:t>
        </m:r>
        <m:r>
          <m:t xml:space="preserve">=</m:t>
        </m:r>
        <m:r>
          <m:t xml:space="preserve">0</m:t>
        </m:r>
      </m:oMath>
      <w:r>
        <w:t xml:space="preserve">, it additionally requires </w:t>
      </w:r>
      <m:oMath>
        <m:sSub>
          <m:e>
            <m:r>
              <m:t xml:space="preserve">I</m:t>
            </m:r>
          </m:e>
          <m:sub>
            <m:r>
              <m:t xml:space="preserve">0</m:t>
            </m:r>
          </m:sub>
        </m:sSub>
        <m:r>
          <m:t xml:space="preserve">=</m:t>
        </m:r>
        <m:r>
          <m:t xml:space="preserve">α</m:t>
        </m:r>
        <m:r>
          <m:t xml:space="preserve">a</m:t>
        </m:r>
      </m:oMath>
      <w:r>
        <w:t xml:space="preserve">, so </w:t>
      </w:r>
      <m:oMath>
        <m:sSub>
          <m:e>
            <m:r>
              <m:t xml:space="preserve">J</m:t>
            </m:r>
          </m:e>
          <m:sub>
            <m:r>
              <m:t xml:space="preserve">⊥</m:t>
            </m:r>
          </m:sub>
        </m:sSub>
        <m:r>
          <m:t xml:space="preserve">=</m:t>
        </m:r>
        <m:r>
          <m:t xml:space="preserve">0</m:t>
        </m:r>
      </m:oMath>
      <w:r>
        <w:t>. The margin decomposes exactly as</w:t>
      </w:r>
    </w:p>
    <w:p>
      <w:pPr>
        <w:pStyle w:val="Equation"/>
      </w:pPr>
      <m:oMath>
        <m:r>
          <m:t xml:space="preserve">q</m:t>
        </m:r>
        <m:d>
          <m:dPr>
            <m:begChr m:val="("/>
            <m:endChr m:val=")"/>
          </m:dPr>
          <m:e>
            <m:r>
              <m:t xml:space="preserve">e</m:t>
            </m:r>
          </m:e>
        </m:d>
        <m:r>
          <m:t xml:space="preserve">=</m:t>
        </m:r>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r>
          <m:t xml:space="preserve">γ</m:t>
        </m:r>
        <m:r>
          <m:t xml:space="preserve">∥</m:t>
        </m:r>
        <m:d>
          <m:dPr>
            <m:begChr m:val="("/>
            <m:endChr m:val=")"/>
          </m:dPr>
          <m:e>
            <m:r>
              <m:t xml:space="preserve">I</m:t>
            </m:r>
            <m:r>
              <m:t xml:space="preserve">−</m:t>
            </m:r>
            <m:r>
              <m:t xml:space="preserve">d</m:t>
            </m:r>
            <m:r>
              <m:t xml:space="preserve">̂</m:t>
            </m:r>
            <m:r>
              <m:t xml:space="preserve">d</m:t>
            </m:r>
            <m:sSup>
              <m:e>
                <m:r>
                  <m:t xml:space="preserve">̂</m:t>
                </m:r>
              </m:e>
              <m:sup>
                <m:r>
                  <m:t xml:space="preserve">H</m:t>
                </m:r>
              </m:sup>
            </m:sSup>
          </m:e>
        </m:d>
        <m:sSup>
          <m:e>
            <m:r>
              <m:t xml:space="preserve">C</m:t>
            </m:r>
          </m:e>
          <m:sup>
            <m:r>
              <m:t xml:space="preserve">H</m:t>
            </m:r>
          </m:sup>
        </m:sSup>
        <m:d>
          <m:dPr>
            <m:begChr m:val="("/>
            <m:endChr m:val=")"/>
          </m:dPr>
          <m:e>
            <m:r>
              <m:t xml:space="preserve">h</m:t>
            </m:r>
            <m:r>
              <m:t xml:space="preserve">̂</m:t>
            </m:r>
            <m:r>
              <m:t xml:space="preserve">+</m:t>
            </m:r>
            <m:r>
              <m:t xml:space="preserve">w</m:t>
            </m:r>
          </m:e>
        </m:d>
        <m:sSup>
          <m:e>
            <m:r>
              <m:t xml:space="preserve">∥</m:t>
            </m:r>
          </m:e>
          <m:sup>
            <m:r>
              <m:t xml:space="preserve">2</m:t>
            </m:r>
          </m:sup>
        </m:sSup>
        <m:r>
          <m:t xml:space="preserve">−</m:t>
        </m:r>
        <m:r>
          <m:t xml:space="preserve">γ</m:t>
        </m:r>
        <m:sSup>
          <m:e>
            <m:r>
              <m:t xml:space="preserve">σ</m:t>
            </m:r>
          </m:e>
          <m:sup>
            <m:r>
              <m:t xml:space="preserve">2</m:t>
            </m:r>
          </m:sup>
        </m:sSup>
      </m:oMath>
      <w:r>
        <w:tab/>
        <w:t>(24)</w:t>
      </w:r>
    </w:p>
    <w:p>
      <w:r>
        <w:rPr>
          <w:b/>
        </w:rPr>
        <w:t>Theorem 3 — Boundary sharpness.</w:t>
      </w:r>
      <w:r>
        <w:t xml:space="preserve"> On a nonempty boundary information class with </w:t>
      </w:r>
      <m:oMath>
        <m:sSub>
          <m:e>
            <m:r>
              <m:t xml:space="preserve">β</m:t>
            </m:r>
          </m:e>
          <m:sub>
            <m:r>
              <m:t xml:space="preserve">0</m:t>
            </m:r>
          </m:sub>
        </m:sSub>
        <m:r>
          <m:t xml:space="preserve">=</m:t>
        </m:r>
        <m:r>
          <m:t xml:space="preserve">α</m:t>
        </m:r>
        <m:r>
          <m:t xml:space="preserve">&gt;</m:t>
        </m:r>
        <m:r>
          <m:t xml:space="preserve">0</m:t>
        </m:r>
      </m:oMath>
      <w:r>
        <w:t xml:space="preserve"> and </w:t>
      </w:r>
      <m:oMath>
        <m:r>
          <m:t xml:space="preserve">β</m:t>
        </m:r>
        <m:r>
          <m:t xml:space="preserve">&gt;</m:t>
        </m:r>
        <m:r>
          <m:t xml:space="preserve">0</m:t>
        </m:r>
      </m:oMath>
      <w:r>
        <w:t xml:space="preserve">, for fixed dimensions </w:t>
      </w:r>
      <m:oMath>
        <m:r>
          <m:t xml:space="preserve">n</m:t>
        </m:r>
        <m:r>
          <m:t xml:space="preserve">,</m:t>
        </m:r>
        <m:r>
          <m:t xml:space="preserve">m</m:t>
        </m:r>
        <m:r>
          <m:t xml:space="preserve">≥</m:t>
        </m:r>
        <m:r>
          <m:t xml:space="preserve">2</m:t>
        </m:r>
      </m:oMath>
      <w:r>
        <w:t>, the minimum information class margin is</w:t>
      </w:r>
    </w:p>
    <w:p>
      <w:pPr>
        <w:pStyle w:val="Equation"/>
      </w:pPr>
      <m:oMath>
        <m:sSub>
          <m:e>
            <m:r>
              <m:t xml:space="preserve">Q</m:t>
            </m:r>
          </m:e>
          <m:sub>
            <m:r>
              <m:t xml:space="preserve">∂</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r>
              <m:t xml:space="preserve">γ</m:t>
            </m:r>
            <m:sSup>
              <m:e>
                <m:d>
                  <m:dPr>
                    <m:begChr m:val="["/>
                    <m:endChr m:val="]"/>
                  </m:dPr>
                  <m:e>
                    <m:sSub>
                      <m:e>
                        <m:r>
                          <m:t xml:space="preserve">J</m:t>
                        </m:r>
                      </m:e>
                      <m:sub>
                        <m:r>
                          <m:t xml:space="preserve">⊥</m:t>
                        </m:r>
                      </m:sub>
                    </m:sSub>
                    <m:r>
                      <m:t xml:space="preserve">+</m:t>
                    </m:r>
                    <m:r>
                      <m:t xml:space="preserve">β</m:t>
                    </m:r>
                    <m:rad>
                      <m:radPr>
                        <m:degHide m:val="1"/>
                      </m:radPr>
                      <m:deg/>
                      <m:e>
                        <m:sSup>
                          <m:e>
                            <m:r>
                              <m:t xml:space="preserve">r</m:t>
                            </m:r>
                          </m:e>
                          <m:sup>
                            <m:r>
                              <m:t xml:space="preserve">2</m:t>
                            </m:r>
                          </m:sup>
                        </m:sSup>
                        <m:r>
                          <m:t xml:space="preserve">−</m:t>
                        </m:r>
                        <m:sSup>
                          <m:e>
                            <m:r>
                              <m:t xml:space="preserve">x</m:t>
                            </m:r>
                          </m:e>
                          <m:sup>
                            <m:r>
                              <m:t xml:space="preserve">2</m:t>
                            </m:r>
                          </m:sup>
                        </m:sSup>
                      </m:e>
                    </m:rad>
                  </m:e>
                </m:d>
              </m:e>
              <m:sup>
                <m:r>
                  <m:t xml:space="preserve">2</m:t>
                </m:r>
              </m:sup>
            </m:sSup>
            <m:r>
              <m:t xml:space="preserve">−</m:t>
            </m:r>
            <m:r>
              <m:t xml:space="preserve">γ</m:t>
            </m:r>
            <m:sSup>
              <m:e>
                <m:r>
                  <m:t xml:space="preserve">σ</m:t>
                </m:r>
              </m:e>
              <m:sup>
                <m:r>
                  <m:t xml:space="preserve">2</m:t>
                </m:r>
              </m:sup>
            </m:sSup>
          </m:e>
        </m:d>
        <m:r>
          <m:t xml:space="preserve">,</m:t>
        </m:r>
      </m:oMath>
      <w:r>
        <w:tab/>
        <w:t>(25)</w:t>
      </w:r>
    </w:p>
    <w:p>
      <w:pPr>
        <w:pStyle w:val="Equation"/>
      </w:pPr>
      <m:oMath>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d>
          <m:dPr>
            <m:begChr m:val="{"/>
            <m:endChr m:val=""/>
          </m:dPr>
          <m:e>
            <m:m>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m:t>
                  </m:r>
                  <m:r>
                    <m:t xml:space="preserve">0</m:t>
                  </m:r>
                </m:e>
              </m:mr>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&lt;</m:t>
                  </m:r>
                  <m:r>
                    <m:t xml:space="preserve">0</m:t>
                  </m:r>
                </m:e>
              </m:mr>
            </m:m>
          </m:e>
        </m:d>
      </m:oMath>
      <w:r>
        <w:tab/>
        <w:t>(26)</w:t>
      </w:r>
    </w:p>
    <w:p>
      <w:r>
        <w:t xml:space="preserve">In particular, </w:t>
      </w:r>
      <m:oMath>
        <m:sSub>
          <m:e>
            <m:r>
              <m:rPr>
                <m:nor/>
              </m:rPr>
              <m:t xml:space="preserve">inf</m:t>
            </m:r>
          </m:e>
          <m:sub>
            <m:sSub>
              <m:e>
                <m:r>
                  <m:t xml:space="preserve">S</m:t>
                </m:r>
              </m:e>
              <m:sub>
                <m:r>
                  <m:t xml:space="preserve">6</m:t>
                </m:r>
              </m:sub>
            </m:sSub>
          </m:sub>
        </m:sSub>
        <m:sSup>
          <m:e>
            <m:r>
              <m:t xml:space="preserve">q</m:t>
            </m:r>
          </m:e>
          <m:sup>
            <m:r>
              <m:t xml:space="preserve">*</m:t>
            </m:r>
          </m:sup>
        </m:sSup>
        <m:d>
          <m:dPr>
            <m:begChr m:val="("/>
            <m:endChr m:val=")"/>
          </m:dPr>
          <m:e>
            <m:r>
              <m:t xml:space="preserve">r</m:t>
            </m:r>
          </m:e>
        </m:d>
        <m:r>
          <m:t xml:space="preserve">=</m:t>
        </m:r>
        <m:sSub>
          <m:e>
            <m:r>
              <m:t xml:space="preserve">Q</m:t>
            </m:r>
          </m:e>
          <m:sub>
            <m:r>
              <m:t xml:space="preserve">∂</m:t>
            </m:r>
          </m:sub>
        </m:sSub>
        <m:d>
          <m:dPr>
            <m:begChr m:val="("/>
            <m:endChr m:val=")"/>
          </m:dPr>
          <m:e>
            <m:r>
              <m:t xml:space="preserve">r</m:t>
            </m:r>
          </m:e>
        </m:d>
      </m:oMath>
      <w:r>
        <w:t xml:space="preserve"> and this value is attained. For </w:t>
      </w:r>
      <m:oMath>
        <m:r>
          <m:t xml:space="preserve">β</m:t>
        </m:r>
        <m:r>
          <m:t xml:space="preserve">=</m:t>
        </m:r>
        <m:r>
          <m:t xml:space="preserve">0</m:t>
        </m:r>
      </m:oMath>
      <w:r>
        <w:t xml:space="preserve">, the same formula with </w:t>
      </w:r>
      <m:oMath>
        <m:sSub>
          <m:e>
            <m:r>
              <m:t xml:space="preserve">J</m:t>
            </m:r>
          </m:e>
          <m:sub>
            <m:r>
              <m:t xml:space="preserve">⊥</m:t>
            </m:r>
          </m:sub>
        </m:sSub>
        <m:r>
          <m:t xml:space="preserve">=</m:t>
        </m:r>
        <m:r>
          <m:t xml:space="preserve">0</m:t>
        </m:r>
      </m:oMath>
      <w:r>
        <w:t xml:space="preserve"> reduces to the parallel problem and is attainable in every compatible dimension.</w:t>
      </w:r>
    </w:p>
    <w:p>
      <w:r>
        <w:rPr>
          <w:b/>
        </w:rPr>
        <w:t>Proof of safety.</w:t>
      </w:r>
      <w:r>
        <w:t xml:space="preserve"> In (24), if </w:t>
      </w:r>
      <m:oMath>
        <m:sSub>
          <m:e>
            <m:r>
              <m:t xml:space="preserve">c</m:t>
            </m:r>
          </m:e>
          <m:sub>
            <m:r>
              <m:t xml:space="preserve">∥</m:t>
            </m:r>
          </m:sub>
        </m:sSub>
        <m:r>
          <m:t xml:space="preserve">≥</m:t>
        </m:r>
        <m:r>
          <m:t xml:space="preserve">0</m:t>
        </m:r>
      </m:oMath>
      <w:r>
        <w:t xml:space="preserve">, the reverse triangle inequality gives </w:t>
      </w:r>
      <m:oMath>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sSub>
          <m:e>
            <m:r>
              <m:t xml:space="preserve">c</m:t>
            </m:r>
          </m:e>
          <m:sub>
            <m:r>
              <m:t xml:space="preserve">∥</m:t>
            </m:r>
          </m:sub>
        </m:sSub>
        <m:sSup>
          <m:e>
            <m:d>
              <m:dPr>
                <m:begChr m:val="("/>
                <m:endChr m:val=")"/>
              </m:dPr>
              <m:e>
                <m:r>
                  <m:t xml:space="preserve">a</m:t>
                </m:r>
                <m:r>
                  <m:t xml:space="preserve">−</m:t>
                </m:r>
                <m:r>
                  <m:t xml:space="preserve">x</m:t>
                </m:r>
              </m:e>
            </m:d>
          </m:e>
          <m:sup>
            <m:r>
              <m:t xml:space="preserve">2</m:t>
            </m:r>
          </m:sup>
        </m:sSup>
      </m:oMath>
      <w:r>
        <w:t xml:space="preserve">. If </w:t>
      </w:r>
      <m:oMath>
        <m:sSub>
          <m:e>
            <m:r>
              <m:t xml:space="preserve">c</m:t>
            </m:r>
          </m:e>
          <m:sub>
            <m:r>
              <m:t xml:space="preserve">∥</m:t>
            </m:r>
          </m:sub>
        </m:sSub>
        <m:r>
          <m:t xml:space="preserve">&lt;</m:t>
        </m:r>
        <m:r>
          <m:t xml:space="preserve">0</m:t>
        </m:r>
      </m:oMath>
      <w:r>
        <w:t xml:space="preserve">, use </w:t>
      </w:r>
      <m:oMath>
        <m:r>
          <m:t xml:space="preserve">|</m:t>
        </m:r>
        <m:r>
          <m:t xml:space="preserve">s</m:t>
        </m:r>
        <m:r>
          <m:t xml:space="preserve">+</m:t>
        </m:r>
        <m:r>
          <m:t xml:space="preserve">t</m:t>
        </m:r>
        <m:r>
          <m:t xml:space="preserve">|</m:t>
        </m:r>
        <m:r>
          <m:t xml:space="preserve">≤</m:t>
        </m:r>
        <m:r>
          <m:t xml:space="preserve">a</m:t>
        </m:r>
        <m:r>
          <m:t xml:space="preserve">+</m:t>
        </m:r>
        <m:r>
          <m:t xml:space="preserve">x</m:t>
        </m:r>
      </m:oMath>
      <w:r>
        <w:t xml:space="preserve"> and reverse the inequality upon multiplication. The nominal orthogonal interference has norm </w:t>
      </w:r>
      <m:oMath>
        <m:sSub>
          <m:e>
            <m:r>
              <m:t xml:space="preserve">J</m:t>
            </m:r>
          </m:e>
          <m:sub>
            <m:r>
              <m:t xml:space="preserve">⊥</m:t>
            </m:r>
          </m:sub>
        </m:sSub>
      </m:oMath>
      <w:r>
        <w:t xml:space="preserve">; its perturbation has norm at most </w:t>
      </w:r>
      <m:oMath>
        <m:r>
          <m:t xml:space="preserve">β</m:t>
        </m:r>
        <m:r>
          <m:t xml:space="preserve">y</m:t>
        </m:r>
      </m:oMath>
      <w:r>
        <w:t xml:space="preserve">, with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Applying the triangle inequality and minimizing yields </w:t>
      </w:r>
      <m:oMath>
        <m:sSub>
          <m:e>
            <m:r>
              <m:t xml:space="preserve">Q</m:t>
            </m:r>
          </m:e>
          <m:sub>
            <m:r>
              <m:t xml:space="preserve">∂</m:t>
            </m:r>
          </m:sub>
        </m:sSub>
        <m:r>
          <m:t xml:space="preserve">≤</m:t>
        </m:r>
        <m:sSup>
          <m:e>
            <m:r>
              <m:t xml:space="preserve">q</m:t>
            </m:r>
          </m:e>
          <m:sup>
            <m:r>
              <m:t xml:space="preserve">*</m:t>
            </m:r>
          </m:sup>
        </m:sSup>
      </m:oMath>
      <w:r>
        <w:t>.</w:t>
      </w:r>
    </w:p>
    <w:p>
      <w:r>
        <w:rPr>
          <w:b/>
        </w:rPr>
        <w:t>Explicit construction.</w:t>
      </w:r>
      <w:r>
        <w:t xml:space="preserve"> For </w:t>
      </w:r>
      <m:oMath>
        <m:r>
          <m:t xml:space="preserve">β</m:t>
        </m:r>
        <m:r>
          <m:t xml:space="preserve">&gt;</m:t>
        </m:r>
        <m:r>
          <m:t xml:space="preserve">0</m:t>
        </m:r>
      </m:oMath>
      <w:r>
        <w:t>, take</w:t>
      </w:r>
    </w:p>
    <w:p>
      <w:pPr>
        <w:pStyle w:val="Equation"/>
      </w:pPr>
      <m:oMath>
        <m:sSup>
          <m:e>
            <m:r>
              <m:t xml:space="preserve">C</m:t>
            </m:r>
          </m:e>
          <m:sup>
            <m:r>
              <m:t xml:space="preserve">H</m:t>
            </m:r>
          </m:sup>
        </m:sSup>
        <m:r>
          <m:t xml:space="preserve">=</m:t>
        </m:r>
        <m:d>
          <m:dPr>
            <m:begChr m:val="("/>
            <m:endChr m:val=")"/>
          </m:dPr>
          <m:e>
            <m:m>
              <m:mr>
                <m:e>
                  <m:r>
                    <m:t xml:space="preserve">α</m:t>
                  </m:r>
                </m:e>
                <m:e>
                  <m:r>
                    <m:t xml:space="preserve">0</m:t>
                  </m:r>
                </m:e>
              </m:mr>
              <m:mr>
                <m:e>
                  <m:r>
                    <m:t xml:space="preserve">0</m:t>
                  </m:r>
                </m:e>
                <m:e>
                  <m:r>
                    <m:t xml:space="preserve">β</m:t>
                  </m:r>
                </m:e>
              </m:mr>
            </m:m>
          </m:e>
        </m:d>
        <m:r>
          <m:t xml:space="preserve">,</m:t>
        </m:r>
        <m:r>
          <m:t xml:space="preserve"> </m:t>
        </m:r>
        <m:r>
          <m:t xml:space="preserve"> </m:t>
        </m:r>
        <m:r>
          <m:t xml:space="preserve"> </m:t>
        </m:r>
        <m:r>
          <m:t xml:space="preserve">h</m:t>
        </m:r>
        <m:r>
          <m:t xml:space="preserve">̂</m:t>
        </m:r>
        <m:r>
          <m:t xml:space="preserve">=</m:t>
        </m:r>
        <m:d>
          <m:dPr>
            <m:begChr m:val="("/>
            <m:endChr m:val=")"/>
          </m:dPr>
          <m:e>
            <m:m>
              <m:mr>
                <m:e>
                  <m:r>
                    <m:t xml:space="preserve">a</m:t>
                  </m:r>
                </m:e>
              </m:mr>
              <m:mr>
                <m:e>
                  <m:sSub>
                    <m:e>
                      <m:r>
                        <m:t xml:space="preserve">J</m:t>
                      </m:r>
                    </m:e>
                    <m:sub>
                      <m:r>
                        <m:t xml:space="preserve">⊥</m:t>
                      </m:r>
                    </m:sub>
                  </m:sSub>
                  <m:r>
                    <m:t xml:space="preserve">/</m:t>
                  </m:r>
                  <m:r>
                    <m:t xml:space="preserve">β</m:t>
                  </m:r>
                </m:e>
              </m:mr>
            </m:m>
          </m:e>
        </m:d>
        <m:r>
          <m:t xml:space="preserve">,</m:t>
        </m:r>
        <m:r>
          <m:t xml:space="preserve"> </m:t>
        </m:r>
        <m:r>
          <m:t xml:space="preserve"> </m:t>
        </m:r>
        <m:r>
          <m:t xml:space="preserve"> </m:t>
        </m:r>
        <m:r>
          <m:t xml:space="preserve">b</m:t>
        </m:r>
        <m:r>
          <m:t xml:space="preserve">=</m:t>
        </m:r>
        <m:d>
          <m:dPr>
            <m:begChr m:val="("/>
            <m:endChr m:val=")"/>
          </m:dPr>
          <m:e>
            <m:m>
              <m:mr>
                <m:e>
                  <m:rad>
                    <m:radPr>
                      <m:degHide m:val="1"/>
                    </m:radPr>
                    <m:deg/>
                    <m:e>
                      <m:r>
                        <m:t xml:space="preserve">p</m:t>
                      </m:r>
                    </m:e>
                  </m:rad>
                </m:e>
              </m:mr>
              <m:mr>
                <m:e>
                  <m:r>
                    <m:t xml:space="preserve">0</m:t>
                  </m:r>
                </m:e>
              </m:mr>
            </m:m>
          </m:e>
        </m:d>
      </m:oMath>
      <w:r>
        <w:tab/>
        <w:t>(27)</w:t>
      </w:r>
    </w:p>
    <w:p>
      <w:r>
        <w:t xml:space="preserve">The six summaries are exactly </w:t>
      </w:r>
      <m:oMath>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r>
          <m:t xml:space="preserve">α</m:t>
        </m:r>
      </m:oMath>
      <w:r>
        <w:t xml:space="preserve">, since </w:t>
      </w:r>
      <m:oMath>
        <m:r>
          <m:t xml:space="preserve">β</m:t>
        </m:r>
        <m:r>
          <m:t xml:space="preserve">≤</m:t>
        </m:r>
        <m:r>
          <m:t xml:space="preserve">α</m:t>
        </m:r>
      </m:oMath>
      <w:r>
        <w:t xml:space="preserve"> and </w:t>
      </w:r>
      <m:oMath>
        <m:sSup>
          <m:e>
            <m:r>
              <m:t xml:space="preserve">α</m:t>
            </m:r>
          </m:e>
          <m:sup>
            <m:r>
              <m:t xml:space="preserve">2</m:t>
            </m:r>
          </m:sup>
        </m:sSup>
        <m:sSup>
          <m:e>
            <m:r>
              <m:t xml:space="preserve">a</m:t>
            </m:r>
          </m:e>
          <m:sup>
            <m:r>
              <m:t xml:space="preserve">2</m:t>
            </m:r>
          </m:sup>
        </m:sSup>
        <m:r>
          <m:t xml:space="preserve">+</m:t>
        </m:r>
        <m:sSup>
          <m:e>
            <m:sSub>
              <m:e>
                <m:r>
                  <m:t xml:space="preserve">J</m:t>
                </m:r>
              </m:e>
              <m:sub>
                <m:r>
                  <m:t xml:space="preserve">⊥</m:t>
                </m:r>
              </m:sub>
            </m:sSub>
          </m:e>
          <m:sup>
            <m:r>
              <m:t xml:space="preserve">2</m:t>
            </m:r>
          </m:sup>
        </m:sSup>
        <m:r>
          <m:t xml:space="preserve">=</m:t>
        </m:r>
        <m:sSup>
          <m:e>
            <m:sSub>
              <m:e>
                <m:r>
                  <m:t xml:space="preserve">I</m:t>
                </m:r>
              </m:e>
              <m:sub>
                <m:r>
                  <m:t xml:space="preserve">0</m:t>
                </m:r>
              </m:sub>
            </m:sSub>
          </m:e>
          <m:sup>
            <m:r>
              <m:t xml:space="preserve">2</m:t>
            </m:r>
          </m:sup>
        </m:sSup>
      </m:oMath>
      <w:r>
        <w:t xml:space="preserve">. For a minimizing </w:t>
      </w:r>
      <m:oMath>
        <m:r>
          <m:t xml:space="preserve">x</m:t>
        </m:r>
      </m:oMath>
      <w:r>
        <w:t xml:space="preserve"> in (25), put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and choose </w:t>
      </w:r>
      <m:oMath>
        <m:r>
          <m:t xml:space="preserve">e</m:t>
        </m:r>
        <m:r>
          <m:t xml:space="preserve">=</m:t>
        </m:r>
        <m:sSup>
          <m:e>
            <m:d>
              <m:dPr>
                <m:begChr m:val="("/>
                <m:endChr m:val=")"/>
              </m:dPr>
              <m:e>
                <m:r>
                  <m:t xml:space="preserve">−</m:t>
                </m:r>
                <m:r>
                  <m:t xml:space="preserve">x</m:t>
                </m:r>
                <m:r>
                  <m:t xml:space="preserve">,</m:t>
                </m:r>
                <m:r>
                  <m:t xml:space="preserve">y</m:t>
                </m:r>
              </m:e>
            </m:d>
          </m:e>
          <m:sup>
            <m:r>
              <m:t xml:space="preserve">T</m:t>
            </m:r>
          </m:sup>
        </m:sSup>
      </m:oMath>
      <w:r>
        <w:t xml:space="preserve"> for </w:t>
      </w:r>
      <m:oMath>
        <m:sSub>
          <m:e>
            <m:r>
              <m:t xml:space="preserve">c</m:t>
            </m:r>
          </m:e>
          <m:sub>
            <m:r>
              <m:t xml:space="preserve">∥</m:t>
            </m:r>
          </m:sub>
        </m:sSub>
        <m:r>
          <m:t xml:space="preserve">≥</m:t>
        </m:r>
        <m:r>
          <m:t xml:space="preserve">0</m:t>
        </m:r>
      </m:oMath>
      <w:r>
        <w:t xml:space="preserve">, or </w:t>
      </w:r>
      <m:oMath>
        <m:r>
          <m:t xml:space="preserve">e</m:t>
        </m:r>
        <m:r>
          <m:t xml:space="preserve">=</m:t>
        </m:r>
        <m:sSup>
          <m:e>
            <m:d>
              <m:dPr>
                <m:begChr m:val="("/>
                <m:endChr m:val=")"/>
              </m:dPr>
              <m:e>
                <m:r>
                  <m:t xml:space="preserve">x</m:t>
                </m:r>
                <m:r>
                  <m:t xml:space="preserve">,</m:t>
                </m:r>
                <m:r>
                  <m:t xml:space="preserve">y</m:t>
                </m:r>
              </m:e>
            </m:d>
          </m:e>
          <m:sup>
            <m:r>
              <m:t xml:space="preserve">T</m:t>
            </m:r>
          </m:sup>
        </m:sSup>
      </m:oMath>
      <w:r>
        <w:t xml:space="preserve"> for </w:t>
      </w:r>
      <m:oMath>
        <m:sSub>
          <m:e>
            <m:r>
              <m:t xml:space="preserve">c</m:t>
            </m:r>
          </m:e>
          <m:sub>
            <m:r>
              <m:t xml:space="preserve">∥</m:t>
            </m:r>
          </m:sub>
        </m:sSub>
        <m:r>
          <m:t xml:space="preserve">&lt;</m:t>
        </m:r>
        <m:r>
          <m:t xml:space="preserve">0</m:t>
        </m:r>
      </m:oMath>
      <w:r>
        <w:t xml:space="preserve">. The parallel term in (24) then equals </w:t>
      </w:r>
      <m:oMath>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r>
              <m:t xml:space="preserve">x</m:t>
            </m:r>
          </m:e>
        </m:d>
      </m:oMath>
      <w:r>
        <w:t xml:space="preserve">, and the orthogonal interference norm equals </w:t>
      </w:r>
      <m:oMath>
        <m:sSub>
          <m:e>
            <m:r>
              <m:t xml:space="preserve">J</m:t>
            </m:r>
          </m:e>
          <m:sub>
            <m:r>
              <m:t xml:space="preserve">⊥</m:t>
            </m:r>
          </m:sub>
        </m:sSub>
        <m:r>
          <m:t xml:space="preserve">+</m:t>
        </m:r>
        <m:r>
          <m:t xml:space="preserve">β</m:t>
        </m:r>
        <m:r>
          <m:t xml:space="preserve">y</m:t>
        </m:r>
      </m:oMath>
      <w:r>
        <w:t xml:space="preserve">. The error is feasible and its objective equals </w:t>
      </w:r>
      <m:oMath>
        <m:sSub>
          <m:e>
            <m:r>
              <m:t xml:space="preserve">Q</m:t>
            </m:r>
          </m:e>
          <m:sub>
            <m:r>
              <m:t xml:space="preserve">∂</m:t>
            </m:r>
          </m:sub>
        </m:sSub>
      </m:oMath>
      <w:r>
        <w:t xml:space="preserve">. Safety gives equality with </w:t>
      </w:r>
      <m:oMath>
        <m:sSup>
          <m:e>
            <m:r>
              <m:t xml:space="preserve">q</m:t>
            </m:r>
          </m:e>
          <m:sup>
            <m:r>
              <m:t xml:space="preserve">*</m:t>
            </m:r>
          </m:sup>
        </m:sSup>
      </m:oMath>
      <w:r>
        <w:t xml:space="preserve"> for this instance. Zero padding establishes attainment in larger dimensions. If </w:t>
      </w:r>
      <m:oMath>
        <m:r>
          <m:t xml:space="preserve">β</m:t>
        </m:r>
        <m:r>
          <m:t xml:space="preserve">=</m:t>
        </m:r>
        <m:r>
          <m:t xml:space="preserve">0</m:t>
        </m:r>
      </m:oMath>
      <w:r>
        <w:t xml:space="preserve">, take </w:t>
      </w:r>
      <m:oMath>
        <m:sSup>
          <m:e>
            <m:r>
              <m:t xml:space="preserve">C</m:t>
            </m:r>
          </m:e>
          <m:sup>
            <m:r>
              <m:t xml:space="preserve">H</m:t>
            </m:r>
          </m:sup>
        </m:sSup>
        <m:r>
          <m:t xml:space="preserve">=</m:t>
        </m:r>
        <m:d>
          <m:dPr>
            <m:begChr m:val="["/>
            <m:endChr m:val="]"/>
          </m:dPr>
          <m:e>
            <m:r>
              <m:t xml:space="preserve">α</m:t>
            </m:r>
            <m:r>
              <m:t xml:space="preserve">,</m:t>
            </m:r>
            <m:r>
              <m:t xml:space="preserve">0</m:t>
            </m:r>
            <m:r>
              <m:t xml:space="preserve">,</m:t>
            </m:r>
            <m:r>
              <m:t xml:space="preserve">…</m:t>
            </m:r>
          </m:e>
        </m:d>
      </m:oMath>
      <w:r>
        <w:t xml:space="preserve">, </w:t>
      </w:r>
      <m:oMath>
        <m:r>
          <m:t xml:space="preserve">h</m:t>
        </m:r>
        <m:r>
          <m:t xml:space="preserve">̂</m:t>
        </m:r>
        <m:r>
          <m:t xml:space="preserve">=</m:t>
        </m:r>
        <m:r>
          <m:t xml:space="preserve">a</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the same phase choice attains the parallel formula. At </w:t>
      </w:r>
      <m:oMath>
        <m:r>
          <m:t xml:space="preserve">r</m:t>
        </m:r>
        <m:r>
          <m:t xml:space="preserve">=</m:t>
        </m:r>
        <m:r>
          <m:t xml:space="preserve">0</m:t>
        </m:r>
      </m:oMath>
      <w:r>
        <w:t>, no limiting argument is needed. □</w:t>
      </w:r>
    </w:p>
    <w:p>
      <w:r>
        <w:t xml:space="preserve">The general safe bound </w:t>
      </w:r>
      <m:oMath>
        <m:sSub>
          <m:e>
            <m:r>
              <m:t xml:space="preserve">Q</m:t>
            </m:r>
          </m:e>
          <m:sub>
            <m:r>
              <m:t xml:space="preserve">G</m:t>
            </m:r>
          </m:sub>
        </m:sSub>
      </m:oMath>
      <w:r>
        <w:t xml:space="preserve"> remains valid on the boundary, while </w:t>
      </w:r>
      <m:oMath>
        <m:sSub>
          <m:e>
            <m:r>
              <m:t xml:space="preserve">Q</m:t>
            </m:r>
          </m:e>
          <m:sub>
            <m:r>
              <m:t xml:space="preserve">∂</m:t>
            </m:r>
          </m:sub>
        </m:sSub>
      </m:oMath>
      <w:r>
        <w:t xml:space="preserve"> incorporates additional phase compatibility forced by that boundary. Comparing them for the same boundary summaries is legitimate. Applying </w:t>
      </w:r>
      <m:oMath>
        <m:sSub>
          <m:e>
            <m:r>
              <m:t xml:space="preserve">Q</m:t>
            </m:r>
          </m:e>
          <m:sub>
            <m:r>
              <m:t xml:space="preserve">∂</m:t>
            </m:r>
          </m:sub>
        </m:sSub>
      </m:oMath>
      <w:r>
        <w:t xml:space="preserve"> to an instance with </w:t>
      </w:r>
      <m:oMath>
        <m:sSub>
          <m:e>
            <m:r>
              <m:t xml:space="preserve">β</m:t>
            </m:r>
          </m:e>
          <m:sub>
            <m:r>
              <m:t xml:space="preserve">0</m:t>
            </m:r>
          </m:sub>
        </m:sSub>
        <m:r>
          <m:t xml:space="preserve">&gt;</m:t>
        </m:r>
        <m:r>
          <m:t xml:space="preserve">α</m:t>
        </m:r>
      </m:oMath>
      <w:r>
        <w:t xml:space="preserve"> is not justified.</w:t>
      </w:r>
    </w:p>
    <w:p>
      <w:pPr>
        <w:pStyle w:val="Heading1"/>
      </w:pPr>
      <w:r>
        <w:t>5 Boundary behavior and additional channel norm information</w:t>
      </w:r>
    </w:p>
    <w:p>
      <w:r>
        <w:t xml:space="preserve">Take </w:t>
      </w:r>
      <m:oMath>
        <m:r>
          <m:t xml:space="preserve">p</m:t>
        </m:r>
        <m:r>
          <m:t xml:space="preserve">=</m:t>
        </m:r>
        <m:r>
          <m:t xml:space="preserve">2</m:t>
        </m:r>
      </m:oMath>
      <w:r>
        <w:t xml:space="preserve">, </w:t>
      </w:r>
      <m:oMath>
        <m:r>
          <m:t xml:space="preserve">a</m:t>
        </m:r>
        <m:r>
          <m:t xml:space="preserve">=</m:t>
        </m:r>
        <m:sSub>
          <m:e>
            <m:r>
              <m:t xml:space="preserve">I</m:t>
            </m:r>
          </m:e>
          <m:sub>
            <m:r>
              <m:t xml:space="preserve">0</m:t>
            </m:r>
          </m:sub>
        </m:sSub>
        <m:r>
          <m:t xml:space="preserve">=</m:t>
        </m:r>
        <m:r>
          <m:t xml:space="preserve">α</m:t>
        </m:r>
        <m:r>
          <m:t xml:space="preserve">=</m:t>
        </m:r>
        <m:r>
          <m:t xml:space="preserve">γ</m:t>
        </m:r>
        <m:r>
          <m:t xml:space="preserve">=</m:t>
        </m:r>
        <m:r>
          <m:t xml:space="preserve">1</m:t>
        </m:r>
      </m:oMath>
      <w:r>
        <w:t xml:space="preserve">, </w:t>
      </w:r>
      <m:oMath>
        <m:r>
          <m:t xml:space="preserve">β</m:t>
        </m:r>
        <m:r>
          <m:t xml:space="preserve">=</m:t>
        </m:r>
        <m:r>
          <m:t xml:space="preserve">0</m:t>
        </m:r>
        <m:r>
          <m:t xml:space="preserve">.</m:t>
        </m:r>
        <m:r>
          <m:t xml:space="preserve">7</m:t>
        </m:r>
      </m:oMath>
      <w:r>
        <w:t xml:space="preserve">, </w:t>
      </w:r>
      <m:oMath>
        <m:sSup>
          <m:e>
            <m:r>
              <m:t xml:space="preserve">σ</m:t>
            </m:r>
          </m:e>
          <m:sup>
            <m:r>
              <m:t xml:space="preserve">2</m:t>
            </m:r>
          </m:sup>
        </m:sSup>
        <m:r>
          <m:t xml:space="preserve">=</m:t>
        </m:r>
        <m:r>
          <m:t xml:space="preserve">0</m:t>
        </m:r>
        <m:r>
          <m:t xml:space="preserve">.</m:t>
        </m:r>
        <m:r>
          <m:t xml:space="preserve">0</m:t>
        </m:r>
        <m:r>
          <m:t xml:space="preserve">5</m:t>
        </m:r>
      </m:oMath>
      <w:r>
        <w:t xml:space="preserve"> and </w:t>
      </w:r>
      <m:oMath>
        <m:r>
          <m:t xml:space="preserve">r</m:t>
        </m:r>
        <m:r>
          <m:t xml:space="preserve">=</m:t>
        </m:r>
        <m:r>
          <m:t xml:space="preserve">0</m:t>
        </m:r>
        <m:r>
          <m:t xml:space="preserve">.</m:t>
        </m:r>
        <m:r>
          <m:t xml:space="preserve">2</m:t>
        </m:r>
      </m:oMath>
      <w:r>
        <w:t xml:space="preserve">. The boundary construction (27) has </w:t>
      </w:r>
      <m:oMath>
        <m:sSub>
          <m:e>
            <m:r>
              <m:t xml:space="preserve">J</m:t>
            </m:r>
          </m:e>
          <m:sub>
            <m:r>
              <m:t xml:space="preserve">⊥</m:t>
            </m:r>
          </m:sub>
        </m:sSub>
        <m:r>
          <m:t xml:space="preserve">=</m:t>
        </m:r>
        <m:r>
          <m:t xml:space="preserve">0</m:t>
        </m:r>
      </m:oMath>
      <w:r>
        <w:t xml:space="preserve">, </w:t>
      </w:r>
      <m:oMath>
        <m:sSub>
          <m:e>
            <m:r>
              <m:t xml:space="preserve">c</m:t>
            </m:r>
          </m:e>
          <m:sub>
            <m:r>
              <m:t xml:space="preserve">∥</m:t>
            </m:r>
          </m:sub>
        </m:sSub>
        <m:r>
          <m:t xml:space="preserve">=</m:t>
        </m:r>
        <m:r>
          <m:t xml:space="preserve">1</m:t>
        </m:r>
      </m:oMath>
      <w:r>
        <w:t xml:space="preserve"> and </w:t>
      </w:r>
      <m:oMath>
        <m:r>
          <m:t xml:space="preserve">h</m:t>
        </m:r>
        <m:r>
          <m:t xml:space="preserve">̂</m:t>
        </m:r>
        <m:r>
          <m:t xml:space="preserve">=</m:t>
        </m:r>
        <m:sSup>
          <m:e>
            <m:d>
              <m:dPr>
                <m:begChr m:val="("/>
                <m:endChr m:val=")"/>
              </m:dPr>
              <m:e>
                <m:r>
                  <m:t xml:space="preserve">1</m:t>
                </m:r>
                <m:r>
                  <m:t xml:space="preserve">,</m:t>
                </m:r>
                <m:r>
                  <m:t xml:space="preserve">0</m:t>
                </m:r>
              </m:e>
            </m:d>
          </m:e>
          <m:sup>
            <m:r>
              <m:t xml:space="preserve">T</m:t>
            </m:r>
          </m:sup>
        </m:sSup>
      </m:oMath>
      <w:r>
        <w:t xml:space="preserve">. Its one dimensional objective is </w:t>
      </w:r>
      <m:oMath>
        <m:sSup>
          <m:e>
            <m:d>
              <m:dPr>
                <m:begChr m:val="("/>
                <m:endChr m:val=")"/>
              </m:dPr>
              <m:e>
                <m:r>
                  <m:t xml:space="preserve">1</m:t>
                </m:r>
                <m:r>
                  <m:t xml:space="preserve">−</m:t>
                </m:r>
                <m:r>
                  <m:t xml:space="preserve">x</m:t>
                </m:r>
              </m:e>
            </m:d>
          </m:e>
          <m:sup>
            <m:r>
              <m:t xml:space="preserve">2</m:t>
            </m:r>
          </m:sup>
        </m:sSup>
        <m:r>
          <m:t xml:space="preserve">−</m:t>
        </m:r>
        <m:r>
          <m:t xml:space="preserve">0</m:t>
        </m:r>
        <m:r>
          <m:t xml:space="preserve">.</m:t>
        </m:r>
        <m:r>
          <m:t xml:space="preserve">4</m:t>
        </m:r>
        <m:r>
          <m:t xml:space="preserve">9</m:t>
        </m:r>
        <m:d>
          <m:dPr>
            <m:begChr m:val="("/>
            <m:endChr m:val=")"/>
          </m:dPr>
          <m:e>
            <m:r>
              <m:t xml:space="preserve">0</m:t>
            </m:r>
            <m:r>
              <m:t xml:space="preserve">.</m:t>
            </m:r>
            <m:r>
              <m:t xml:space="preserve">0</m:t>
            </m:r>
            <m:r>
              <m:t xml:space="preserve">4</m:t>
            </m:r>
            <m:r>
              <m:t xml:space="preserve">−</m:t>
            </m:r>
            <m:sSup>
              <m:e>
                <m:r>
                  <m:t xml:space="preserve">x</m:t>
                </m:r>
              </m:e>
              <m:sup>
                <m:r>
                  <m:t xml:space="preserve">2</m:t>
                </m:r>
              </m:sup>
            </m:sSup>
          </m:e>
        </m:d>
        <m:r>
          <m:t xml:space="preserve">−</m:t>
        </m:r>
        <m:r>
          <m:t xml:space="preserve">0</m:t>
        </m:r>
        <m:r>
          <m:t xml:space="preserve">.</m:t>
        </m:r>
        <m:r>
          <m:t xml:space="preserve">0</m:t>
        </m:r>
        <m:r>
          <m:t xml:space="preserve">5</m:t>
        </m:r>
      </m:oMath>
      <w:r>
        <w:t xml:space="preserve">, which decreases on </w:t>
      </w:r>
      <m:oMath>
        <m:d>
          <m:dPr>
            <m:begChr m:val="["/>
            <m:endChr m:val="]"/>
          </m:dPr>
          <m:e>
            <m:r>
              <m:t xml:space="preserve">0</m:t>
            </m:r>
            <m:r>
              <m:t xml:space="preserve">,</m:t>
            </m:r>
            <m:r>
              <m:t xml:space="preserve">0</m:t>
            </m:r>
            <m:r>
              <m:t xml:space="preserve">.</m:t>
            </m:r>
            <m:r>
              <m:t xml:space="preserve">2</m:t>
            </m:r>
          </m:e>
        </m:d>
      </m:oMath>
      <w:r>
        <w:t xml:space="preserve">. Thus </w:t>
      </w:r>
      <m:oMath>
        <m:sSub>
          <m:e>
            <m:r>
              <m:t xml:space="preserve">Q</m:t>
            </m:r>
          </m:e>
          <m:sub>
            <m:r>
              <m:t xml:space="preserve">∂</m:t>
            </m:r>
          </m:sub>
        </m:sSub>
        <m:r>
          <m:t xml:space="preserve">=</m:t>
        </m:r>
        <m:sSup>
          <m:e>
            <m:r>
              <m:t xml:space="preserve">q</m:t>
            </m:r>
          </m:e>
          <m:sup>
            <m:r>
              <m:t xml:space="preserve">*</m:t>
            </m:r>
          </m:sup>
        </m:sSup>
        <m:r>
          <m:t xml:space="preserve">=</m:t>
        </m:r>
        <m:r>
          <m:t xml:space="preserve">0</m:t>
        </m:r>
        <m:r>
          <m:t xml:space="preserve">.</m:t>
        </m:r>
        <m:r>
          <m:t xml:space="preserve">5</m:t>
        </m:r>
        <m:r>
          <m:t xml:space="preserve">9</m:t>
        </m:r>
      </m:oMath>
      <w:r>
        <w:t xml:space="preserve">, attained at </w:t>
      </w:r>
      <m:oMath>
        <m:r>
          <m:t xml:space="preserve">x</m:t>
        </m:r>
        <m:r>
          <m:t xml:space="preserve">=</m:t>
        </m:r>
        <m:r>
          <m:t xml:space="preserve">0</m:t>
        </m:r>
        <m:r>
          <m:t xml:space="preserve">.</m:t>
        </m:r>
        <m:r>
          <m:t xml:space="preserve">2</m:t>
        </m:r>
      </m:oMath>
      <w:r>
        <w:t xml:space="preserve">. The general safe bound for these boundary summaries is </w:t>
      </w:r>
      <m:oMath>
        <m:sSub>
          <m:e>
            <m:r>
              <m:t xml:space="preserve">Q</m:t>
            </m:r>
          </m:e>
          <m:sub>
            <m:r>
              <m:t xml:space="preserve">G</m:t>
            </m:r>
          </m:sub>
        </m:sSub>
        <m:r>
          <m:t xml:space="preserve">=</m:t>
        </m:r>
        <m:r>
          <m:t xml:space="preserve">−</m:t>
        </m:r>
        <m:r>
          <m:t xml:space="preserve">0</m:t>
        </m:r>
        <m:r>
          <m:t xml:space="preserve">.</m:t>
        </m:r>
        <m:r>
          <m:t xml:space="preserve">2</m:t>
        </m:r>
        <m:r>
          <m:t xml:space="preserve">1</m:t>
        </m:r>
      </m:oMath>
      <w:r>
        <w:t>.</w:t>
      </w:r>
    </w:p>
    <w:p>
      <w:r>
        <w:t xml:space="preserve">For comparison, consider a nondegenerate family with </w:t>
      </w:r>
      <m:oMath>
        <m:sSup>
          <m:e>
            <m:r>
              <m:t xml:space="preserve">C</m:t>
            </m:r>
          </m:e>
          <m:sup>
            <m:r>
              <m:t xml:space="preserve">H</m:t>
            </m:r>
          </m:sup>
        </m:sSup>
        <m:r>
          <m:t xml:space="preserve">=</m:t>
        </m:r>
        <m:d>
          <m:dPr>
            <m:begChr m:val="("/>
            <m:endChr m:val=")"/>
          </m:dPr>
          <m:e>
            <m:m>
              <m:mr>
                <m:e>
                  <m:r>
                    <m:t xml:space="preserve">1</m:t>
                  </m:r>
                </m:e>
                <m:e>
                  <m:r>
                    <m:t xml:space="preserve">δ</m:t>
                  </m:r>
                </m:e>
                <m:e>
                  <m:r>
                    <m:t xml:space="preserve">0</m:t>
                  </m:r>
                </m:e>
              </m:mr>
              <m:mr>
                <m:e>
                  <m:r>
                    <m:t xml:space="preserve">0</m:t>
                  </m:r>
                </m:e>
                <m:e>
                  <m:r>
                    <m:t xml:space="preserve">0</m:t>
                  </m:r>
                </m:e>
                <m:e>
                  <m:r>
                    <m:t xml:space="preserve">0</m:t>
                  </m:r>
                  <m:r>
                    <m:t xml:space="preserve">.</m:t>
                  </m:r>
                  <m:r>
                    <m:t xml:space="preserve">7</m:t>
                  </m:r>
                </m:e>
              </m:mr>
            </m:m>
          </m:e>
        </m:d>
      </m:oMath>
      <w:r>
        <w:t xml:space="preserve">, </w:t>
      </w:r>
      <m:oMath>
        <m:r>
          <m:t xml:space="preserve">h</m:t>
        </m:r>
        <m:r>
          <m:t xml:space="preserve">̂</m:t>
        </m:r>
        <m:r>
          <m:t xml:space="preserve">=</m:t>
        </m:r>
        <m:sSup>
          <m:e>
            <m:d>
              <m:dPr>
                <m:begChr m:val="("/>
                <m:endChr m:val=")"/>
              </m:dPr>
              <m:e>
                <m:r>
                  <m:t xml:space="preserve">1</m:t>
                </m:r>
                <m:r>
                  <m:t xml:space="preserve">,</m:t>
                </m:r>
                <m:r>
                  <m:t xml:space="preserve">−</m:t>
                </m:r>
                <m:r>
                  <m:t xml:space="preserve">2</m:t>
                </m:r>
                <m:r>
                  <m:t xml:space="preserve">/</m:t>
                </m:r>
                <m:r>
                  <m:t xml:space="preserve">δ</m:t>
                </m:r>
                <m:r>
                  <m:t xml:space="preserve">,</m:t>
                </m:r>
                <m:r>
                  <m:t xml:space="preserve">0</m:t>
                </m:r>
              </m:e>
            </m:d>
          </m:e>
          <m:sup>
            <m:r>
              <m:t xml:space="preserve">T</m:t>
            </m:r>
          </m:sup>
        </m:sSup>
      </m:oMath>
      <w:r>
        <w:t xml:space="preserve"> and </w:t>
      </w:r>
      <m:oMath>
        <m:r>
          <m:t xml:space="preserve">b</m:t>
        </m:r>
        <m:r>
          <m:t xml:space="preserve">=</m:t>
        </m:r>
        <m:sSup>
          <m:e>
            <m:d>
              <m:dPr>
                <m:begChr m:val="("/>
                <m:endChr m:val=")"/>
              </m:dPr>
              <m:e>
                <m:rad>
                  <m:radPr>
                    <m:degHide m:val="1"/>
                  </m:radPr>
                  <m:deg/>
                  <m:e>
                    <m:r>
                      <m:t xml:space="preserve">2</m:t>
                    </m:r>
                  </m:e>
                </m:rad>
                <m:r>
                  <m:t xml:space="preserve">,</m:t>
                </m:r>
                <m:r>
                  <m:t xml:space="preserve">0</m:t>
                </m:r>
                <m:r>
                  <m:t xml:space="preserve">,</m:t>
                </m:r>
                <m:r>
                  <m:t xml:space="preserve">0</m:t>
                </m:r>
              </m:e>
            </m:d>
          </m:e>
          <m:sup>
            <m:r>
              <m:t xml:space="preserve">T</m:t>
            </m:r>
          </m:sup>
        </m:sSup>
      </m:oMath>
      <w:r>
        <w:t xml:space="preserve">. It preserves the other five summaries while </w:t>
      </w:r>
      <m:oMath>
        <m:sSub>
          <m:e>
            <m:r>
              <m:t xml:space="preserve">β</m:t>
            </m:r>
          </m:e>
          <m:sub>
            <m:r>
              <m:t xml:space="preserve">0</m:t>
            </m:r>
          </m:sub>
        </m:sSub>
        <m:r>
          <m:t xml:space="preserve">=</m:t>
        </m:r>
        <m:rad>
          <m:radPr>
            <m:degHide m:val="1"/>
          </m:radPr>
          <m:deg/>
          <m:e>
            <m:r>
              <m:t xml:space="preserve">1</m:t>
            </m:r>
            <m:r>
              <m:t xml:space="preserve">+</m:t>
            </m:r>
            <m:sSup>
              <m:e>
                <m:r>
                  <m:t xml:space="preserve">δ</m:t>
                </m:r>
              </m:e>
              <m:sup>
                <m:r>
                  <m:t xml:space="preserve">2</m:t>
                </m:r>
              </m:sup>
            </m:sSup>
          </m:e>
        </m:rad>
      </m:oMath>
      <w:r>
        <w:t xml:space="preserve"> approaches </w:t>
      </w:r>
      <m:oMath>
        <m:r>
          <m:t xml:space="preserve">α</m:t>
        </m:r>
      </m:oMath>
      <w:r>
        <w:t xml:space="preserve"> from above. For </w:t>
      </w:r>
      <m:oMath>
        <m:r>
          <m:t xml:space="preserve">δ</m:t>
        </m:r>
        <m:r>
          <m:t xml:space="preserve">=</m:t>
        </m:r>
        <m:r>
          <m:t xml:space="preserve">0</m:t>
        </m:r>
        <m:r>
          <m:t xml:space="preserve">.</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1</m:t>
        </m:r>
      </m:oMath>
      <w:r>
        <w:t xml:space="preserve">, the reference and </w:t>
      </w:r>
      <m:oMath>
        <m:sSub>
          <m:e>
            <m:r>
              <m:t xml:space="preserve">Q</m:t>
            </m:r>
          </m:e>
          <m:sub>
            <m:r>
              <m:t xml:space="preserve">G</m:t>
            </m:r>
          </m:sub>
        </m:sSub>
      </m:oMath>
      <w:r>
        <w:t xml:space="preserve"> agree to numerical accuracy at −0.211028, −0.210093 and −0.210010. The nominal channel norms are 20.02, 66.67 and 200.00. The objective at </w:t>
      </w:r>
      <m:oMath>
        <m:r>
          <m:t xml:space="preserve">e</m:t>
        </m:r>
        <m:r>
          <m:t xml:space="preserve">=</m:t>
        </m:r>
        <m:sSup>
          <m:e>
            <m:d>
              <m:dPr>
                <m:begChr m:val="("/>
                <m:endChr m:val=")"/>
              </m:dPr>
              <m:e>
                <m:r>
                  <m:t xml:space="preserve">−</m:t>
                </m:r>
                <m:r>
                  <m:t xml:space="preserve">0</m:t>
                </m:r>
                <m:r>
                  <m:t xml:space="preserve">.</m:t>
                </m:r>
                <m:r>
                  <m:t xml:space="preserve">2</m:t>
                </m:r>
                <m:r>
                  <m:t xml:space="preserve">,</m:t>
                </m:r>
                <m:r>
                  <m:t xml:space="preserve">0</m:t>
                </m:r>
                <m:r>
                  <m:t xml:space="preserve">,</m:t>
                </m:r>
                <m:r>
                  <m:t xml:space="preserve">0</m:t>
                </m:r>
              </m:e>
            </m:d>
          </m:e>
          <m:sup>
            <m:r>
              <m:t xml:space="preserve">T</m:t>
            </m:r>
          </m:sup>
        </m:sSup>
      </m:oMath>
      <w:r>
        <w:t xml:space="preserve"> is always −0.21.</w:t>
      </w:r>
    </w:p>
    <w:p>
      <w:r>
        <w:t>This also establishes the discontinuity of the information class optimum for this parameter sequence without relying on numerical agreement: the safe lower bound tends to −0.21, while the displayed feasible error gives an upper bound of −0.21 on the family margin. At the boundary, Theorem 3 gives 0.59. The nominal channels do not approach a finite fixed channel. Hence this is a change in the optimum over information classes, not a discontinuity of one physical system's QoS.</w:t>
      </w:r>
    </w:p>
    <w:p>
      <w:r>
        <w:t xml:space="preserve">Table 1 reports four boundary checks. They vary </w:t>
      </w:r>
      <m:oMath>
        <m:r>
          <m:t xml:space="preserve">p</m:t>
        </m:r>
      </m:oMath>
      <w:r>
        <w:t xml:space="preserve"> and </w:t>
      </w:r>
      <m:oMath>
        <m:sSub>
          <m:e>
            <m:r>
              <m:t xml:space="preserve">I</m:t>
            </m:r>
          </m:e>
          <m:sub>
            <m:r>
              <m:t xml:space="preserve">0</m:t>
            </m:r>
          </m:sub>
        </m:sSub>
      </m:oMath>
      <w:r>
        <w:t xml:space="preserve">, while </w:t>
      </w:r>
      <m:oMath>
        <m:r>
          <m:t xml:space="preserve">a</m:t>
        </m:r>
        <m:r>
          <m:t xml:space="preserve">=</m:t>
        </m:r>
        <m:r>
          <m:t xml:space="preserve">α</m:t>
        </m:r>
        <m:r>
          <m:t xml:space="preserve">=</m:t>
        </m:r>
        <m:r>
          <m:t xml:space="preserve">γ</m:t>
        </m:r>
        <m:r>
          <m:t xml:space="preserve">=</m:t>
        </m:r>
        <m:r>
          <m:t xml:space="preserve">1</m:t>
        </m:r>
      </m:oMath>
      <w:r>
        <w:t xml:space="preserve">, </w:t>
      </w:r>
      <m:oMath>
        <m:r>
          <m:t xml:space="preserve">β</m:t>
        </m:r>
        <m:r>
          <m:t xml:space="preserve">=</m:t>
        </m:r>
        <m:r>
          <m:t xml:space="preserve">0</m:t>
        </m:r>
        <m:r>
          <m:t xml:space="preserve">.</m:t>
        </m:r>
        <m:r>
          <m:t xml:space="preserve">7</m:t>
        </m:r>
      </m:oMath>
      <w:r>
        <w:t xml:space="preserve">, </w:t>
      </w:r>
      <m:oMath>
        <m:sSup>
          <m:e>
            <m:r>
              <m:t xml:space="preserve">σ</m:t>
            </m:r>
          </m:e>
          <m:sup>
            <m:r>
              <m:t xml:space="preserve">2</m:t>
            </m:r>
          </m:sup>
        </m:sSup>
        <m:r>
          <m:t xml:space="preserve">=</m:t>
        </m:r>
        <m:r>
          <m:t xml:space="preserve">0</m:t>
        </m:r>
        <m:r>
          <m:t xml:space="preserve">.</m:t>
        </m:r>
        <m:r>
          <m:t xml:space="preserve">0</m:t>
        </m:r>
        <m:r>
          <m:t xml:space="preserve">5</m:t>
        </m:r>
      </m:oMath>
      <w:r>
        <w:t xml:space="preserve"> and </w:t>
      </w:r>
      <m:oMath>
        <m:r>
          <m:t xml:space="preserve">r</m:t>
        </m:r>
        <m:r>
          <m:t xml:space="preserve">=</m:t>
        </m:r>
        <m:r>
          <m:t xml:space="preserve">0</m:t>
        </m:r>
        <m:r>
          <m:t xml:space="preserve">.</m:t>
        </m:r>
        <m:r>
          <m:t xml:space="preserve">2</m:t>
        </m:r>
      </m:oMath>
      <w:r>
        <w:t xml:space="preserve"> remain fixed. In particular, the cases with </w:t>
      </w:r>
      <m:oMath>
        <m:sSub>
          <m:e>
            <m:r>
              <m:t xml:space="preserve">I</m:t>
            </m:r>
          </m:e>
          <m:sub>
            <m:r>
              <m:t xml:space="preserve">0</m:t>
            </m:r>
          </m:sub>
        </m:sSub>
        <m:r>
          <m:t xml:space="preserve">=</m:t>
        </m:r>
        <m:r>
          <m:t xml:space="preserve">1</m:t>
        </m:r>
        <m:r>
          <m:t xml:space="preserve">.</m:t>
        </m:r>
        <m:r>
          <m:t xml:space="preserve">3</m:t>
        </m:r>
      </m:oMath>
      <w:r>
        <w:t xml:space="preserve"> are not cases with </w:t>
      </w:r>
      <m:oMath>
        <m:r>
          <m:t xml:space="preserve">a</m:t>
        </m:r>
        <m:r>
          <m:t xml:space="preserve">=</m:t>
        </m:r>
        <m:r>
          <m:t xml:space="preserve">1</m:t>
        </m:r>
        <m:r>
          <m:t xml:space="preserve">.</m:t>
        </m:r>
        <m:r>
          <m:t xml:space="preserve">3</m:t>
        </m:r>
      </m:oMath>
      <w:r>
        <w:t>.</w:t>
      </w:r>
    </w:p>
    <w:p>
      <w:pPr>
        <w:pStyle w:val="Caption"/>
        <w:keepNext/>
      </w:pPr>
      <w:r>
        <w:t>Table 1. Explicit boundary checks with a = 1 throughout.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p</w:t>
            </w:r>
          </w:p>
        </w:tc>
        <w:tc>
          <w:tcPr>
            <w:tcW w:type="dxa" w:w="576"/>
            <w:vAlign w:val="center"/>
            <w:tcMar>
              <w:top w:w="65" w:type="dxa"/>
              <w:bottom w:w="65" w:type="dxa"/>
              <w:left w:w="65" w:type="dxa"/>
              <w:right w:w="65" w:type="dxa"/>
            </w:tcMar>
            <w:shd w:fill="E8EDF2"/>
          </w:tcPr>
          <w:p>
            <w:pPr>
              <w:spacing w:after="0" w:line="240" w:lineRule="auto"/>
              <w:jc w:val="center"/>
            </w:pPr>
            <w:r>
              <w:rPr>
                <w:b/>
                <w:sz w:val="18"/>
              </w:rPr>
              <w:t>a</w:t>
            </w:r>
          </w:p>
        </w:tc>
        <w:tc>
          <w:tcPr>
            <w:tcW w:type="dxa" w:w="720"/>
            <w:vAlign w:val="center"/>
            <w:tcMar>
              <w:top w:w="65" w:type="dxa"/>
              <w:bottom w:w="65" w:type="dxa"/>
              <w:left w:w="65" w:type="dxa"/>
              <w:right w:w="65" w:type="dxa"/>
            </w:tcMar>
            <w:shd w:fill="E8EDF2"/>
          </w:tcPr>
          <w:p>
            <w:pPr>
              <w:spacing w:after="0" w:line="240" w:lineRule="auto"/>
              <w:jc w:val="center"/>
            </w:pPr>
            <w:r>
              <w:rPr>
                <w:b/>
                <w:sz w:val="18"/>
              </w:rPr>
              <w:t>I₀</w:t>
            </w:r>
          </w:p>
        </w:tc>
        <w:tc>
          <w:tcPr>
            <w:tcW w:type="dxa" w:w="1152"/>
            <w:vAlign w:val="center"/>
            <w:tcMar>
              <w:top w:w="65" w:type="dxa"/>
              <w:bottom w:w="65" w:type="dxa"/>
              <w:left w:w="65" w:type="dxa"/>
              <w:right w:w="65" w:type="dxa"/>
            </w:tcMar>
            <w:shd w:fill="E8EDF2"/>
          </w:tcPr>
          <w:p>
            <w:pPr>
              <w:spacing w:after="0" w:line="240" w:lineRule="auto"/>
              <w:jc w:val="center"/>
            </w:pPr>
            <w:r>
              <w:rPr>
                <w:b/>
                <w:sz w:val="18"/>
              </w:rPr>
              <w:t>J⊥</w:t>
            </w:r>
          </w:p>
        </w:tc>
        <w:tc>
          <w:tcPr>
            <w:tcW w:type="dxa" w:w="720"/>
            <w:vAlign w:val="center"/>
            <w:tcMar>
              <w:top w:w="65" w:type="dxa"/>
              <w:bottom w:w="65" w:type="dxa"/>
              <w:left w:w="65" w:type="dxa"/>
              <w:right w:w="65" w:type="dxa"/>
            </w:tcMar>
            <w:shd w:fill="E8EDF2"/>
          </w:tcPr>
          <w:p>
            <w:pPr>
              <w:spacing w:after="0" w:line="240" w:lineRule="auto"/>
              <w:jc w:val="center"/>
            </w:pPr>
            <w:r>
              <w:rPr>
                <w:b/>
                <w:sz w:val="18"/>
              </w:rPr>
              <w:t>c∥</w:t>
            </w:r>
          </w:p>
        </w:tc>
        <w:tc>
          <w:tcPr>
            <w:tcW w:type="dxa" w:w="1728"/>
            <w:vAlign w:val="center"/>
            <w:tcMar>
              <w:top w:w="65" w:type="dxa"/>
              <w:bottom w:w="65" w:type="dxa"/>
              <w:left w:w="65" w:type="dxa"/>
              <w:right w:w="65" w:type="dxa"/>
            </w:tcMar>
            <w:shd w:fill="E8EDF2"/>
          </w:tcPr>
          <w:p>
            <w:pPr>
              <w:spacing w:after="0" w:line="240" w:lineRule="auto"/>
              <w:jc w:val="center"/>
            </w:pPr>
            <w:r>
              <w:rPr>
                <w:b/>
                <w:sz w:val="18"/>
              </w:rPr>
              <w:t>Q∂</w:t>
            </w:r>
          </w:p>
        </w:tc>
        <w:tc>
          <w:tcPr>
            <w:tcW w:type="dxa" w:w="2045"/>
            <w:vAlign w:val="center"/>
            <w:tcMar>
              <w:top w:w="65" w:type="dxa"/>
              <w:bottom w:w="65" w:type="dxa"/>
              <w:left w:w="65" w:type="dxa"/>
              <w:right w:w="65" w:type="dxa"/>
            </w:tcMar>
            <w:shd w:fill="E8EDF2"/>
          </w:tcPr>
          <w:p>
            <w:pPr>
              <w:spacing w:after="0" w:line="240" w:lineRule="auto"/>
              <w:jc w:val="center"/>
            </w:pPr>
            <w:r>
              <w:rPr>
                <w:b/>
                <w:sz w:val="18"/>
              </w:rPr>
              <w:t>Reference q*</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0.590000</w:t>
            </w:r>
          </w:p>
        </w:tc>
        <w:tc>
          <w:tcPr>
            <w:tcW w:type="dxa" w:w="2045"/>
            <w:vAlign w:val="center"/>
            <w:tcMar>
              <w:top w:w="65" w:type="dxa"/>
              <w:bottom w:w="65" w:type="dxa"/>
              <w:left w:w="65" w:type="dxa"/>
              <w:right w:w="65" w:type="dxa"/>
            </w:tcMar>
          </w:tcPr>
          <w:p>
            <w:pPr>
              <w:spacing w:after="0" w:line="240" w:lineRule="auto"/>
              <w:jc w:val="center"/>
            </w:pPr>
            <w:r>
              <w:rPr>
                <w:b w:val="0"/>
                <w:sz w:val="18"/>
              </w:rPr>
              <w:t>0.590000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−1.202000</w:t>
            </w:r>
          </w:p>
        </w:tc>
        <w:tc>
          <w:tcPr>
            <w:tcW w:type="dxa" w:w="2045"/>
            <w:vAlign w:val="center"/>
            <w:tcMar>
              <w:top w:w="65" w:type="dxa"/>
              <w:bottom w:w="65" w:type="dxa"/>
              <w:left w:w="65" w:type="dxa"/>
              <w:right w:w="65" w:type="dxa"/>
            </w:tcMar>
          </w:tcPr>
          <w:p>
            <w:pPr>
              <w:spacing w:after="0" w:line="240" w:lineRule="auto"/>
              <w:jc w:val="center"/>
            </w:pPr>
            <w:r>
              <w:rPr>
                <w:b w:val="0"/>
                <w:sz w:val="18"/>
              </w:rPr>
              <w:t>−1.202000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−0.181020</w:t>
            </w:r>
          </w:p>
        </w:tc>
        <w:tc>
          <w:tcPr>
            <w:tcW w:type="dxa" w:w="2045"/>
            <w:vAlign w:val="center"/>
            <w:tcMar>
              <w:top w:w="65" w:type="dxa"/>
              <w:bottom w:w="65" w:type="dxa"/>
              <w:left w:w="65" w:type="dxa"/>
              <w:right w:w="65" w:type="dxa"/>
            </w:tcMar>
          </w:tcPr>
          <w:p>
            <w:pPr>
              <w:spacing w:after="0" w:line="240" w:lineRule="auto"/>
              <w:jc w:val="center"/>
            </w:pPr>
            <w:r>
              <w:rPr>
                <w:b w:val="0"/>
                <w:sz w:val="18"/>
              </w:rPr>
              <w:t>−0.181020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−1.963482</w:t>
            </w:r>
          </w:p>
        </w:tc>
        <w:tc>
          <w:tcPr>
            <w:tcW w:type="dxa" w:w="2045"/>
            <w:vAlign w:val="center"/>
            <w:tcMar>
              <w:top w:w="65" w:type="dxa"/>
              <w:bottom w:w="65" w:type="dxa"/>
              <w:left w:w="65" w:type="dxa"/>
              <w:right w:w="65" w:type="dxa"/>
            </w:tcMar>
          </w:tcPr>
          <w:p>
            <w:pPr>
              <w:spacing w:after="0" w:line="240" w:lineRule="auto"/>
              <w:jc w:val="center"/>
            </w:pPr>
            <w:r>
              <w:rPr>
                <w:b w:val="0"/>
                <w:sz w:val="18"/>
              </w:rPr>
              <w:t>−1.963482</w:t>
            </w:r>
          </w:p>
        </w:tc>
      </w:tr>
    </w:tbl>
    <w:p>
      <w:pPr>
        <w:spacing w:after="40"/>
      </w:pPr>
    </w:p>
    <w:p>
      <w:r>
        <w:t xml:space="preserve">If the channel norm </w:t>
      </w:r>
      <m:oMath>
        <m:r>
          <m:t xml:space="preserve">H</m:t>
        </m:r>
        <m:r>
          <m:t xml:space="preserve">=</m:t>
        </m:r>
        <m:r>
          <m:t xml:space="preserve">∥</m:t>
        </m:r>
        <m:r>
          <m:t xml:space="preserve">h</m:t>
        </m:r>
        <m:r>
          <m:t xml:space="preserve">̂</m:t>
        </m:r>
        <m:r>
          <m:t xml:space="preserve">∥</m:t>
        </m:r>
      </m:oMath>
      <w:r>
        <w:t xml:space="preserve"> is additionally retained, set </w:t>
      </w:r>
      <m:oMath>
        <m:r>
          <m:t xml:space="preserve">z</m:t>
        </m:r>
        <m:r>
          <m:t xml:space="preserve">=</m:t>
        </m:r>
        <m:sSup>
          <m:e>
            <m:r>
              <m:t xml:space="preserve">C</m:t>
            </m:r>
          </m:e>
          <m:sup>
            <m:r>
              <m:t xml:space="preserve">H</m:t>
            </m:r>
          </m:sup>
        </m:sSup>
        <m:r>
          <m:t xml:space="preserve">h</m:t>
        </m:r>
        <m:r>
          <m:t xml:space="preserve">̂</m:t>
        </m:r>
      </m:oMath>
      <w:r>
        <w:t>. A necessary phase compatibility condition is</w:t>
      </w:r>
    </w:p>
    <w:p>
      <w:pPr>
        <w:pStyle w:val="Equation"/>
      </w:pPr>
      <m:oMath>
        <m:r>
          <m:t xml:space="preserve">|</m:t>
        </m:r>
        <m:sSup>
          <m:e>
            <m:r>
              <m:t xml:space="preserve">d</m:t>
            </m:r>
          </m:e>
          <m:sup>
            <m:r>
              <m:t xml:space="preserve">H</m:t>
            </m:r>
          </m:sup>
        </m:sSup>
        <m:r>
          <m:t xml:space="preserve">z</m:t>
        </m:r>
        <m:r>
          <m:t xml:space="preserve">−</m:t>
        </m:r>
        <m:sSup>
          <m:e>
            <m:r>
              <m:t xml:space="preserve">α</m:t>
            </m:r>
          </m:e>
          <m:sup>
            <m:r>
              <m:t xml:space="preserve">2</m:t>
            </m:r>
          </m:sup>
        </m:sSup>
        <m:r>
          <m:t xml:space="preserve">s</m:t>
        </m:r>
        <m:r>
          <m:t xml:space="preserve">|</m:t>
        </m:r>
        <m:r>
          <m:t xml:space="preserve">≤</m:t>
        </m:r>
        <m:r>
          <m:t xml:space="preserve">α</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rad>
          <m:radPr>
            <m:degHide m:val="1"/>
          </m:radPr>
          <m:deg/>
          <m:e>
            <m:sSup>
              <m:e>
                <m:r>
                  <m:t xml:space="preserve">H</m:t>
                </m:r>
              </m:e>
              <m:sup>
                <m:r>
                  <m:t xml:space="preserve">2</m:t>
                </m:r>
              </m:sup>
            </m:sSup>
            <m:r>
              <m:t xml:space="preserve">−</m:t>
            </m:r>
            <m:sSup>
              <m:e>
                <m:r>
                  <m:t xml:space="preserve">a</m:t>
                </m:r>
              </m:e>
              <m:sup>
                <m:r>
                  <m:t xml:space="preserve">2</m:t>
                </m:r>
              </m:sup>
            </m:sSup>
          </m:e>
        </m:rad>
      </m:oMath>
      <w:r>
        <w:tab/>
        <w:t>(28)</w:t>
      </w:r>
    </w:p>
    <w:p>
      <w:r>
        <w:t xml:space="preserve">Indeed, </w:t>
      </w:r>
      <m:oMath>
        <m:d>
          <m:dPr>
            <m:begChr m:val="("/>
            <m:endChr m:val=")"/>
          </m:dPr>
          <m:e>
            <m:r>
              <m:t xml:space="preserve">C</m:t>
            </m:r>
            <m:sSup>
              <m:e>
                <m:r>
                  <m:t xml:space="preserve">C</m:t>
                </m:r>
              </m:e>
              <m:sup>
                <m:r>
                  <m:t xml:space="preserve">H</m:t>
                </m:r>
              </m:sup>
            </m:sSup>
            <m:r>
              <m:t xml:space="preserve">−</m:t>
            </m:r>
            <m:sSup>
              <m:e>
                <m:r>
                  <m:t xml:space="preserve">α</m:t>
                </m:r>
              </m:e>
              <m:sup>
                <m:r>
                  <m:t xml:space="preserve">2</m:t>
                </m:r>
              </m:sup>
            </m:sSup>
            <m:r>
              <m:t xml:space="preserve">I</m:t>
            </m:r>
          </m:e>
        </m:d>
        <m:r>
          <m:t xml:space="preserve">v</m:t>
        </m:r>
      </m:oMath>
      <w:r>
        <w:t xml:space="preserve"> is orthogonal to </w:t>
      </w:r>
      <m:oMath>
        <m:r>
          <m:t xml:space="preserve">v</m:t>
        </m:r>
      </m:oMath>
      <w:r>
        <w:t xml:space="preserve"> and its squared norm is at most </w:t>
      </w:r>
      <m:oMath>
        <m:sSup>
          <m:e>
            <m:r>
              <m:t xml:space="preserve">α</m:t>
            </m:r>
          </m:e>
          <m:sup>
            <m:r>
              <m:t xml:space="preserve">2</m:t>
            </m:r>
          </m:sup>
        </m:sSup>
        <m:d>
          <m:dPr>
            <m:begChr m:val="("/>
            <m:endChr m:val=")"/>
          </m:dPr>
          <m:e>
            <m:sSup>
              <m:e>
                <m:sSub>
                  <m:e>
                    <m:r>
                      <m:t xml:space="preserve">β</m:t>
                    </m:r>
                  </m:e>
                  <m:sub>
                    <m:r>
                      <m:t xml:space="preserve">0</m:t>
                    </m:r>
                  </m:sub>
                </m:sSub>
              </m:e>
              <m:sup>
                <m:r>
                  <m:t xml:space="preserve">2</m:t>
                </m:r>
              </m:sup>
            </m:sSup>
            <m:r>
              <m:t xml:space="preserve">−</m:t>
            </m:r>
            <m:sSup>
              <m:e>
                <m:r>
                  <m:t xml:space="preserve">α</m:t>
                </m:r>
              </m:e>
              <m:sup>
                <m:r>
                  <m:t xml:space="preserve">2</m:t>
                </m:r>
              </m:sup>
            </m:sSup>
          </m:e>
        </m:d>
      </m:oMath>
      <w:r>
        <w:t>. Cauchy–Schwarz with the orthogonal nominal channel component proves (28). This necessary condition excludes some constructions requiring an unbounded channel norm. An optimal seven scalar envelope is not established here.</w:t>
      </w:r>
    </w:p>
    <w:p>
      <w:pPr>
        <w:pStyle w:val="Heading1"/>
      </w:pPr>
      <w:r>
        <w:t>6 Numerical certification and reference interface</w:t>
      </w:r>
    </w:p>
    <w:p>
      <w:pPr>
        <w:pStyle w:val="Heading2"/>
      </w:pPr>
      <w:r>
        <w:t>6.1 Interval lower bounds</w:t>
      </w:r>
    </w:p>
    <w:p>
      <w:r>
        <w:t xml:space="preserve">A sampled minimum is an upper estimate of a continuous minimum and must not be used for acceptance. We set </w:t>
      </w:r>
      <m:oMath>
        <m:r>
          <m:t xml:space="preserve">x</m:t>
        </m:r>
        <m:r>
          <m:t xml:space="preserve">=</m:t>
        </m:r>
        <m:r>
          <m:t xml:space="preserve">r</m:t>
        </m:r>
        <m:r>
          <m:t xml:space="preserve"> </m:t>
        </m:r>
        <m:r>
          <m:rPr>
            <m:nor/>
          </m:rPr>
          <m:t xml:space="preserve">sin</m:t>
        </m:r>
        <m:r>
          <m:t xml:space="preserve">θ</m:t>
        </m:r>
      </m:oMath>
      <w:r>
        <w:t xml:space="preserve">, </w:t>
      </w:r>
      <m:oMath>
        <m:r>
          <m:t xml:space="preserve">y</m:t>
        </m:r>
        <m:r>
          <m:t xml:space="preserve">=</m:t>
        </m:r>
        <m:r>
          <m:t xml:space="preserve">r</m:t>
        </m:r>
        <m:r>
          <m:t xml:space="preserve"> </m:t>
        </m:r>
        <m:r>
          <m:rPr>
            <m:nor/>
          </m:rPr>
          <m:t xml:space="preserve">cos</m:t>
        </m:r>
        <m:r>
          <m:t xml:space="preserve">θ</m:t>
        </m:r>
      </m:oMath>
      <w:r>
        <w:t xml:space="preserve"> and partition </w:t>
      </w:r>
      <m:oMath>
        <m:d>
          <m:dPr>
            <m:begChr m:val="["/>
            <m:endChr m:val="]"/>
          </m:dPr>
          <m:e>
            <m:r>
              <m:t xml:space="preserve">0</m:t>
            </m:r>
            <m:r>
              <m:t xml:space="preserve">,</m:t>
            </m:r>
            <m:r>
              <m:t xml:space="preserve">π</m:t>
            </m:r>
            <m:r>
              <m:t xml:space="preserve">/</m:t>
            </m:r>
            <m:r>
              <m:t xml:space="preserve">2</m:t>
            </m:r>
          </m:e>
        </m:d>
      </m:oMath>
      <w:r>
        <w:t xml:space="preserve"> into </w:t>
      </w:r>
      <m:oMath>
        <m:sSub>
          <m:e>
            <m:r>
              <m:t xml:space="preserve">N</m:t>
            </m:r>
          </m:e>
          <m:sub>
            <m:r>
              <m:t xml:space="preserve">θ</m:t>
            </m:r>
          </m:sub>
        </m:sSub>
      </m:oMath>
      <w:r>
        <w:t xml:space="preserve"> cells. For a cell midpoint </w:t>
      </w:r>
      <m:oMath>
        <m:sSub>
          <m:e>
            <m:r>
              <m:t xml:space="preserve">θ</m:t>
            </m:r>
          </m:e>
          <m:sub>
            <m:r>
              <m:t xml:space="preserve">m</m:t>
            </m:r>
          </m:sub>
        </m:sSub>
      </m:oMath>
      <w:r>
        <w:t xml:space="preserve"> and width </w:t>
      </w:r>
      <m:oMath>
        <m:r>
          <m:t xml:space="preserve">Δ</m:t>
        </m:r>
        <m:r>
          <m:t xml:space="preserve">θ</m:t>
        </m:r>
      </m:oMath>
      <w:r>
        <w:t>, use</w:t>
      </w:r>
    </w:p>
    <w:p>
      <w:pPr>
        <w:pStyle w:val="Equation"/>
      </w:pPr>
      <m:oMath>
        <m:sSub>
          <m:e>
            <m:r>
              <m:t xml:space="preserve">R</m:t>
            </m:r>
          </m:e>
          <m:sub>
            <m:r>
              <m:t xml:space="preserve">U</m:t>
            </m:r>
          </m:sub>
        </m:sSub>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R</m:t>
            </m:r>
            <m:d>
              <m:dPr>
                <m:begChr m:val="("/>
                <m:endChr m:val=")"/>
              </m:dPr>
              <m:e>
                <m:r>
                  <m:t xml:space="preserve">r</m:t>
                </m:r>
                <m:r>
                  <m:t xml:space="preserve"> </m:t>
                </m:r>
                <m:r>
                  <m:rPr>
                    <m:nor/>
                  </m:rPr>
                  <m:t xml:space="preserve">sin</m:t>
                </m:r>
                <m:sSub>
                  <m:e>
                    <m:r>
                      <m:t xml:space="preserve">θ</m:t>
                    </m:r>
                  </m:e>
                  <m:sub>
                    <m:r>
                      <m:t xml:space="preserve">m</m:t>
                    </m:r>
                  </m:sub>
                </m:sSub>
                <m:r>
                  <m:t xml:space="preserve">,</m:t>
                </m:r>
                <m:r>
                  <m:t xml:space="preserve">r</m:t>
                </m:r>
                <m:r>
                  <m:t xml:space="preserve"> </m:t>
                </m:r>
                <m:r>
                  <m:rPr>
                    <m:nor/>
                  </m:rPr>
                  <m:t xml:space="preserve">cos</m:t>
                </m:r>
                <m:sSub>
                  <m:e>
                    <m:r>
                      <m:t xml:space="preserve">θ</m:t>
                    </m:r>
                  </m:e>
                  <m:sub>
                    <m:r>
                      <m:t xml:space="preserve">m</m:t>
                    </m:r>
                  </m:sub>
                </m:sSub>
              </m:e>
            </m:d>
            <m:r>
              <m:t xml:space="preserve">+</m:t>
            </m:r>
            <m:r>
              <m:t xml:space="preserve">r</m:t>
            </m:r>
            <m:d>
              <m:dPr>
                <m:begChr m:val="("/>
                <m:endChr m:val=")"/>
              </m:dPr>
              <m:e>
                <m:r>
                  <m:t xml:space="preserve">α</m:t>
                </m:r>
                <m:r>
                  <m:t xml:space="preserve">+</m:t>
                </m:r>
                <m:r>
                  <m:t xml:space="preserve">β</m:t>
                </m:r>
              </m:e>
            </m:d>
            <m:r>
              <m:t xml:space="preserve">Δ</m:t>
            </m:r>
            <m:r>
              <m:t xml:space="preserve">θ</m:t>
            </m:r>
            <m:r>
              <m:t xml:space="preserve">/</m:t>
            </m:r>
            <m:r>
              <m:t xml:space="preserve">2</m:t>
            </m:r>
          </m:e>
        </m:d>
      </m:oMath>
      <w:r>
        <w:tab/>
        <w:t>(29)</w:t>
      </w:r>
    </w:p>
    <w:p>
      <w:r>
        <w:t xml:space="preserve">The Lipschitz bound </w:t>
      </w:r>
      <m:oMath>
        <m:r>
          <m:t xml:space="preserve">|</m:t>
        </m:r>
        <m:r>
          <m:t xml:space="preserve">Δ</m:t>
        </m:r>
        <m:r>
          <m:t xml:space="preserve">R</m:t>
        </m:r>
        <m:r>
          <m:t xml:space="preserve">|</m:t>
        </m:r>
        <m:r>
          <m:t xml:space="preserve">≤</m:t>
        </m:r>
        <m:r>
          <m:t xml:space="preserve">α</m:t>
        </m:r>
        <m:r>
          <m:t xml:space="preserve">|</m:t>
        </m:r>
        <m:r>
          <m:t xml:space="preserve">Δ</m:t>
        </m:r>
        <m:r>
          <m:t xml:space="preserve">x</m:t>
        </m:r>
        <m:r>
          <m:t xml:space="preserve">|</m:t>
        </m:r>
        <m:r>
          <m:t xml:space="preserve">+</m:t>
        </m:r>
        <m:r>
          <m:t xml:space="preserve">β</m:t>
        </m:r>
        <m:r>
          <m:t xml:space="preserve">|</m:t>
        </m:r>
        <m:r>
          <m:t xml:space="preserve">Δ</m:t>
        </m:r>
        <m:r>
          <m:t xml:space="preserve">y</m:t>
        </m:r>
        <m:r>
          <m:t xml:space="preserve">|</m:t>
        </m:r>
      </m:oMath>
      <w:r>
        <w:t xml:space="preserve"> follows by representing the direction envelope as the supremum of the compatible linear output norms; the completion in Theorem 2 approaches the scalar extremum for each direction. Degenerate spectra have explicit compatible diagonal or collinear constructions. Each fixed norm is Lipschitz with these constants, so their supremum is as well.</w:t>
      </w:r>
    </w:p>
    <w:p>
      <w:r>
        <w:t xml:space="preserve">For the signal, use </w:t>
      </w:r>
      <m:oMath>
        <m:r>
          <m:t xml:space="preserve">p</m:t>
        </m:r>
      </m:oMath>
      <w:r>
        <w:t xml:space="preserve"> times the squared distance from </w:t>
      </w:r>
      <m:oMath>
        <m:r>
          <m:t xml:space="preserve">a</m:t>
        </m:r>
      </m:oMath>
      <w:r>
        <w:t xml:space="preserve"> to </w:t>
      </w:r>
      <m:oMath>
        <m:d>
          <m:dPr>
            <m:begChr m:val="["/>
            <m:endChr m:val="]"/>
          </m:dPr>
          <m:e>
            <m:r>
              <m:t xml:space="preserve">r</m:t>
            </m:r>
            <m:r>
              <m:t xml:space="preserve"> </m:t>
            </m:r>
            <m:r>
              <m:rPr>
                <m:nor/>
              </m:rPr>
              <m:t xml:space="preserve">sin</m:t>
            </m:r>
            <m:sSub>
              <m:e>
                <m:r>
                  <m:t xml:space="preserve">θ</m:t>
                </m:r>
              </m:e>
              <m:sub>
                <m:r>
                  <m:t xml:space="preserve">l</m:t>
                </m:r>
                <m:r>
                  <m:t xml:space="preserve">o</m:t>
                </m:r>
              </m:sub>
            </m:sSub>
            <m:r>
              <m:t xml:space="preserve">,</m:t>
            </m:r>
            <m:r>
              <m:t xml:space="preserve">r</m:t>
            </m:r>
            <m:r>
              <m:t xml:space="preserve"> </m:t>
            </m:r>
            <m:r>
              <m:rPr>
                <m:nor/>
              </m:rPr>
              <m:t xml:space="preserve">sin</m:t>
            </m:r>
            <m:sSub>
              <m:e>
                <m:r>
                  <m:t xml:space="preserve">θ</m:t>
                </m:r>
              </m:e>
              <m:sub>
                <m:r>
                  <m:t xml:space="preserve">h</m:t>
                </m:r>
                <m:r>
                  <m:t xml:space="preserve">i</m:t>
                </m:r>
              </m:sub>
            </m:sSub>
          </m:e>
        </m:d>
      </m:oMath>
      <w:r>
        <w:t xml:space="preserve">. Subtract </w:t>
      </w:r>
      <m:oMath>
        <m:r>
          <m:t xml:space="preserve">γ</m:t>
        </m:r>
        <m:sSup>
          <m:e>
            <m:d>
              <m:dPr>
                <m:begChr m:val="("/>
                <m:endChr m:val=")"/>
              </m:dPr>
              <m:e>
                <m:sSub>
                  <m:e>
                    <m:r>
                      <m:t xml:space="preserve">I</m:t>
                    </m:r>
                  </m:e>
                  <m:sub>
                    <m:r>
                      <m:t xml:space="preserve">0</m:t>
                    </m:r>
                  </m:sub>
                </m:sSub>
                <m:r>
                  <m:t xml:space="preserve">+</m:t>
                </m:r>
                <m:sSub>
                  <m:e>
                    <m:r>
                      <m:t xml:space="preserve">R</m:t>
                    </m:r>
                  </m:e>
                  <m:sub>
                    <m:r>
                      <m:t xml:space="preserve">U</m:t>
                    </m:r>
                  </m:sub>
                </m:sSub>
              </m:e>
            </m:d>
          </m:e>
          <m:sup>
            <m:r>
              <m:t xml:space="preserve">2</m:t>
            </m:r>
          </m:sup>
        </m:sSup>
        <m:r>
          <m:t xml:space="preserve">+</m:t>
        </m:r>
        <m:r>
          <m:t xml:space="preserve">γ</m:t>
        </m:r>
        <m:sSup>
          <m:e>
            <m:r>
              <m:t xml:space="preserve">σ</m:t>
            </m:r>
          </m:e>
          <m:sup>
            <m:r>
              <m:t xml:space="preserve">2</m:t>
            </m:r>
          </m:sup>
        </m:sSup>
      </m:oMath>
      <w:r>
        <w:t xml:space="preserve"> and take the minimum cell lower bound. This produces </w:t>
      </w:r>
      <m:oMath>
        <m:sSub>
          <m:e>
            <m:r>
              <m:t xml:space="preserve">Q</m:t>
            </m:r>
          </m:e>
          <m:sub>
            <m:r>
              <m:t xml:space="preserve">G</m:t>
            </m:r>
            <m:r>
              <m:t xml:space="preserve">,</m:t>
            </m:r>
            <m:r>
              <m:t xml:space="preserve">L</m:t>
            </m:r>
            <m:r>
              <m:t xml:space="preserve">B</m:t>
            </m:r>
          </m:sub>
        </m:sSub>
        <m:r>
          <m:t xml:space="preserve">≤</m:t>
        </m:r>
        <m:sSub>
          <m:e>
            <m:r>
              <m:t xml:space="preserve">Q</m:t>
            </m:r>
          </m:e>
          <m:sub>
            <m:r>
              <m:t xml:space="preserve">G</m:t>
            </m:r>
          </m:sub>
        </m:sSub>
      </m:oMath>
      <w:r>
        <w:t xml:space="preserve"> in real arithmetic. The old envelope uses the same partition and cap. Main comparisons use </w:t>
      </w:r>
      <m:oMath>
        <m:sSub>
          <m:e>
            <m:r>
              <m:t xml:space="preserve">N</m:t>
            </m:r>
          </m:e>
          <m:sub>
            <m:r>
              <m:t xml:space="preserve">θ</m:t>
            </m:r>
          </m:sub>
        </m:sSub>
        <m:r>
          <m:t xml:space="preserve">=</m:t>
        </m:r>
        <m:r>
          <m:t xml:space="preserve">2</m:t>
        </m:r>
        <m:r>
          <m:t xml:space="preserve">5</m:t>
        </m:r>
        <m:r>
          <m:t xml:space="preserve">6</m:t>
        </m:r>
      </m:oMath>
      <w:r>
        <w:t>; refinements to 1024 and 4096 are reported separately.</w:t>
      </w:r>
    </w:p>
    <w:p>
      <w:pPr>
        <w:pStyle w:val="Heading2"/>
      </w:pPr>
      <w:r>
        <w:t>6.2 Engineering threshold and reference solver</w:t>
      </w:r>
    </w:p>
    <w:p>
      <w:r>
        <w:t xml:space="preserve">For reference evaluation define </w:t>
      </w:r>
      <m:oMath>
        <m:r>
          <m:t xml:space="preserve">A</m:t>
        </m:r>
        <m:r>
          <m:t xml:space="preserve">=</m:t>
        </m:r>
        <m:r>
          <m:t xml:space="preserve">b</m:t>
        </m:r>
        <m:sSup>
          <m:e>
            <m:r>
              <m:t xml:space="preserve">b</m:t>
            </m:r>
          </m:e>
          <m:sup>
            <m:r>
              <m:t xml:space="preserve">H</m:t>
            </m:r>
          </m:sup>
        </m:sSup>
        <m:r>
          <m:t xml:space="preserve">−</m:t>
        </m:r>
        <m:r>
          <m:t xml:space="preserve">γ</m:t>
        </m:r>
        <m:r>
          <m:t xml:space="preserve">C</m:t>
        </m:r>
        <m:sSup>
          <m:e>
            <m:r>
              <m:t xml:space="preserve">C</m:t>
            </m:r>
          </m:e>
          <m:sup>
            <m:r>
              <m:t xml:space="preserve">H</m:t>
            </m:r>
          </m:sup>
        </m:sSup>
      </m:oMath>
      <w:r>
        <w:t xml:space="preserve">, </w:t>
      </w:r>
      <m:oMath>
        <m:r>
          <m:t xml:space="preserve">g</m:t>
        </m:r>
        <m:r>
          <m:t xml:space="preserve">=</m:t>
        </m:r>
        <m:r>
          <m:t xml:space="preserve">A</m:t>
        </m:r>
        <m:r>
          <m:t xml:space="preserve">h</m:t>
        </m:r>
        <m:r>
          <m:t xml:space="preserve">̂</m:t>
        </m:r>
      </m:oMath>
      <w:r>
        <w:t xml:space="preserve"> and </w:t>
      </w:r>
      <m:oMath>
        <m:sSub>
          <m:e>
            <m:r>
              <m:t xml:space="preserve">c</m:t>
            </m:r>
          </m:e>
          <m:sub>
            <m:r>
              <m:t xml:space="preserve">q</m:t>
            </m:r>
          </m:sub>
        </m:sSub>
        <m:r>
          <m:t xml:space="preserve">=</m:t>
        </m:r>
        <m:r>
          <m:t xml:space="preserve">h</m:t>
        </m:r>
        <m:sSup>
          <m:e>
            <m:r>
              <m:t xml:space="preserve">̂</m:t>
            </m:r>
          </m:e>
          <m:sup>
            <m:r>
              <m:t xml:space="preserve">H</m:t>
            </m:r>
          </m:sup>
        </m:sSup>
        <m:r>
          <m:t xml:space="preserve">A</m:t>
        </m:r>
        <m:r>
          <m:t xml:space="preserve">h</m:t>
        </m:r>
        <m:r>
          <m:t xml:space="preserve">̂</m:t>
        </m:r>
        <m:r>
          <m:t xml:space="preserve">−</m:t>
        </m:r>
        <m:r>
          <m:t xml:space="preserve">γ</m:t>
        </m:r>
        <m:sSup>
          <m:e>
            <m:r>
              <m:t xml:space="preserve">σ</m:t>
            </m:r>
          </m:e>
          <m:sup>
            <m:r>
              <m:t xml:space="preserve">2</m:t>
            </m:r>
          </m:sup>
        </m:sSup>
      </m:oMath>
      <w:r>
        <w:t xml:space="preserve">. The margin is </w:t>
      </w:r>
      <m:oMath>
        <m:sSub>
          <m:e>
            <m:r>
              <m:t xml:space="preserve">c</m:t>
            </m:r>
          </m:e>
          <m:sub>
            <m:r>
              <m:t xml:space="preserve">q</m:t>
            </m:r>
          </m:sub>
        </m:sSub>
        <m:r>
          <m:t xml:space="preserve">+</m:t>
        </m:r>
        <m:sSup>
          <m:e>
            <m:r>
              <m:t xml:space="preserve">e</m:t>
            </m:r>
          </m:e>
          <m:sup>
            <m:r>
              <m:t xml:space="preserve">H</m:t>
            </m:r>
          </m:sup>
        </m:sSup>
        <m:r>
          <m:t xml:space="preserve">A</m:t>
        </m:r>
        <m:r>
          <m:t xml:space="preserve">e</m:t>
        </m:r>
        <m:r>
          <m:t xml:space="preserve">+</m:t>
        </m:r>
        <m:r>
          <m:t xml:space="preserve">2</m:t>
        </m:r>
        <m:r>
          <m:rPr>
            <m:nor/>
          </m:rPr>
          <m:t xml:space="preserve">Re</m:t>
        </m:r>
        <m:d>
          <m:dPr>
            <m:begChr m:val="("/>
            <m:endChr m:val=")"/>
          </m:dPr>
          <m:e>
            <m:sSup>
              <m:e>
                <m:r>
                  <m:t xml:space="preserve">e</m:t>
                </m:r>
              </m:e>
              <m:sup>
                <m:r>
                  <m:t xml:space="preserve">H</m:t>
                </m:r>
              </m:sup>
            </m:sSup>
            <m:r>
              <m:t xml:space="preserve">g</m:t>
            </m:r>
          </m:e>
        </m:d>
      </m:oMath>
      <w:r>
        <w:t>. The common engineering threshold is</w:t>
      </w:r>
    </w:p>
    <w:p>
      <w:pPr>
        <w:pStyle w:val="Equation"/>
      </w:pPr>
      <m:oMath>
        <m:r>
          <m:t xml:space="preserve">τ</m:t>
        </m:r>
        <m:r>
          <m:t xml:space="preserve">=</m:t>
        </m:r>
        <m:r>
          <m:t xml:space="preserve">1</m:t>
        </m:r>
        <m:sSup>
          <m:e>
            <m:r>
              <m:t xml:space="preserve">0</m:t>
            </m:r>
          </m:e>
          <m:sup>
            <m:r>
              <m:t xml:space="preserve">−</m:t>
            </m:r>
            <m:r>
              <m:t xml:space="preserve">8</m:t>
            </m:r>
          </m:sup>
        </m:sSup>
        <m:r>
          <m:rPr>
            <m:nor/>
          </m:rPr>
          <m:t xml:space="preserve">max</m:t>
        </m:r>
        <m:d>
          <m:dPr>
            <m:begChr m:val="{"/>
            <m:endChr m:val="}"/>
          </m:dPr>
          <m:e>
            <m:r>
              <m:t xml:space="preserve">1</m:t>
            </m:r>
            <m:r>
              <m:t xml:space="preserve">,</m:t>
            </m:r>
            <m:r>
              <m:t xml:space="preserve">|</m:t>
            </m:r>
            <m:sSub>
              <m:e>
                <m:r>
                  <m:t xml:space="preserve">c</m:t>
                </m:r>
              </m:e>
              <m:sub>
                <m:r>
                  <m:t xml:space="preserve">q</m:t>
                </m:r>
              </m:sub>
            </m:sSub>
            <m:r>
              <m:t xml:space="preserve">|</m:t>
            </m:r>
            <m:r>
              <m:t xml:space="preserve">,</m:t>
            </m:r>
            <m:r>
              <m:t xml:space="preserve">2</m:t>
            </m:r>
            <m:r>
              <m:t xml:space="preserve">r</m:t>
            </m:r>
            <m:r>
              <m:t xml:space="preserve">∥</m:t>
            </m:r>
            <m:r>
              <m:t xml:space="preserve">g</m:t>
            </m:r>
            <m:r>
              <m:t xml:space="preserve">∥</m:t>
            </m:r>
            <m:r>
              <m:t xml:space="preserve">,</m:t>
            </m:r>
            <m:sSup>
              <m:e>
                <m:r>
                  <m:t xml:space="preserve">r</m:t>
                </m:r>
              </m:e>
              <m:sup>
                <m:r>
                  <m:t xml:space="preserve">2</m:t>
                </m:r>
              </m:sup>
            </m:sSup>
            <m:r>
              <m:t xml:space="preserve">∥</m:t>
            </m:r>
            <m:r>
              <m:t xml:space="preserve">A</m:t>
            </m:r>
            <m:sSub>
              <m:e>
                <m:r>
                  <m:t xml:space="preserve">∥</m:t>
                </m:r>
              </m:e>
              <m:sub>
                <m:r>
                  <m:t xml:space="preserve">2</m:t>
                </m:r>
              </m:sub>
            </m:sSub>
          </m:e>
        </m:d>
      </m:oMath>
      <w:r>
        <w:tab/>
        <w:t>(30)</w:t>
      </w:r>
    </w:p>
    <w:p>
      <w:r>
        <w:t xml:space="preserve">The theoretical envelope depends only on six summaries; this experimental threshold and the reference validity checks additionally use full quadratic data. A method directly accepts a candidate only if every user's implemented lower bound exceeds its threshold. Otherwise it returns unknown. Reference statuses are clearly feasible for </w:t>
      </w:r>
      <m:oMath>
        <m:sSup>
          <m:e>
            <m:r>
              <m:t xml:space="preserve">q</m:t>
            </m:r>
          </m:e>
          <m:sup>
            <m:r>
              <m:t xml:space="preserve">*</m:t>
            </m:r>
          </m:sup>
        </m:sSup>
        <m:r>
          <m:t xml:space="preserve">&gt;</m:t>
        </m:r>
        <m:r>
          <m:t xml:space="preserve">τ</m:t>
        </m:r>
      </m:oMath>
      <w:r>
        <w:t xml:space="preserve">, clearly infeasible for </w:t>
      </w:r>
      <m:oMath>
        <m:sSup>
          <m:e>
            <m:r>
              <m:t xml:space="preserve">q</m:t>
            </m:r>
          </m:e>
          <m:sup>
            <m:r>
              <m:t xml:space="preserve">*</m:t>
            </m:r>
          </m:sup>
        </m:sSup>
        <m:r>
          <m:t xml:space="preserve">&lt;</m:t>
        </m:r>
        <m:r>
          <m:t xml:space="preserve">−</m:t>
        </m:r>
        <m:r>
          <m:t xml:space="preserve">τ</m:t>
        </m:r>
      </m:oMath>
      <w:r>
        <w:t>, ambiguous near zero, and invalid if numerical validity checks fail. Invalid references remain explicitly counted and cannot establish a rejection or a safety conclusion.</w:t>
      </w:r>
    </w:p>
    <w:p>
      <w:r>
        <w:t xml:space="preserve">The reference solves the Hermitian trust region problem by eigenvalue decomposition and a multiplier search, handling PSD interior solutions, singular cases and the indefinite hard case. The global optimality conditions are stationarity, ball feasibility, </w:t>
      </w:r>
      <m:oMath>
        <m:r>
          <m:t xml:space="preserve">A</m:t>
        </m:r>
        <m:r>
          <m:t xml:space="preserve">+</m:t>
        </m:r>
        <m:r>
          <m:t xml:space="preserve">μ</m:t>
        </m:r>
        <m:r>
          <m:t xml:space="preserve">I</m:t>
        </m:r>
        <m:r>
          <m:t xml:space="preserve">≽</m:t>
        </m:r>
        <m:r>
          <m:t xml:space="preserve">0</m:t>
        </m:r>
      </m:oMath>
      <w:r>
        <w:t xml:space="preserve">, </w:t>
      </w:r>
      <m:oMath>
        <m:r>
          <m:t xml:space="preserve">μ</m:t>
        </m:r>
        <m:r>
          <m:t xml:space="preserve">≥</m:t>
        </m:r>
        <m:r>
          <m:t xml:space="preserve">0</m:t>
        </m:r>
      </m:oMath>
      <w:r>
        <w:t xml:space="preserve"> and complementary slackness [2,3]. Numerical checks inspect the full stationarity residual, shifted minimum eigenvalue, ball violation and complementarity. An additional 106 case audit reports a maximum primal–dual gap of </w:t>
      </w:r>
      <m:oMath>
        <m:r>
          <m:t xml:space="preserve">4</m:t>
        </m:r>
        <m:r>
          <m:t xml:space="preserve">.</m:t>
        </m:r>
        <m:r>
          <m:t xml:space="preserve">9</m:t>
        </m:r>
        <m:r>
          <m:t xml:space="preserve">7</m:t>
        </m:r>
        <m:r>
          <m:t xml:space="preserve">×</m:t>
        </m:r>
        <m:r>
          <m:t xml:space="preserve">1</m:t>
        </m:r>
        <m:sSup>
          <m:e>
            <m:r>
              <m:t xml:space="preserve">0</m:t>
            </m:r>
          </m:e>
          <m:sup>
            <m:r>
              <m:t xml:space="preserve">−</m:t>
            </m:r>
            <m:r>
              <m:t xml:space="preserve">1</m:t>
            </m:r>
            <m:r>
              <m:t xml:space="preserve">4</m:t>
            </m:r>
          </m:sup>
        </m:sSup>
      </m:oMath>
      <w:r>
        <w:t>. Ordinary double precision and engineering thresholds do not provide a machine checked formal certificate.</w:t>
      </w:r>
    </w:p>
    <w:p>
      <w:r>
        <w:t>Fallback skips users already certified by the lower bound and stops at the first clearly infeasible user. Each user's eigenvalue factorization is reused across radii. The exact baseline has the same reuse and early stopping. Screening and reference calculations do not read the truth pass cache during timing. These implementation choices affect measured runtime and are not theoretical contributions.</w:t>
      </w:r>
    </w:p>
    <w:p>
      <w:pPr>
        <w:pStyle w:val="Heading1"/>
      </w:pPr>
      <w:r>
        <w:t>7 Numerical verification</w:t>
      </w:r>
    </w:p>
    <w:p>
      <w:pPr>
        <w:pStyle w:val="Heading2"/>
      </w:pPr>
      <w:r>
        <w:t>7.1 Directional and completion checks</w:t>
      </w:r>
    </w:p>
    <w:p>
      <w:r>
        <w:t xml:space="preserve">With seed 20261006, 30 random compatible spectral tuples are checked against a 4097 point scalar grid, local refinement and direct evaluation of </w:t>
      </w:r>
      <m:oMath>
        <m:r>
          <m:t xml:space="preserve">s</m:t>
        </m:r>
        <m:r>
          <m:t xml:space="preserve">=</m:t>
        </m:r>
        <m:r>
          <m:t xml:space="preserve">0</m:t>
        </m:r>
        <m:r>
          <m:t xml:space="preserve">,</m:t>
        </m:r>
        <m:r>
          <m:t xml:space="preserve">δ</m:t>
        </m:r>
        <m:r>
          <m:t xml:space="preserve">,</m:t>
        </m:r>
        <m:r>
          <m:t xml:space="preserve">β</m:t>
        </m:r>
      </m:oMath>
      <w:r>
        <w:t xml:space="preserve">. The maximum </w:t>
      </w:r>
      <m:oMath>
        <m:r>
          <m:t xml:space="preserve">|</m:t>
        </m:r>
        <m:sSup>
          <m:e>
            <m:r>
              <m:t xml:space="preserve">R</m:t>
            </m:r>
          </m:e>
          <m:sup>
            <m:r>
              <m:t xml:space="preserve">2</m:t>
            </m:r>
          </m:sup>
        </m:sSup>
        <m:r>
          <m:t xml:space="preserve">−</m:t>
        </m:r>
        <m:sSup>
          <m:e>
            <m:sSub>
              <m:e>
                <m:r>
                  <m:t xml:space="preserve">R</m:t>
                </m:r>
              </m:e>
              <m:sub>
                <m:r>
                  <m:t xml:space="preserve">r</m:t>
                </m:r>
                <m:r>
                  <m:t xml:space="preserve">e</m:t>
                </m:r>
                <m:r>
                  <m:t xml:space="preserve">f</m:t>
                </m:r>
              </m:sub>
            </m:sSub>
          </m:e>
          <m:sup>
            <m:r>
              <m:t xml:space="preserve">2</m:t>
            </m:r>
          </m:sup>
        </m:sSup>
        <m:r>
          <m:t xml:space="preserve">|</m:t>
        </m:r>
      </m:oMath>
      <w:r>
        <w:t xml:space="preserve"> is </w:t>
      </w:r>
      <m:oMath>
        <m:r>
          <m:t xml:space="preserve">1</m:t>
        </m:r>
        <m:r>
          <m:t xml:space="preserve">.</m:t>
        </m:r>
        <m:r>
          <m:t xml:space="preserve">1</m:t>
        </m:r>
        <m:r>
          <m:t xml:space="preserve">1</m:t>
        </m:r>
        <m:r>
          <m:t xml:space="preserve">×</m:t>
        </m:r>
        <m:r>
          <m:t xml:space="preserve">1</m:t>
        </m:r>
        <m:sSup>
          <m:e>
            <m:r>
              <m:t xml:space="preserve">0</m:t>
            </m:r>
          </m:e>
          <m:sup>
            <m:r>
              <m:t xml:space="preserve">−</m:t>
            </m:r>
            <m:r>
              <m:t xml:space="preserve">1</m:t>
            </m:r>
            <m:r>
              <m:t xml:space="preserve">6</m:t>
            </m:r>
          </m:sup>
        </m:sSup>
      </m:oMath>
      <w:r>
        <w:t xml:space="preserve">. The grid only underestimate reaches </w:t>
      </w:r>
      <m:oMath>
        <m:r>
          <m:t xml:space="preserve">4</m:t>
        </m:r>
        <m:r>
          <m:t xml:space="preserve">.</m:t>
        </m:r>
        <m:r>
          <m:t xml:space="preserve">1</m:t>
        </m:r>
        <m:r>
          <m:t xml:space="preserve">2</m:t>
        </m:r>
        <m:r>
          <m:t xml:space="preserve">×</m:t>
        </m:r>
        <m:r>
          <m:t xml:space="preserve">1</m:t>
        </m:r>
        <m:sSup>
          <m:e>
            <m:r>
              <m:t xml:space="preserve">0</m:t>
            </m:r>
          </m:e>
          <m:sup>
            <m:r>
              <m:t xml:space="preserve">−</m:t>
            </m:r>
            <m:r>
              <m:t xml:space="preserve">5</m:t>
            </m:r>
          </m:sup>
        </m:sSup>
      </m:oMath>
      <w:r>
        <w:t xml:space="preserve"> and is reported separately. Random inequality checks show no violation of (7). The three fixed direction cases cover the three branches; hand checks include zero spectral gains and zero input amplitudes.</w:t>
      </w:r>
    </w:p>
    <w:p>
      <w:r>
        <w:t xml:space="preserve">The A2 direction completion has nine cases: three direction points and three contraction levels. It matches the three spectral summaries to machine precision. The separate A3 nominal channel construction matches all six summaries. In the flip example with </w:t>
      </w:r>
      <m:oMath>
        <m:r>
          <m:t xml:space="preserve">p</m:t>
        </m:r>
        <m:r>
          <m:t xml:space="preserve">=</m:t>
        </m:r>
        <m:r>
          <m:t xml:space="preserve">4</m:t>
        </m:r>
      </m:oMath>
      <w:r>
        <w:t xml:space="preserve">, </w:t>
      </w:r>
      <m:oMath>
        <m:r>
          <m:t xml:space="preserve">a</m:t>
        </m:r>
        <m:r>
          <m:t xml:space="preserve">=</m:t>
        </m:r>
        <m:r>
          <m:t xml:space="preserve">1</m:t>
        </m:r>
        <m:r>
          <m:t xml:space="preserve">.</m:t>
        </m:r>
        <m:r>
          <m:t xml:space="preserve">3</m:t>
        </m:r>
      </m:oMath>
      <w:r>
        <w:t xml:space="preserve">, </w:t>
      </w:r>
      <m:oMath>
        <m:sSub>
          <m:e>
            <m:r>
              <m:t xml:space="preserve">I</m:t>
            </m:r>
          </m:e>
          <m:sub>
            <m:r>
              <m:t xml:space="preserve">0</m:t>
            </m:r>
          </m:sub>
        </m:sSub>
        <m:r>
          <m:t xml:space="preserve">=</m:t>
        </m:r>
        <m:r>
          <m:t xml:space="preserve">0</m:t>
        </m:r>
        <m:r>
          <m:t xml:space="preserve">.</m:t>
        </m:r>
        <m:r>
          <m:t xml:space="preserve">5</m:t>
        </m:r>
      </m:oMath>
      <w:r>
        <w:t xml:space="preserve">, </w:t>
      </w:r>
      <m:oMath>
        <m:r>
          <m:t xml:space="preserve">α</m:t>
        </m:r>
        <m:r>
          <m:t xml:space="preserve">=</m:t>
        </m:r>
        <m:r>
          <m:t xml:space="preserve">β</m:t>
        </m:r>
        <m:r>
          <m:t xml:space="preserve">=</m:t>
        </m:r>
        <m:r>
          <m:t xml:space="preserve">1</m:t>
        </m:r>
      </m:oMath>
      <w:r>
        <w:t xml:space="preserve">, </w:t>
      </w:r>
      <m:oMath>
        <m:sSub>
          <m:e>
            <m:r>
              <m:t xml:space="preserve">β</m:t>
            </m:r>
          </m:e>
          <m:sub>
            <m:r>
              <m:t xml:space="preserve">0</m:t>
            </m:r>
          </m:sub>
        </m:sSub>
        <m:r>
          <m:t xml:space="preserve">=</m:t>
        </m:r>
        <m:r>
          <m:t xml:space="preserve">1</m:t>
        </m:r>
        <m:r>
          <m:t xml:space="preserve">.</m:t>
        </m:r>
        <m:r>
          <m:t xml:space="preserve">1</m:t>
        </m:r>
      </m:oMath>
      <w:r>
        <w:t xml:space="preserve">, </w:t>
      </w:r>
      <m:oMath>
        <m:r>
          <m:t xml:space="preserve">γ</m:t>
        </m:r>
        <m:r>
          <m:t xml:space="preserve">=</m:t>
        </m:r>
        <m:r>
          <m:t xml:space="preserve">1</m:t>
        </m:r>
      </m:oMath>
      <w:r>
        <w:t xml:space="preserve">, </w:t>
      </w:r>
      <m:oMath>
        <m:sSup>
          <m:e>
            <m:r>
              <m:t xml:space="preserve">σ</m:t>
            </m:r>
          </m:e>
          <m:sup>
            <m:r>
              <m:t xml:space="preserve">2</m:t>
            </m:r>
          </m:sup>
        </m:sSup>
        <m:r>
          <m:t xml:space="preserve">=</m:t>
        </m:r>
        <m:r>
          <m:t xml:space="preserve">1</m:t>
        </m:r>
        <m:r>
          <m:t xml:space="preserve">.</m:t>
        </m:r>
        <m:r>
          <m:t xml:space="preserve">5</m:t>
        </m:r>
      </m:oMath>
      <w:r>
        <w:t xml:space="preserve"> and </w:t>
      </w:r>
      <m:oMath>
        <m:r>
          <m:t xml:space="preserve">r</m:t>
        </m:r>
        <m:r>
          <m:t xml:space="preserve">=</m:t>
        </m:r>
        <m:r>
          <m:t xml:space="preserve">0</m:t>
        </m:r>
        <m:r>
          <m:t xml:space="preserve">.</m:t>
        </m:r>
        <m:r>
          <m:t xml:space="preserve">5</m:t>
        </m:r>
      </m:oMath>
      <w:r>
        <w:t xml:space="preserve">, the approximate new minimum and reference are 0.0346243. The objective at the constructed error exceeds the envelope by approximately </w:t>
      </w:r>
      <m:oMath>
        <m:r>
          <m:t xml:space="preserve">5</m:t>
        </m:r>
        <m:r>
          <m:t xml:space="preserve">.</m:t>
        </m:r>
        <m:r>
          <m:t xml:space="preserve">1</m:t>
        </m:r>
        <m:r>
          <m:t xml:space="preserve">×</m:t>
        </m:r>
        <m:r>
          <m:t xml:space="preserve">1</m:t>
        </m:r>
        <m:sSup>
          <m:e>
            <m:r>
              <m:t xml:space="preserve">0</m:t>
            </m:r>
          </m:e>
          <m:sup>
            <m:r>
              <m:t xml:space="preserve">−</m:t>
            </m:r>
            <m:r>
              <m:t xml:space="preserve">4</m:t>
            </m:r>
          </m:sup>
        </m:sSup>
      </m:oMath>
      <w:r>
        <w:t xml:space="preserve">, </w:t>
      </w:r>
      <m:oMath>
        <m:r>
          <m:t xml:space="preserve">5</m:t>
        </m:r>
        <m:r>
          <m:t xml:space="preserve">.</m:t>
        </m:r>
        <m:r>
          <m:t xml:space="preserve">2</m:t>
        </m:r>
        <m:r>
          <m:t xml:space="preserve">×</m:t>
        </m:r>
        <m:r>
          <m:t xml:space="preserve">1</m:t>
        </m:r>
        <m:sSup>
          <m:e>
            <m:r>
              <m:t xml:space="preserve">0</m:t>
            </m:r>
          </m:e>
          <m:sup>
            <m:r>
              <m:t xml:space="preserve">−</m:t>
            </m:r>
            <m:r>
              <m:t xml:space="preserve">5</m:t>
            </m:r>
          </m:sup>
        </m:sSup>
      </m:oMath>
      <w:r>
        <w:t xml:space="preserve"> and </w:t>
      </w:r>
      <m:oMath>
        <m:r>
          <m:t xml:space="preserve">5</m:t>
        </m:r>
        <m:r>
          <m:t xml:space="preserve">.</m:t>
        </m:r>
        <m:r>
          <m:t xml:space="preserve">2</m:t>
        </m:r>
        <m:r>
          <m:t xml:space="preserve">×</m:t>
        </m:r>
        <m:r>
          <m:t xml:space="preserve">1</m:t>
        </m:r>
        <m:sSup>
          <m:e>
            <m:r>
              <m:t xml:space="preserve">0</m:t>
            </m:r>
          </m:e>
          <m:sup>
            <m:r>
              <m:t xml:space="preserve">−</m:t>
            </m:r>
            <m:r>
              <m:t xml:space="preserve">6</m:t>
            </m:r>
          </m:sup>
        </m:sSup>
      </m:oMath>
      <w:r>
        <w:t xml:space="preserve"> for the three contraction levels.</w:t>
      </w:r>
    </w:p>
    <w:p>
      <w:r>
        <w:t>For the deterministic flip, the separable bound is −0.0425, the old approximate minimum is −0.024580 and the new approximate minimum is 0.034624. Their interval lower bounds at 256 cells are −0.027068 and +0.027262. The new lower bound at 65536 cells is 0.0345956. The positive certified lower bound, rather than the numerical approximate minimum, establishes acceptance.</w:t>
      </w:r>
    </w:p>
    <w:p>
      <w:r>
        <w:t xml:space="preserve">The repaired V4.1 completion is also checked on 251 constructions, including asymmetric spectral tuples, the upper spectral endpoint, </w:t>
      </w:r>
      <m:oMath>
        <m:r>
          <m:t xml:space="preserve">β</m:t>
        </m:r>
        <m:r>
          <m:t xml:space="preserve">=</m:t>
        </m:r>
        <m:sSub>
          <m:e>
            <m:r>
              <m:t xml:space="preserve">β</m:t>
            </m:r>
          </m:e>
          <m:sub>
            <m:r>
              <m:t xml:space="preserve">0</m:t>
            </m:r>
          </m:sub>
        </m:sSub>
      </m:oMath>
      <w:r>
        <w:t xml:space="preserve">, and direction endpoints. The maximum six scalar discrepancy is </w:t>
      </w:r>
      <m:oMath>
        <m:r>
          <m:t xml:space="preserve">2</m:t>
        </m:r>
        <m:r>
          <m:t xml:space="preserve">.</m:t>
        </m:r>
        <m:r>
          <m:t xml:space="preserve">8</m:t>
        </m:r>
        <m:r>
          <m:t xml:space="preserve">9</m:t>
        </m:r>
        <m:r>
          <m:t xml:space="preserve">×</m:t>
        </m:r>
        <m:r>
          <m:t xml:space="preserve">1</m:t>
        </m:r>
        <m:sSup>
          <m:e>
            <m:r>
              <m:t xml:space="preserve">0</m:t>
            </m:r>
          </m:e>
          <m:sup>
            <m:r>
              <m:t xml:space="preserve">−</m:t>
            </m:r>
            <m:r>
              <m:t xml:space="preserve">1</m:t>
            </m:r>
            <m:r>
              <m:t xml:space="preserve">5</m:t>
            </m:r>
          </m:sup>
        </m:sSup>
      </m:oMath>
      <w:r>
        <w:t xml:space="preserve"> and the objective identity residual is </w:t>
      </w:r>
      <m:oMath>
        <m:r>
          <m:t xml:space="preserve">1</m:t>
        </m:r>
        <m:r>
          <m:t xml:space="preserve">.</m:t>
        </m:r>
        <m:r>
          <m:t xml:space="preserve">2</m:t>
        </m:r>
        <m:r>
          <m:t xml:space="preserve">5</m:t>
        </m:r>
        <m:r>
          <m:t xml:space="preserve">×</m:t>
        </m:r>
        <m:r>
          <m:t xml:space="preserve">1</m:t>
        </m:r>
        <m:sSup>
          <m:e>
            <m:r>
              <m:t xml:space="preserve">0</m:t>
            </m:r>
          </m:e>
          <m:sup>
            <m:r>
              <m:t xml:space="preserve">−</m:t>
            </m:r>
            <m:r>
              <m:t xml:space="preserve">1</m:t>
            </m:r>
            <m:r>
              <m:t xml:space="preserve">4</m:t>
            </m:r>
          </m:sup>
        </m:sSup>
      </m:oMath>
      <w:r>
        <w:t xml:space="preserve">. Sixty additional explicit boundary instances cover both signs of </w:t>
      </w:r>
      <m:oMath>
        <m:sSub>
          <m:e>
            <m:r>
              <m:t xml:space="preserve">c</m:t>
            </m:r>
          </m:e>
          <m:sub>
            <m:r>
              <m:t xml:space="preserve">∥</m:t>
            </m:r>
          </m:sub>
        </m:sSub>
      </m:oMath>
      <w:r>
        <w:t xml:space="preserve"> and match the constructed objective and reference within </w:t>
      </w:r>
      <m:oMath>
        <m:r>
          <m:t xml:space="preserve">1</m:t>
        </m:r>
        <m:sSup>
          <m:e>
            <m:r>
              <m:t xml:space="preserve">0</m:t>
            </m:r>
          </m:e>
          <m:sup>
            <m:r>
              <m:t xml:space="preserve">−</m:t>
            </m:r>
            <m:r>
              <m:t xml:space="preserve">8</m:t>
            </m:r>
          </m:sup>
        </m:sSup>
      </m:oMath>
      <w:r>
        <w:t>. These are consistency checks of the analytical proofs, not substitutes for them.</w:t>
      </w:r>
    </w:p>
    <w:p>
      <w:pPr>
        <w:pStyle w:val="Heading2"/>
      </w:pPr>
      <w:r>
        <w:t>7.2 Constructed spectral scan</w:t>
      </w:r>
    </w:p>
    <w:p>
      <w:r>
        <w:t xml:space="preserve">The scan fixes the flip example's other summaries and varies </w:t>
      </w:r>
      <m:oMath>
        <m:sSub>
          <m:e>
            <m:r>
              <m:t xml:space="preserve">β</m:t>
            </m:r>
          </m:e>
          <m:sub>
            <m:r>
              <m:t xml:space="preserve">0</m:t>
            </m:r>
          </m:sub>
        </m:sSub>
      </m:oMath>
      <w:r>
        <w:t xml:space="preserve"> over 21 equally spaced points from 1.02 to </w:t>
      </w:r>
      <m:oMath>
        <m:rad>
          <m:radPr>
            <m:degHide m:val="1"/>
          </m:radPr>
          <m:deg/>
          <m:e>
            <m:r>
              <m:t xml:space="preserve">2</m:t>
            </m:r>
          </m:e>
        </m:rad>
      </m:oMath>
      <w:r>
        <w:t>. Each point has an explicit matrix and nominal channel; the channel norm ranges from 2.22 to 9.05. This is an instance family, not an experiment holding a physical channel fixed.</w:t>
      </w:r>
    </w:p>
    <w:p>
      <w:r>
        <w:t xml:space="preserve">The new approximate envelope exceeds the old one at 20 of 21 points. The maximum gain is 0.0749 at </w:t>
      </w:r>
      <m:oMath>
        <m:sSub>
          <m:e>
            <m:r>
              <m:t xml:space="preserve">β</m:t>
            </m:r>
          </m:e>
          <m:sub>
            <m:r>
              <m:t xml:space="preserve">0</m:t>
            </m:r>
          </m:sub>
        </m:sSub>
        <m:r>
          <m:t xml:space="preserve">=</m:t>
        </m:r>
        <m:r>
          <m:t xml:space="preserve">1</m:t>
        </m:r>
        <m:r>
          <m:t xml:space="preserve">.</m:t>
        </m:r>
        <m:r>
          <m:t xml:space="preserve">1</m:t>
        </m:r>
        <m:r>
          <m:t xml:space="preserve">7</m:t>
        </m:r>
        <m:r>
          <m:t xml:space="preserve">7</m:t>
        </m:r>
        <m:r>
          <m:t xml:space="preserve">7</m:t>
        </m:r>
      </m:oMath>
      <w:r>
        <w:t xml:space="preserve">. They agree at </w:t>
      </w:r>
      <m:oMath>
        <m:sSub>
          <m:e>
            <m:r>
              <m:t xml:space="preserve">β</m:t>
            </m:r>
          </m:e>
          <m:sub>
            <m:r>
              <m:t xml:space="preserve">0</m:t>
            </m:r>
          </m:sub>
        </m:sSub>
        <m:r>
          <m:t xml:space="preserve">=</m:t>
        </m:r>
        <m:rad>
          <m:radPr>
            <m:degHide m:val="1"/>
          </m:radPr>
          <m:deg/>
          <m:e>
            <m:r>
              <m:t xml:space="preserve">2</m:t>
            </m:r>
          </m:e>
        </m:rad>
      </m:oMath>
      <w:r>
        <w:t xml:space="preserve">, as predicted by the spectral endpoint. Six points have </w:t>
      </w:r>
      <m:oMath>
        <m:sSub>
          <m:e>
            <m:r>
              <m:t xml:space="preserve">Q</m:t>
            </m:r>
          </m:e>
          <m:sub>
            <m:r>
              <m:t xml:space="preserve">G</m:t>
            </m:r>
            <m:r>
              <m:t xml:space="preserve">,</m:t>
            </m:r>
            <m:r>
              <m:t xml:space="preserve">L</m:t>
            </m:r>
            <m:r>
              <m:t xml:space="preserve">B</m:t>
            </m:r>
          </m:sub>
        </m:sSub>
        <m:r>
          <m:t xml:space="preserve">&gt;</m:t>
        </m:r>
        <m:r>
          <m:t xml:space="preserve">τ</m:t>
        </m:r>
      </m:oMath>
      <w:r>
        <w:t xml:space="preserve"> while the old lower bound is nonpositive, with </w:t>
      </w:r>
      <m:oMath>
        <m:sSub>
          <m:e>
            <m:r>
              <m:t xml:space="preserve">β</m:t>
            </m:r>
          </m:e>
          <m:sub>
            <m:r>
              <m:t xml:space="preserve">0</m:t>
            </m:r>
          </m:sub>
        </m:sSub>
        <m:r>
          <m:t xml:space="preserve">∈</m:t>
        </m:r>
        <m:d>
          <m:dPr>
            <m:begChr m:val="["/>
            <m:endChr m:val="]"/>
          </m:dPr>
          <m:e>
            <m:r>
              <m:t xml:space="preserve">1</m:t>
            </m:r>
            <m:r>
              <m:t xml:space="preserve">.</m:t>
            </m:r>
            <m:r>
              <m:t xml:space="preserve">0</m:t>
            </m:r>
            <m:r>
              <m:t xml:space="preserve">7</m:t>
            </m:r>
            <m:r>
              <m:t xml:space="preserve">9</m:t>
            </m:r>
            <m:r>
              <m:t xml:space="preserve">1</m:t>
            </m:r>
            <m:r>
              <m:t xml:space="preserve">,</m:t>
            </m:r>
            <m:r>
              <m:t xml:space="preserve">1</m:t>
            </m:r>
            <m:r>
              <m:t xml:space="preserve">.</m:t>
            </m:r>
            <m:r>
              <m:t xml:space="preserve">1</m:t>
            </m:r>
            <m:r>
              <m:t xml:space="preserve">7</m:t>
            </m:r>
            <m:r>
              <m:t xml:space="preserve">7</m:t>
            </m:r>
            <m:r>
              <m:t xml:space="preserve">7</m:t>
            </m:r>
          </m:e>
        </m:d>
      </m:oMath>
      <w:r>
        <w:t>. The minimum reference to new interval lower bound gap is 0.00663325. Approximate minima differ from the reference by tiny negative roundoff at some points, which is not an acceptance criterion.</w:t>
      </w:r>
    </w:p>
    <w:p>
      <w:pPr>
        <w:keepNext/>
      </w:pPr>
      <w:r>
        <w:drawing>
          <wp:inline xmlns:a="http://schemas.openxmlformats.org/drawingml/2006/main" xmlns:pic="http://schemas.openxmlformats.org/drawingml/2006/picture">
            <wp:extent cx="5669280" cy="2239768"/>
            <wp:docPr id="1" name="Picture 1"/>
            <wp:cNvGraphicFramePr>
              <a:graphicFrameLocks noChangeAspect="1"/>
            </wp:cNvGraphicFramePr>
            <a:graphic>
              <a:graphicData uri="http://schemas.openxmlformats.org/drawingml/2006/picture">
                <pic:pic>
                  <pic:nvPicPr>
                    <pic:cNvPr id="0" name="fig2_spectral_scan.png"/>
                    <pic:cNvPicPr/>
                  </pic:nvPicPr>
                  <pic:blipFill>
                    <a:blip r:embed="rId10"/>
                    <a:stretch>
                      <a:fillRect/>
                    </a:stretch>
                  </pic:blipFill>
                  <pic:spPr>
                    <a:xfrm>
                      <a:off x="0" y="0"/>
                      <a:ext cx="5669280" cy="2239768"/>
                    </a:xfrm>
                    <a:prstGeom prst="rect"/>
                  </pic:spPr>
                </pic:pic>
              </a:graphicData>
            </a:graphic>
          </wp:inline>
        </w:drawing>
      </w:r>
    </w:p>
    <w:p>
      <w:pPr>
        <w:pStyle w:val="Caption"/>
      </w:pPr>
      <w:r>
        <w:t>Figure 1. Constructed spectral scan. Approximate envelopes are diagnostic; the dashed interval lower bound is used for certification. The family changes the nominal channel norm.</w:t>
      </w:r>
    </w:p>
    <w:p>
      <w:pPr>
        <w:pStyle w:val="Heading2"/>
      </w:pPr>
      <w:r>
        <w:t>7.3 Fixed RIS candidates and easy regime</w:t>
      </w:r>
    </w:p>
    <w:p>
      <w:r>
        <w:t xml:space="preserve">The candidate model has two base stations with four antennas each, four users, and a 16 element RIS with two bit phases. Each seed generates six phase states and two beam types, MRT and RZF, giving 12 candidates. The first phase state is all ones and five states are sampled from </w:t>
      </w:r>
      <m:oMath>
        <m:d>
          <m:dPr>
            <m:begChr m:val="{"/>
            <m:endChr m:val="}"/>
          </m:dPr>
          <m:e>
            <m:r>
              <m:t xml:space="preserve">1</m:t>
            </m:r>
            <m:r>
              <m:t xml:space="preserve">,</m:t>
            </m:r>
            <m:r>
              <m:t xml:space="preserve">i</m:t>
            </m:r>
            <m:r>
              <m:t xml:space="preserve">,</m:t>
            </m:r>
            <m:r>
              <m:t xml:space="preserve">−</m:t>
            </m:r>
            <m:r>
              <m:t xml:space="preserve">1</m:t>
            </m:r>
            <m:r>
              <m:t xml:space="preserve">,</m:t>
            </m:r>
            <m:r>
              <m:t xml:space="preserve">−</m:t>
            </m:r>
            <m:r>
              <m:t xml:space="preserve">i</m:t>
            </m:r>
          </m:e>
        </m:d>
      </m:oMath>
      <w:r>
        <w:t>. Each base station serves two users with power 0.5 per stream. RZF uses regularization 0.1 before per stream normalization.</w:t>
      </w:r>
    </w:p>
    <w:p>
      <w:r>
        <w:t xml:space="preserve">The effective link is </w:t>
      </w:r>
      <m:oMath>
        <m:r>
          <m:t xml:space="preserve">h</m:t>
        </m:r>
        <m:sSub>
          <m:e>
            <m:r>
              <m:t xml:space="preserve">̂</m:t>
            </m:r>
          </m:e>
          <m:sub>
            <m:r>
              <m:t xml:space="preserve">j</m:t>
            </m:r>
            <m:r>
              <m:t xml:space="preserve">,</m:t>
            </m:r>
            <m:r>
              <m:t xml:space="preserve">u</m:t>
            </m:r>
          </m:sub>
        </m:sSub>
        <m:r>
          <m:t xml:space="preserve">=</m:t>
        </m:r>
        <m:sSub>
          <m:e>
            <m:r>
              <m:t xml:space="preserve">s</m:t>
            </m:r>
          </m:e>
          <m:sub>
            <m:r>
              <m:t xml:space="preserve">j</m:t>
            </m:r>
            <m:r>
              <m:t xml:space="preserve">,</m:t>
            </m:r>
            <m:r>
              <m:t xml:space="preserve">u</m:t>
            </m:r>
          </m:sub>
        </m:sSub>
        <m:d>
          <m:dPr>
            <m:begChr m:val="["/>
            <m:endChr m:val="]"/>
          </m:dPr>
          <m:e>
            <m:sSub>
              <m:e>
                <m:r>
                  <m:t xml:space="preserve">d</m:t>
                </m:r>
              </m:e>
              <m:sub>
                <m:r>
                  <m:t xml:space="preserve">j</m:t>
                </m:r>
                <m:r>
                  <m:t xml:space="preserve">,</m:t>
                </m:r>
                <m:r>
                  <m:t xml:space="preserve">u</m:t>
                </m:r>
              </m:sub>
            </m:sSub>
            <m:r>
              <m:t xml:space="preserve">+</m:t>
            </m:r>
            <m:sSup>
              <m:e>
                <m:sSub>
                  <m:e>
                    <m:r>
                      <m:t xml:space="preserve">G</m:t>
                    </m:r>
                  </m:e>
                  <m:sub>
                    <m:r>
                      <m:t xml:space="preserve">j</m:t>
                    </m:r>
                  </m:sub>
                </m:sSub>
              </m:e>
              <m:sup>
                <m:r>
                  <m:t xml:space="preserve">H</m:t>
                </m:r>
              </m:sup>
            </m:sSup>
            <m:r>
              <m:t xml:space="preserve">d</m:t>
            </m:r>
            <m:r>
              <m:t xml:space="preserve">i</m:t>
            </m:r>
            <m:r>
              <m:t xml:space="preserve">a</m:t>
            </m:r>
            <m:r>
              <m:t xml:space="preserve">g</m:t>
            </m:r>
            <m:d>
              <m:dPr>
                <m:begChr m:val="("/>
                <m:endChr m:val=")"/>
              </m:dPr>
              <m:e>
                <m:r>
                  <m:t xml:space="preserve">θ</m:t>
                </m:r>
              </m:e>
            </m:d>
            <m:sSub>
              <m:e>
                <m:r>
                  <m:t xml:space="preserve">f</m:t>
                </m:r>
              </m:e>
              <m:sub>
                <m:r>
                  <m:t xml:space="preserve">u</m:t>
                </m:r>
              </m:sub>
            </m:sSub>
          </m:e>
        </m:d>
      </m:oMath>
      <w:r>
        <w:t xml:space="preserve">, with same cell scale 1 and cross cell scale 0.5. Entries of </w:t>
      </w:r>
      <m:oMath>
        <m:sSub>
          <m:e>
            <m:r>
              <m:t xml:space="preserve">G</m:t>
            </m:r>
          </m:e>
          <m:sub>
            <m:r>
              <m:t xml:space="preserve">j</m:t>
            </m:r>
          </m:sub>
        </m:sSub>
        <m:r>
          <m:t xml:space="preserve">,</m:t>
        </m:r>
        <m:sSub>
          <m:e>
            <m:r>
              <m:t xml:space="preserve">d</m:t>
            </m:r>
          </m:e>
          <m:sub>
            <m:r>
              <m:t xml:space="preserve">j</m:t>
            </m:r>
            <m:r>
              <m:t xml:space="preserve">,</m:t>
            </m:r>
            <m:r>
              <m:t xml:space="preserve">u</m:t>
            </m:r>
          </m:sub>
        </m:sSub>
      </m:oMath>
      <w:r>
        <w:t xml:space="preserve"> have circular complex normal variance 1/4; entries of </w:t>
      </w:r>
      <m:oMath>
        <m:sSub>
          <m:e>
            <m:r>
              <m:t xml:space="preserve">f</m:t>
            </m:r>
          </m:e>
          <m:sub>
            <m:r>
              <m:t xml:space="preserve">u</m:t>
            </m:r>
          </m:sub>
        </m:sSub>
      </m:oMath>
      <w:r>
        <w:t xml:space="preserve"> have variance 1/16. Real and imaginary parts each have half the stated variance. Channels and beams are stacked into dimension eight. Noise power is 0.05. These are normalized dimensionless links, not a fitted propagation or hardware model.</w:t>
      </w:r>
    </w:p>
    <w:p>
      <w:r>
        <w:t xml:space="preserve">The original seeds are 11, 22, 33, 44 and 55, with </w:t>
      </w:r>
      <m:oMath>
        <m:r>
          <m:t xml:space="preserve">γ</m:t>
        </m:r>
        <m:r>
          <m:t xml:space="preserve">=</m:t>
        </m:r>
        <m:r>
          <m:t xml:space="preserve">0</m:t>
        </m:r>
        <m:r>
          <m:t xml:space="preserve">.</m:t>
        </m:r>
        <m:r>
          <m:t xml:space="preserve">5</m:t>
        </m:r>
      </m:oMath>
      <w:r>
        <w:t xml:space="preserve"> and </w:t>
      </w:r>
      <m:oMath>
        <m:sSub>
          <m:e>
            <m:r>
              <m:t xml:space="preserve">r</m:t>
            </m:r>
          </m:e>
          <m:sub>
            <m:r>
              <m:t xml:space="preserve">u</m:t>
            </m:r>
          </m:sub>
        </m:sSub>
        <m:r>
          <m:t xml:space="preserve">=</m:t>
        </m:r>
        <m:r>
          <m:t xml:space="preserve">ρ</m:t>
        </m:r>
        <m:r>
          <m:t xml:space="preserve">∥</m:t>
        </m:r>
        <m:r>
          <m:t xml:space="preserve">h</m:t>
        </m:r>
        <m:sSub>
          <m:e>
            <m:r>
              <m:t xml:space="preserve">̂</m:t>
            </m:r>
          </m:e>
          <m:sub>
            <m:r>
              <m:t xml:space="preserve">u</m:t>
            </m:r>
          </m:sub>
        </m:sSub>
        <m:r>
          <m:t xml:space="preserve">∥</m:t>
        </m:r>
      </m:oMath>
      <w:r>
        <w:t xml:space="preserve">, </w:t>
      </w:r>
      <m:oMath>
        <m:r>
          <m:t xml:space="preserve">ρ</m:t>
        </m:r>
        <m:r>
          <m:t xml:space="preserve">∈</m:t>
        </m:r>
        <m:d>
          <m:dPr>
            <m:begChr m:val="{"/>
            <m:endChr m:val="}"/>
          </m:dPr>
          <m:e>
            <m:r>
              <m:t xml:space="preserve">0</m:t>
            </m:r>
            <m:r>
              <m:t xml:space="preserve">.</m:t>
            </m:r>
            <m:r>
              <m:t xml:space="preserve">0</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6</m:t>
            </m:r>
          </m:e>
        </m:d>
      </m:oMath>
      <w:r>
        <w:t>. The pool contains 720 user ball evaluations and 180 candidate–radius units. All references are valid and all four methods accept all units directly, with no false acceptance or fallback. This is an easy baseline and cannot demonstrate differences between certificates.</w:t>
      </w:r>
    </w:p>
    <w:p>
      <w:pPr>
        <w:pStyle w:val="Heading2"/>
      </w:pPr>
      <w:r>
        <w:t>7.4 Exploratory sensitivity grid</w:t>
      </w:r>
    </w:p>
    <w:p>
      <w:r>
        <w:t xml:space="preserve">The candidate generation is unchanged. We add seeds 66, 77, 88, 99 and 110 and evaluate </w:t>
      </w:r>
      <m:oMath>
        <m:r>
          <m:t xml:space="preserve">γ</m:t>
        </m:r>
        <m:r>
          <m:t xml:space="preserve">∈</m:t>
        </m:r>
        <m:d>
          <m:dPr>
            <m:begChr m:val="{"/>
            <m:endChr m:val="}"/>
          </m:dPr>
          <m:e>
            <m:r>
              <m:t xml:space="preserve">0</m:t>
            </m:r>
            <m:r>
              <m:t xml:space="preserve">.</m:t>
            </m:r>
            <m:r>
              <m:t xml:space="preserve">5</m:t>
            </m:r>
            <m:r>
              <m:t xml:space="preserve">,</m:t>
            </m:r>
            <m:r>
              <m:t xml:space="preserve">1</m:t>
            </m:r>
            <m:r>
              <m:t xml:space="preserve">,</m:t>
            </m:r>
            <m:r>
              <m:t xml:space="preserve">2</m:t>
            </m:r>
          </m:e>
        </m:d>
      </m:oMath>
      <w:r>
        <w:t xml:space="preserve"> and </w:t>
      </w:r>
      <m:oMath>
        <m:r>
          <m:t xml:space="preserve">ρ</m:t>
        </m:r>
        <m:r>
          <m:t xml:space="preserve">∈</m:t>
        </m:r>
        <m:d>
          <m:dPr>
            <m:begChr m:val="{"/>
            <m:endChr m:val="}"/>
          </m:dPr>
          <m:e>
            <m:r>
              <m:t xml:space="preserve">0</m:t>
            </m:r>
            <m:r>
              <m:t xml:space="preserve">.</m:t>
            </m:r>
            <m:r>
              <m:t xml:space="preserve">0</m:t>
            </m:r>
            <m:r>
              <m:t xml:space="preserve">6</m:t>
            </m:r>
            <m:r>
              <m:t xml:space="preserve">,</m:t>
            </m:r>
            <m:r>
              <m:t xml:space="preserve">0</m:t>
            </m:r>
            <m:r>
              <m:t xml:space="preserve">.</m:t>
            </m:r>
            <m:r>
              <m:t xml:space="preserve">1</m:t>
            </m:r>
            <m:r>
              <m:t xml:space="preserve">5</m:t>
            </m:r>
            <m:r>
              <m:t xml:space="preserve">,</m:t>
            </m:r>
            <m:r>
              <m:t xml:space="preserve">0</m:t>
            </m:r>
            <m:r>
              <m:t xml:space="preserve">.</m:t>
            </m:r>
            <m:r>
              <m:t xml:space="preserve">3</m:t>
            </m:r>
            <m:r>
              <m:t xml:space="preserve">0</m:t>
            </m:r>
          </m:e>
        </m:d>
      </m:oMath>
      <w:r>
        <w:t>. The fixed grid is an exploratory response to saturation of the original pool; it is not a preregistered validation. Every grid cell is reported, without selecting candidates by the new bound's gain. There are 120 candidates, 1080 candidate–radius–threshold units and 4320 user ball evaluations. Larger radii are stress settings, not calibrated statistical CSI coverage.</w:t>
      </w:r>
    </w:p>
    <w:p>
      <w:pPr>
        <w:pStyle w:val="Caption"/>
        <w:keepNext/>
      </w:pPr>
      <w:r>
        <w:t>Table 2. Directly accepted units on the complete sensitivity grid,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3"/>
        <w:gridCol w:w="1003"/>
        <w:gridCol w:w="1003"/>
        <w:gridCol w:w="1003"/>
        <w:gridCol w:w="1003"/>
        <w:gridCol w:w="1003"/>
        <w:gridCol w:w="1003"/>
        <w:gridCol w:w="1003"/>
        <w:gridCol w:w="1003"/>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893"/>
            <w:vAlign w:val="center"/>
            <w:tcMar>
              <w:top w:w="65" w:type="dxa"/>
              <w:bottom w:w="65" w:type="dxa"/>
              <w:left w:w="65" w:type="dxa"/>
              <w:right w:w="65" w:type="dxa"/>
            </w:tcMar>
            <w:shd w:fill="E8EDF2"/>
          </w:tcPr>
          <w:p>
            <w:pPr>
              <w:spacing w:after="0" w:line="240" w:lineRule="auto"/>
              <w:jc w:val="center"/>
            </w:pPr>
            <w:r>
              <w:rPr>
                <w:b/>
                <w:sz w:val="18"/>
              </w:rPr>
              <w:t>Feas.</w:t>
            </w:r>
          </w:p>
        </w:tc>
        <w:tc>
          <w:tcPr>
            <w:tcW w:type="dxa" w:w="979"/>
            <w:vAlign w:val="center"/>
            <w:tcMar>
              <w:top w:w="65" w:type="dxa"/>
              <w:bottom w:w="65" w:type="dxa"/>
              <w:left w:w="65" w:type="dxa"/>
              <w:right w:w="65" w:type="dxa"/>
            </w:tcMar>
            <w:shd w:fill="E8EDF2"/>
          </w:tcPr>
          <w:p>
            <w:pPr>
              <w:spacing w:after="0" w:line="240" w:lineRule="auto"/>
              <w:jc w:val="center"/>
            </w:pPr>
            <w:r>
              <w:rPr>
                <w:b/>
                <w:sz w:val="18"/>
              </w:rPr>
              <w:t>Infeas.</w:t>
            </w:r>
          </w:p>
        </w:tc>
        <w:tc>
          <w:tcPr>
            <w:tcW w:type="dxa" w:w="648"/>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749"/>
            <w:vAlign w:val="center"/>
            <w:tcMar>
              <w:top w:w="65" w:type="dxa"/>
              <w:bottom w:w="65" w:type="dxa"/>
              <w:left w:w="65" w:type="dxa"/>
              <w:right w:w="65" w:type="dxa"/>
            </w:tcMar>
            <w:shd w:fill="E8EDF2"/>
          </w:tcPr>
          <w:p>
            <w:pPr>
              <w:spacing w:after="0" w:line="240" w:lineRule="auto"/>
              <w:jc w:val="center"/>
            </w:pPr>
            <w:r>
              <w:rPr>
                <w:b/>
                <w:sz w:val="18"/>
              </w:rPr>
              <w:t>Added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118</w:t>
            </w:r>
          </w:p>
        </w:tc>
        <w:tc>
          <w:tcPr>
            <w:tcW w:type="dxa" w:w="979"/>
            <w:vAlign w:val="center"/>
            <w:tcMar>
              <w:top w:w="65" w:type="dxa"/>
              <w:bottom w:w="65" w:type="dxa"/>
              <w:left w:w="65" w:type="dxa"/>
              <w:right w:w="65" w:type="dxa"/>
            </w:tcMar>
          </w:tcPr>
          <w:p>
            <w:pPr>
              <w:spacing w:after="0" w:line="240" w:lineRule="auto"/>
              <w:jc w:val="center"/>
            </w:pPr>
            <w:r>
              <w:rPr>
                <w:b w:val="0"/>
                <w:sz w:val="18"/>
              </w:rPr>
              <w:t>2</w:t>
            </w:r>
          </w:p>
        </w:tc>
        <w:tc>
          <w:tcPr>
            <w:tcW w:type="dxa" w:w="648"/>
            <w:vAlign w:val="center"/>
            <w:tcMar>
              <w:top w:w="65" w:type="dxa"/>
              <w:bottom w:w="65" w:type="dxa"/>
              <w:left w:w="65" w:type="dxa"/>
              <w:right w:w="65" w:type="dxa"/>
            </w:tcMar>
          </w:tcPr>
          <w:p>
            <w:pPr>
              <w:spacing w:after="0" w:line="240" w:lineRule="auto"/>
              <w:jc w:val="center"/>
            </w:pPr>
            <w:r>
              <w:rPr>
                <w:b w:val="0"/>
                <w:sz w:val="18"/>
              </w:rPr>
              <w:t>117</w:t>
            </w:r>
          </w:p>
        </w:tc>
        <w:tc>
          <w:tcPr>
            <w:tcW w:type="dxa" w:w="979"/>
            <w:vAlign w:val="center"/>
            <w:tcMar>
              <w:top w:w="65" w:type="dxa"/>
              <w:bottom w:w="65" w:type="dxa"/>
              <w:left w:w="65" w:type="dxa"/>
              <w:right w:w="65" w:type="dxa"/>
            </w:tcMar>
          </w:tcPr>
          <w:p>
            <w:pPr>
              <w:spacing w:after="0" w:line="240" w:lineRule="auto"/>
              <w:jc w:val="center"/>
            </w:pPr>
            <w:r>
              <w:rPr>
                <w:b w:val="0"/>
                <w:sz w:val="18"/>
              </w:rPr>
              <w:t>118</w:t>
            </w:r>
          </w:p>
        </w:tc>
        <w:tc>
          <w:tcPr>
            <w:tcW w:type="dxa" w:w="936"/>
            <w:vAlign w:val="center"/>
            <w:tcMar>
              <w:top w:w="65" w:type="dxa"/>
              <w:bottom w:w="65" w:type="dxa"/>
              <w:left w:w="65" w:type="dxa"/>
              <w:right w:w="65" w:type="dxa"/>
            </w:tcMar>
          </w:tcPr>
          <w:p>
            <w:pPr>
              <w:spacing w:after="0" w:line="240" w:lineRule="auto"/>
              <w:jc w:val="center"/>
            </w:pPr>
            <w:r>
              <w:rPr>
                <w:b w:val="0"/>
                <w:sz w:val="18"/>
              </w:rPr>
              <w:t>118</w:t>
            </w:r>
          </w:p>
        </w:tc>
        <w:tc>
          <w:tcPr>
            <w:tcW w:type="dxa" w:w="1181"/>
            <w:vAlign w:val="center"/>
            <w:tcMar>
              <w:top w:w="65" w:type="dxa"/>
              <w:bottom w:w="65" w:type="dxa"/>
              <w:left w:w="65" w:type="dxa"/>
              <w:right w:w="65" w:type="dxa"/>
            </w:tcMar>
          </w:tcPr>
          <w:p>
            <w:pPr>
              <w:spacing w:after="0" w:line="240" w:lineRule="auto"/>
              <w:jc w:val="center"/>
            </w:pPr>
            <w:r>
              <w:rPr>
                <w:b w:val="0"/>
                <w:sz w:val="18"/>
              </w:rPr>
              <w:t>118</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108</w:t>
            </w:r>
          </w:p>
        </w:tc>
        <w:tc>
          <w:tcPr>
            <w:tcW w:type="dxa" w:w="979"/>
            <w:vAlign w:val="center"/>
            <w:tcMar>
              <w:top w:w="65" w:type="dxa"/>
              <w:bottom w:w="65" w:type="dxa"/>
              <w:left w:w="65" w:type="dxa"/>
              <w:right w:w="65" w:type="dxa"/>
            </w:tcMar>
          </w:tcPr>
          <w:p>
            <w:pPr>
              <w:spacing w:after="0" w:line="240" w:lineRule="auto"/>
              <w:jc w:val="center"/>
            </w:pPr>
            <w:r>
              <w:rPr>
                <w:b w:val="0"/>
                <w:sz w:val="18"/>
              </w:rPr>
              <w:t>12</w:t>
            </w:r>
          </w:p>
        </w:tc>
        <w:tc>
          <w:tcPr>
            <w:tcW w:type="dxa" w:w="648"/>
            <w:vAlign w:val="center"/>
            <w:tcMar>
              <w:top w:w="65" w:type="dxa"/>
              <w:bottom w:w="65" w:type="dxa"/>
              <w:left w:w="65" w:type="dxa"/>
              <w:right w:w="65" w:type="dxa"/>
            </w:tcMar>
          </w:tcPr>
          <w:p>
            <w:pPr>
              <w:spacing w:after="0" w:line="240" w:lineRule="auto"/>
              <w:jc w:val="center"/>
            </w:pPr>
            <w:r>
              <w:rPr>
                <w:b w:val="0"/>
                <w:sz w:val="18"/>
              </w:rPr>
              <w:t>91</w:t>
            </w:r>
          </w:p>
        </w:tc>
        <w:tc>
          <w:tcPr>
            <w:tcW w:type="dxa" w:w="979"/>
            <w:vAlign w:val="center"/>
            <w:tcMar>
              <w:top w:w="65" w:type="dxa"/>
              <w:bottom w:w="65" w:type="dxa"/>
              <w:left w:w="65" w:type="dxa"/>
              <w:right w:w="65" w:type="dxa"/>
            </w:tcMar>
          </w:tcPr>
          <w:p>
            <w:pPr>
              <w:spacing w:after="0" w:line="240" w:lineRule="auto"/>
              <w:jc w:val="center"/>
            </w:pPr>
            <w:r>
              <w:rPr>
                <w:b w:val="0"/>
                <w:sz w:val="18"/>
              </w:rPr>
              <w:t>102</w:t>
            </w:r>
          </w:p>
        </w:tc>
        <w:tc>
          <w:tcPr>
            <w:tcW w:type="dxa" w:w="936"/>
            <w:vAlign w:val="center"/>
            <w:tcMar>
              <w:top w:w="65" w:type="dxa"/>
              <w:bottom w:w="65" w:type="dxa"/>
              <w:left w:w="65" w:type="dxa"/>
              <w:right w:w="65" w:type="dxa"/>
            </w:tcMar>
          </w:tcPr>
          <w:p>
            <w:pPr>
              <w:spacing w:after="0" w:line="240" w:lineRule="auto"/>
              <w:jc w:val="center"/>
            </w:pPr>
            <w:r>
              <w:rPr>
                <w:b w:val="0"/>
                <w:sz w:val="18"/>
              </w:rPr>
              <w:t>103</w:t>
            </w:r>
          </w:p>
        </w:tc>
        <w:tc>
          <w:tcPr>
            <w:tcW w:type="dxa" w:w="1181"/>
            <w:vAlign w:val="center"/>
            <w:tcMar>
              <w:top w:w="65" w:type="dxa"/>
              <w:bottom w:w="65" w:type="dxa"/>
              <w:left w:w="65" w:type="dxa"/>
              <w:right w:w="65" w:type="dxa"/>
            </w:tcMar>
          </w:tcPr>
          <w:p>
            <w:pPr>
              <w:spacing w:after="0" w:line="240" w:lineRule="auto"/>
              <w:jc w:val="center"/>
            </w:pPr>
            <w:r>
              <w:rPr>
                <w:b w:val="0"/>
                <w:sz w:val="18"/>
              </w:rPr>
              <w:t>102</w:t>
            </w:r>
          </w:p>
        </w:tc>
        <w:tc>
          <w:tcPr>
            <w:tcW w:type="dxa" w:w="749"/>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63</w:t>
            </w:r>
          </w:p>
        </w:tc>
        <w:tc>
          <w:tcPr>
            <w:tcW w:type="dxa" w:w="979"/>
            <w:vAlign w:val="center"/>
            <w:tcMar>
              <w:top w:w="65" w:type="dxa"/>
              <w:bottom w:w="65" w:type="dxa"/>
              <w:left w:w="65" w:type="dxa"/>
              <w:right w:w="65" w:type="dxa"/>
            </w:tcMar>
          </w:tcPr>
          <w:p>
            <w:pPr>
              <w:spacing w:after="0" w:line="240" w:lineRule="auto"/>
              <w:jc w:val="center"/>
            </w:pPr>
            <w:r>
              <w:rPr>
                <w:b w:val="0"/>
                <w:sz w:val="18"/>
              </w:rPr>
              <w:t>57</w:t>
            </w:r>
          </w:p>
        </w:tc>
        <w:tc>
          <w:tcPr>
            <w:tcW w:type="dxa" w:w="648"/>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26</w:t>
            </w:r>
          </w:p>
        </w:tc>
        <w:tc>
          <w:tcPr>
            <w:tcW w:type="dxa" w:w="936"/>
            <w:vAlign w:val="center"/>
            <w:tcMar>
              <w:top w:w="65" w:type="dxa"/>
              <w:bottom w:w="65" w:type="dxa"/>
              <w:left w:w="65" w:type="dxa"/>
              <w:right w:w="65" w:type="dxa"/>
            </w:tcMar>
          </w:tcPr>
          <w:p>
            <w:pPr>
              <w:spacing w:after="0" w:line="240" w:lineRule="auto"/>
              <w:jc w:val="center"/>
            </w:pPr>
            <w:r>
              <w:rPr>
                <w:b w:val="0"/>
                <w:sz w:val="18"/>
              </w:rPr>
              <w:t>28</w:t>
            </w:r>
          </w:p>
        </w:tc>
        <w:tc>
          <w:tcPr>
            <w:tcW w:type="dxa" w:w="1181"/>
            <w:vAlign w:val="center"/>
            <w:tcMar>
              <w:top w:w="65" w:type="dxa"/>
              <w:bottom w:w="65" w:type="dxa"/>
              <w:left w:w="65" w:type="dxa"/>
              <w:right w:w="65" w:type="dxa"/>
            </w:tcMar>
          </w:tcPr>
          <w:p>
            <w:pPr>
              <w:spacing w:after="0" w:line="240" w:lineRule="auto"/>
              <w:jc w:val="center"/>
            </w:pPr>
            <w:r>
              <w:rPr>
                <w:b w:val="0"/>
                <w:sz w:val="18"/>
              </w:rPr>
              <w:t>21</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90</w:t>
            </w:r>
          </w:p>
        </w:tc>
        <w:tc>
          <w:tcPr>
            <w:tcW w:type="dxa" w:w="979"/>
            <w:vAlign w:val="center"/>
            <w:tcMar>
              <w:top w:w="65" w:type="dxa"/>
              <w:bottom w:w="65" w:type="dxa"/>
              <w:left w:w="65" w:type="dxa"/>
              <w:right w:w="65" w:type="dxa"/>
            </w:tcMar>
          </w:tcPr>
          <w:p>
            <w:pPr>
              <w:spacing w:after="0" w:line="240" w:lineRule="auto"/>
              <w:jc w:val="center"/>
            </w:pPr>
            <w:r>
              <w:rPr>
                <w:b w:val="0"/>
                <w:sz w:val="18"/>
              </w:rPr>
              <w:t>30</w:t>
            </w:r>
          </w:p>
        </w:tc>
        <w:tc>
          <w:tcPr>
            <w:tcW w:type="dxa" w:w="648"/>
            <w:vAlign w:val="center"/>
            <w:tcMar>
              <w:top w:w="65" w:type="dxa"/>
              <w:bottom w:w="65" w:type="dxa"/>
              <w:left w:w="65" w:type="dxa"/>
              <w:right w:w="65" w:type="dxa"/>
            </w:tcMar>
          </w:tcPr>
          <w:p>
            <w:pPr>
              <w:spacing w:after="0" w:line="240" w:lineRule="auto"/>
              <w:jc w:val="center"/>
            </w:pPr>
            <w:r>
              <w:rPr>
                <w:b w:val="0"/>
                <w:sz w:val="18"/>
              </w:rPr>
              <w:t>78</w:t>
            </w:r>
          </w:p>
        </w:tc>
        <w:tc>
          <w:tcPr>
            <w:tcW w:type="dxa" w:w="979"/>
            <w:vAlign w:val="center"/>
            <w:tcMar>
              <w:top w:w="65" w:type="dxa"/>
              <w:bottom w:w="65" w:type="dxa"/>
              <w:left w:w="65" w:type="dxa"/>
              <w:right w:w="65" w:type="dxa"/>
            </w:tcMar>
          </w:tcPr>
          <w:p>
            <w:pPr>
              <w:spacing w:after="0" w:line="240" w:lineRule="auto"/>
              <w:jc w:val="center"/>
            </w:pPr>
            <w:r>
              <w:rPr>
                <w:b w:val="0"/>
                <w:sz w:val="18"/>
              </w:rPr>
              <w:t>81</w:t>
            </w:r>
          </w:p>
        </w:tc>
        <w:tc>
          <w:tcPr>
            <w:tcW w:type="dxa" w:w="936"/>
            <w:vAlign w:val="center"/>
            <w:tcMar>
              <w:top w:w="65" w:type="dxa"/>
              <w:bottom w:w="65" w:type="dxa"/>
              <w:left w:w="65" w:type="dxa"/>
              <w:right w:w="65" w:type="dxa"/>
            </w:tcMar>
          </w:tcPr>
          <w:p>
            <w:pPr>
              <w:spacing w:after="0" w:line="240" w:lineRule="auto"/>
              <w:jc w:val="center"/>
            </w:pPr>
            <w:r>
              <w:rPr>
                <w:b w:val="0"/>
                <w:sz w:val="18"/>
              </w:rPr>
              <w:t>83</w:t>
            </w:r>
          </w:p>
        </w:tc>
        <w:tc>
          <w:tcPr>
            <w:tcW w:type="dxa" w:w="1181"/>
            <w:vAlign w:val="center"/>
            <w:tcMar>
              <w:top w:w="65" w:type="dxa"/>
              <w:bottom w:w="65" w:type="dxa"/>
              <w:left w:w="65" w:type="dxa"/>
              <w:right w:w="65" w:type="dxa"/>
            </w:tcMar>
          </w:tcPr>
          <w:p>
            <w:pPr>
              <w:spacing w:after="0" w:line="240" w:lineRule="auto"/>
              <w:jc w:val="center"/>
            </w:pPr>
            <w:r>
              <w:rPr>
                <w:b w:val="0"/>
                <w:sz w:val="18"/>
              </w:rPr>
              <w:t>90</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56</w:t>
            </w:r>
          </w:p>
        </w:tc>
        <w:tc>
          <w:tcPr>
            <w:tcW w:type="dxa" w:w="979"/>
            <w:vAlign w:val="center"/>
            <w:tcMar>
              <w:top w:w="65" w:type="dxa"/>
              <w:bottom w:w="65" w:type="dxa"/>
              <w:left w:w="65" w:type="dxa"/>
              <w:right w:w="65" w:type="dxa"/>
            </w:tcMar>
          </w:tcPr>
          <w:p>
            <w:pPr>
              <w:spacing w:after="0" w:line="240" w:lineRule="auto"/>
              <w:jc w:val="center"/>
            </w:pPr>
            <w:r>
              <w:rPr>
                <w:b w:val="0"/>
                <w:sz w:val="18"/>
              </w:rPr>
              <w:t>64</w:t>
            </w:r>
          </w:p>
        </w:tc>
        <w:tc>
          <w:tcPr>
            <w:tcW w:type="dxa" w:w="648"/>
            <w:vAlign w:val="center"/>
            <w:tcMar>
              <w:top w:w="65" w:type="dxa"/>
              <w:bottom w:w="65" w:type="dxa"/>
              <w:left w:w="65" w:type="dxa"/>
              <w:right w:w="65" w:type="dxa"/>
            </w:tcMar>
          </w:tcPr>
          <w:p>
            <w:pPr>
              <w:spacing w:after="0" w:line="240" w:lineRule="auto"/>
              <w:jc w:val="center"/>
            </w:pPr>
            <w:r>
              <w:rPr>
                <w:b w:val="0"/>
                <w:sz w:val="18"/>
              </w:rPr>
              <w:t>21</w:t>
            </w:r>
          </w:p>
        </w:tc>
        <w:tc>
          <w:tcPr>
            <w:tcW w:type="dxa" w:w="979"/>
            <w:vAlign w:val="center"/>
            <w:tcMar>
              <w:top w:w="65" w:type="dxa"/>
              <w:bottom w:w="65" w:type="dxa"/>
              <w:left w:w="65" w:type="dxa"/>
              <w:right w:w="65" w:type="dxa"/>
            </w:tcMar>
          </w:tcPr>
          <w:p>
            <w:pPr>
              <w:spacing w:after="0" w:line="240" w:lineRule="auto"/>
              <w:jc w:val="center"/>
            </w:pPr>
            <w:r>
              <w:rPr>
                <w:b w:val="0"/>
                <w:sz w:val="18"/>
              </w:rPr>
              <w:t>34</w:t>
            </w:r>
          </w:p>
        </w:tc>
        <w:tc>
          <w:tcPr>
            <w:tcW w:type="dxa" w:w="936"/>
            <w:vAlign w:val="center"/>
            <w:tcMar>
              <w:top w:w="65" w:type="dxa"/>
              <w:bottom w:w="65" w:type="dxa"/>
              <w:left w:w="65" w:type="dxa"/>
              <w:right w:w="65" w:type="dxa"/>
            </w:tcMar>
          </w:tcPr>
          <w:p>
            <w:pPr>
              <w:spacing w:after="0" w:line="240" w:lineRule="auto"/>
              <w:jc w:val="center"/>
            </w:pPr>
            <w:r>
              <w:rPr>
                <w:b w:val="0"/>
                <w:sz w:val="18"/>
              </w:rPr>
              <w:t>36</w:t>
            </w:r>
          </w:p>
        </w:tc>
        <w:tc>
          <w:tcPr>
            <w:tcW w:type="dxa" w:w="1181"/>
            <w:vAlign w:val="center"/>
            <w:tcMar>
              <w:top w:w="65" w:type="dxa"/>
              <w:bottom w:w="65" w:type="dxa"/>
              <w:left w:w="65" w:type="dxa"/>
              <w:right w:w="65" w:type="dxa"/>
            </w:tcMar>
          </w:tcPr>
          <w:p>
            <w:pPr>
              <w:spacing w:after="0" w:line="240" w:lineRule="auto"/>
              <w:jc w:val="center"/>
            </w:pPr>
            <w:r>
              <w:rPr>
                <w:b w:val="0"/>
                <w:sz w:val="18"/>
              </w:rPr>
              <w:t>49</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7</w:t>
            </w:r>
          </w:p>
        </w:tc>
        <w:tc>
          <w:tcPr>
            <w:tcW w:type="dxa" w:w="979"/>
            <w:vAlign w:val="center"/>
            <w:tcMar>
              <w:top w:w="65" w:type="dxa"/>
              <w:bottom w:w="65" w:type="dxa"/>
              <w:left w:w="65" w:type="dxa"/>
              <w:right w:w="65" w:type="dxa"/>
            </w:tcMar>
          </w:tcPr>
          <w:p>
            <w:pPr>
              <w:spacing w:after="0" w:line="240" w:lineRule="auto"/>
              <w:jc w:val="center"/>
            </w:pPr>
            <w:r>
              <w:rPr>
                <w:b w:val="0"/>
                <w:sz w:val="18"/>
              </w:rPr>
              <w:t>113</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24</w:t>
            </w:r>
          </w:p>
        </w:tc>
        <w:tc>
          <w:tcPr>
            <w:tcW w:type="dxa" w:w="979"/>
            <w:vAlign w:val="center"/>
            <w:tcMar>
              <w:top w:w="65" w:type="dxa"/>
              <w:bottom w:w="65" w:type="dxa"/>
              <w:left w:w="65" w:type="dxa"/>
              <w:right w:w="65" w:type="dxa"/>
            </w:tcMar>
          </w:tcPr>
          <w:p>
            <w:pPr>
              <w:spacing w:after="0" w:line="240" w:lineRule="auto"/>
              <w:jc w:val="center"/>
            </w:pPr>
            <w:r>
              <w:rPr>
                <w:b w:val="0"/>
                <w:sz w:val="18"/>
              </w:rPr>
              <w:t>96</w:t>
            </w:r>
          </w:p>
        </w:tc>
        <w:tc>
          <w:tcPr>
            <w:tcW w:type="dxa" w:w="648"/>
            <w:vAlign w:val="center"/>
            <w:tcMar>
              <w:top w:w="65" w:type="dxa"/>
              <w:bottom w:w="65" w:type="dxa"/>
              <w:left w:w="65" w:type="dxa"/>
              <w:right w:w="65" w:type="dxa"/>
            </w:tcMar>
          </w:tcPr>
          <w:p>
            <w:pPr>
              <w:spacing w:after="0" w:line="240" w:lineRule="auto"/>
              <w:jc w:val="center"/>
            </w:pPr>
            <w:r>
              <w:rPr>
                <w:b w:val="0"/>
                <w:sz w:val="18"/>
              </w:rPr>
              <w:t>13</w:t>
            </w:r>
          </w:p>
        </w:tc>
        <w:tc>
          <w:tcPr>
            <w:tcW w:type="dxa" w:w="979"/>
            <w:vAlign w:val="center"/>
            <w:tcMar>
              <w:top w:w="65" w:type="dxa"/>
              <w:bottom w:w="65" w:type="dxa"/>
              <w:left w:w="65" w:type="dxa"/>
              <w:right w:w="65" w:type="dxa"/>
            </w:tcMar>
          </w:tcPr>
          <w:p>
            <w:pPr>
              <w:spacing w:after="0" w:line="240" w:lineRule="auto"/>
              <w:jc w:val="center"/>
            </w:pPr>
            <w:r>
              <w:rPr>
                <w:b w:val="0"/>
                <w:sz w:val="18"/>
              </w:rPr>
              <w:t>18</w:t>
            </w:r>
          </w:p>
        </w:tc>
        <w:tc>
          <w:tcPr>
            <w:tcW w:type="dxa" w:w="936"/>
            <w:vAlign w:val="center"/>
            <w:tcMar>
              <w:top w:w="65" w:type="dxa"/>
              <w:bottom w:w="65" w:type="dxa"/>
              <w:left w:w="65" w:type="dxa"/>
              <w:right w:w="65" w:type="dxa"/>
            </w:tcMar>
          </w:tcPr>
          <w:p>
            <w:pPr>
              <w:spacing w:after="0" w:line="240" w:lineRule="auto"/>
              <w:jc w:val="center"/>
            </w:pPr>
            <w:r>
              <w:rPr>
                <w:b w:val="0"/>
                <w:sz w:val="18"/>
              </w:rPr>
              <w:t>18</w:t>
            </w:r>
          </w:p>
        </w:tc>
        <w:tc>
          <w:tcPr>
            <w:tcW w:type="dxa" w:w="1181"/>
            <w:vAlign w:val="center"/>
            <w:tcMar>
              <w:top w:w="65" w:type="dxa"/>
              <w:bottom w:w="65" w:type="dxa"/>
              <w:left w:w="65" w:type="dxa"/>
              <w:right w:w="65" w:type="dxa"/>
            </w:tcMar>
          </w:tcPr>
          <w:p>
            <w:pPr>
              <w:spacing w:after="0" w:line="240" w:lineRule="auto"/>
              <w:jc w:val="center"/>
            </w:pPr>
            <w:r>
              <w:rPr>
                <w:b w:val="0"/>
                <w:sz w:val="18"/>
              </w:rPr>
              <w:t>22</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114</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6</w:t>
            </w:r>
          </w:p>
        </w:tc>
        <w:tc>
          <w:tcPr>
            <w:tcW w:type="dxa" w:w="749"/>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120</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893"/>
            <w:vAlign w:val="center"/>
            <w:tcMar>
              <w:top w:w="65" w:type="dxa"/>
              <w:bottom w:w="65" w:type="dxa"/>
              <w:left w:w="65" w:type="dxa"/>
              <w:right w:w="65" w:type="dxa"/>
            </w:tcMar>
          </w:tcPr>
          <w:p>
            <w:pPr>
              <w:spacing w:after="0" w:line="240" w:lineRule="auto"/>
              <w:jc w:val="center"/>
            </w:pPr>
            <w:r>
              <w:rPr>
                <w:b w:val="0"/>
                <w:sz w:val="18"/>
              </w:rPr>
              <w:t>472</w:t>
            </w:r>
          </w:p>
        </w:tc>
        <w:tc>
          <w:tcPr>
            <w:tcW w:type="dxa" w:w="979"/>
            <w:vAlign w:val="center"/>
            <w:tcMar>
              <w:top w:w="65" w:type="dxa"/>
              <w:bottom w:w="65" w:type="dxa"/>
              <w:left w:w="65" w:type="dxa"/>
              <w:right w:w="65" w:type="dxa"/>
            </w:tcMar>
          </w:tcPr>
          <w:p>
            <w:pPr>
              <w:spacing w:after="0" w:line="240" w:lineRule="auto"/>
              <w:jc w:val="center"/>
            </w:pPr>
            <w:r>
              <w:rPr>
                <w:b w:val="0"/>
                <w:sz w:val="18"/>
              </w:rPr>
              <w:t>608</w:t>
            </w:r>
          </w:p>
        </w:tc>
        <w:tc>
          <w:tcPr>
            <w:tcW w:type="dxa" w:w="648"/>
            <w:vAlign w:val="center"/>
            <w:tcMar>
              <w:top w:w="65" w:type="dxa"/>
              <w:bottom w:w="65" w:type="dxa"/>
              <w:left w:w="65" w:type="dxa"/>
              <w:right w:w="65" w:type="dxa"/>
            </w:tcMar>
          </w:tcPr>
          <w:p>
            <w:pPr>
              <w:spacing w:after="0" w:line="240" w:lineRule="auto"/>
              <w:jc w:val="center"/>
            </w:pPr>
            <w:r>
              <w:rPr>
                <w:b w:val="0"/>
                <w:sz w:val="18"/>
              </w:rPr>
              <w:t>326</w:t>
            </w:r>
          </w:p>
        </w:tc>
        <w:tc>
          <w:tcPr>
            <w:tcW w:type="dxa" w:w="979"/>
            <w:vAlign w:val="center"/>
            <w:tcMar>
              <w:top w:w="65" w:type="dxa"/>
              <w:bottom w:w="65" w:type="dxa"/>
              <w:left w:w="65" w:type="dxa"/>
              <w:right w:w="65" w:type="dxa"/>
            </w:tcMar>
          </w:tcPr>
          <w:p>
            <w:pPr>
              <w:spacing w:after="0" w:line="240" w:lineRule="auto"/>
              <w:jc w:val="center"/>
            </w:pPr>
            <w:r>
              <w:rPr>
                <w:b w:val="0"/>
                <w:sz w:val="18"/>
              </w:rPr>
              <w:t>380</w:t>
            </w:r>
          </w:p>
        </w:tc>
        <w:tc>
          <w:tcPr>
            <w:tcW w:type="dxa" w:w="936"/>
            <w:vAlign w:val="center"/>
            <w:tcMar>
              <w:top w:w="65" w:type="dxa"/>
              <w:bottom w:w="65" w:type="dxa"/>
              <w:left w:w="65" w:type="dxa"/>
              <w:right w:w="65" w:type="dxa"/>
            </w:tcMar>
          </w:tcPr>
          <w:p>
            <w:pPr>
              <w:spacing w:after="0" w:line="240" w:lineRule="auto"/>
              <w:jc w:val="center"/>
            </w:pPr>
            <w:r>
              <w:rPr>
                <w:b w:val="0"/>
                <w:sz w:val="18"/>
              </w:rPr>
              <w:t>390</w:t>
            </w:r>
          </w:p>
        </w:tc>
        <w:tc>
          <w:tcPr>
            <w:tcW w:type="dxa" w:w="1181"/>
            <w:vAlign w:val="center"/>
            <w:tcMar>
              <w:top w:w="65" w:type="dxa"/>
              <w:bottom w:w="65" w:type="dxa"/>
              <w:left w:w="65" w:type="dxa"/>
              <w:right w:w="65" w:type="dxa"/>
            </w:tcMar>
          </w:tcPr>
          <w:p>
            <w:pPr>
              <w:spacing w:after="0" w:line="240" w:lineRule="auto"/>
              <w:jc w:val="center"/>
            </w:pPr>
            <w:r>
              <w:rPr>
                <w:b w:val="0"/>
                <w:sz w:val="18"/>
              </w:rPr>
              <w:t>408</w:t>
            </w:r>
          </w:p>
        </w:tc>
        <w:tc>
          <w:tcPr>
            <w:tcW w:type="dxa" w:w="749"/>
            <w:vAlign w:val="center"/>
            <w:tcMar>
              <w:top w:w="65" w:type="dxa"/>
              <w:bottom w:w="65" w:type="dxa"/>
              <w:left w:w="65" w:type="dxa"/>
              <w:right w:w="65" w:type="dxa"/>
            </w:tcMar>
          </w:tcPr>
          <w:p>
            <w:pPr>
              <w:spacing w:after="0" w:line="240" w:lineRule="auto"/>
              <w:jc w:val="center"/>
            </w:pPr>
            <w:r>
              <w:rPr>
                <w:b w:val="0"/>
                <w:sz w:val="18"/>
              </w:rPr>
              <w:t>10</w:t>
            </w:r>
          </w:p>
        </w:tc>
      </w:tr>
    </w:tbl>
    <w:p>
      <w:pPr>
        <w:spacing w:after="40"/>
      </w:pPr>
    </w:p>
    <w:p>
      <w:r>
        <w:t>All references are valid; 472 units are clearly feasible and 608 clearly infeasible, with no ambiguous units. There is no observed false acceptance or lower bound violation. At 256 cells, the new bound directly accepts 390 units, versus 380 for the old bound. Feasible coverage increases from 80.51% to 82.63%, or 2.12 percentage points; the total direct acceptance increase is 0.93 percentage points. Original seeds contribute six additional accepts and added seeds contribute four.</w:t>
      </w:r>
    </w:p>
    <w:p>
      <w:r>
        <w:t>The comparison with the quadratic bound uses</w:t>
      </w:r>
    </w:p>
    <w:p>
      <w:pPr>
        <w:pStyle w:val="Equation"/>
      </w:pPr>
      <m:oMath>
        <m:sSub>
          <m:e>
            <m:r>
              <m:t xml:space="preserve">L</m:t>
            </m:r>
          </m:e>
          <m:sub>
            <m:r>
              <m:t xml:space="preserve">q</m:t>
            </m:r>
            <m:r>
              <m:t xml:space="preserve">u</m:t>
            </m:r>
            <m:r>
              <m:t xml:space="preserve">a</m:t>
            </m:r>
            <m:r>
              <m:t xml:space="preserve">d</m:t>
            </m:r>
          </m:sub>
        </m:sSub>
        <m:d>
          <m:dPr>
            <m:begChr m:val="("/>
            <m:endChr m:val=")"/>
          </m:dPr>
          <m:e>
            <m:r>
              <m:t xml:space="preserve">r</m:t>
            </m:r>
          </m:e>
        </m:d>
        <m:r>
          <m:t xml:space="preserve">=</m:t>
        </m:r>
        <m:sSub>
          <m:e>
            <m:r>
              <m:t xml:space="preserve">c</m:t>
            </m:r>
          </m:e>
          <m:sub>
            <m:r>
              <m:t xml:space="preserve">q</m:t>
            </m:r>
          </m:sub>
        </m:sSub>
        <m:r>
          <m:t xml:space="preserve">−</m:t>
        </m:r>
        <m:r>
          <m:t xml:space="preserve">2</m:t>
        </m:r>
        <m:r>
          <m:t xml:space="preserve">r</m:t>
        </m:r>
        <m:r>
          <m:t xml:space="preserve">∥</m:t>
        </m:r>
        <m:r>
          <m:t xml:space="preserve">g</m:t>
        </m:r>
        <m:r>
          <m:t xml:space="preserve">∥</m:t>
        </m:r>
        <m:r>
          <m:t xml:space="preserve">−</m:t>
        </m:r>
        <m:r>
          <m:t xml:space="preserve">γ</m:t>
        </m:r>
        <m:sSup>
          <m:e>
            <m:sSub>
              <m:e>
                <m:r>
                  <m:t xml:space="preserve">β</m:t>
                </m:r>
              </m:e>
              <m:sub>
                <m:r>
                  <m:t xml:space="preserve">0</m:t>
                </m:r>
              </m:sub>
            </m:sSub>
          </m:e>
          <m:sup>
            <m:r>
              <m:t xml:space="preserve">2</m:t>
            </m:r>
          </m:sup>
        </m:sSup>
        <m:sSup>
          <m:e>
            <m:r>
              <m:t xml:space="preserve">r</m:t>
            </m:r>
          </m:e>
          <m:sup>
            <m:r>
              <m:t xml:space="preserve">2</m:t>
            </m:r>
          </m:sup>
        </m:sSup>
      </m:oMath>
      <w:r>
        <w:tab/>
        <w:t>(31)</w:t>
      </w:r>
    </w:p>
    <w:p>
      <w:r>
        <w:t xml:space="preserve">Unlike the six scalar envelopes, it uses full quadratic geometry. In the sensitivity study it exceeds the implemented new interval bound on 2903 of 4320 user evaluations. That count does not compare it with the exact continuous envelope. A separate original pool witness has </w:t>
      </w:r>
      <m:oMath>
        <m:sSub>
          <m:e>
            <m:r>
              <m:t xml:space="preserve">L</m:t>
            </m:r>
          </m:e>
          <m:sub>
            <m:r>
              <m:t xml:space="preserve">q</m:t>
            </m:r>
            <m:r>
              <m:t xml:space="preserve">u</m:t>
            </m:r>
            <m:r>
              <m:t xml:space="preserve">a</m:t>
            </m:r>
            <m:r>
              <m:t xml:space="preserve">d</m:t>
            </m:r>
          </m:sub>
        </m:sSub>
        <m:r>
          <m:t xml:space="preserve">=</m:t>
        </m:r>
        <m:r>
          <m:t xml:space="preserve">0</m:t>
        </m:r>
        <m:r>
          <m:t xml:space="preserve">.</m:t>
        </m:r>
        <m:r>
          <m:t xml:space="preserve">1</m:t>
        </m:r>
        <m:r>
          <m:t xml:space="preserve">9</m:t>
        </m:r>
        <m:r>
          <m:t xml:space="preserve">8</m:t>
        </m:r>
        <m:r>
          <m:t xml:space="preserve">1</m:t>
        </m:r>
        <m:r>
          <m:t xml:space="preserve">9</m:t>
        </m:r>
        <m:r>
          <m:t xml:space="preserve">5</m:t>
        </m:r>
        <m:r>
          <m:t xml:space="preserve">7</m:t>
        </m:r>
        <m:r>
          <m:t xml:space="preserve">5</m:t>
        </m:r>
        <m:r>
          <m:t xml:space="preserve">0</m:t>
        </m:r>
        <m:r>
          <m:t xml:space="preserve">5</m:t>
        </m:r>
        <m:r>
          <m:t xml:space="preserve">3</m:t>
        </m:r>
        <m:r>
          <m:t xml:space="preserve">1</m:t>
        </m:r>
      </m:oMath>
      <w:r>
        <w:t xml:space="preserve"> and a new envelope objective value of 0.196451952840 at a feasible one dimensional argument; thus the continuous minimum is strictly below </w:t>
      </w:r>
      <m:oMath>
        <m:sSub>
          <m:e>
            <m:r>
              <m:t xml:space="preserve">L</m:t>
            </m:r>
          </m:e>
          <m:sub>
            <m:r>
              <m:t xml:space="preserve">q</m:t>
            </m:r>
            <m:r>
              <m:t xml:space="preserve">u</m:t>
            </m:r>
            <m:r>
              <m:t xml:space="preserve">a</m:t>
            </m:r>
            <m:r>
              <m:t xml:space="preserve">d</m:t>
            </m:r>
          </m:sub>
        </m:sSub>
      </m:oMath>
      <w:r>
        <w:t xml:space="preserve"> there. Conversely, the constructed spectral family has </w:t>
      </w:r>
      <m:oMath>
        <m:sSub>
          <m:e>
            <m:r>
              <m:t xml:space="preserve">Q</m:t>
            </m:r>
          </m:e>
          <m:sub>
            <m:r>
              <m:t xml:space="preserve">G</m:t>
            </m:r>
          </m:sub>
        </m:sSub>
        <m:r>
          <m:t xml:space="preserve">&gt;</m:t>
        </m:r>
        <m:sSub>
          <m:e>
            <m:r>
              <m:t xml:space="preserve">L</m:t>
            </m:r>
          </m:e>
          <m:sub>
            <m:r>
              <m:t xml:space="preserve">q</m:t>
            </m:r>
            <m:r>
              <m:t xml:space="preserve">u</m:t>
            </m:r>
            <m:r>
              <m:t xml:space="preserve">a</m:t>
            </m:r>
            <m:r>
              <m:t xml:space="preserve">d</m:t>
            </m:r>
          </m:sub>
        </m:sSub>
      </m:oMath>
      <w:r>
        <w:t>. The bounds therefore have no universal dominance relation. Their maximum can be used as a safe implementation combination, without changing the six scalar optimality statement.</w:t>
      </w:r>
    </w:p>
    <w:p>
      <w:r>
        <w:t xml:space="preserve">The original and sensitivity pools overlap on 240 user problems at </w:t>
      </w:r>
      <m:oMath>
        <m:r>
          <m:t xml:space="preserve">γ</m:t>
        </m:r>
        <m:r>
          <m:t xml:space="preserve">=</m:t>
        </m:r>
        <m:r>
          <m:t xml:space="preserve">0</m:t>
        </m:r>
        <m:r>
          <m:t xml:space="preserve">.</m:t>
        </m:r>
        <m:r>
          <m:t xml:space="preserve">5</m:t>
        </m:r>
      </m:oMath>
      <w:r>
        <w:t xml:space="preserve">, </w:t>
      </w:r>
      <m:oMath>
        <m:r>
          <m:t xml:space="preserve">ρ</m:t>
        </m:r>
        <m:r>
          <m:t xml:space="preserve">=</m:t>
        </m:r>
        <m:r>
          <m:t xml:space="preserve">0</m:t>
        </m:r>
        <m:r>
          <m:t xml:space="preserve">.</m:t>
        </m:r>
        <m:r>
          <m:t xml:space="preserve">0</m:t>
        </m:r>
        <m:r>
          <m:t xml:space="preserve">6</m:t>
        </m:r>
      </m:oMath>
      <w:r>
        <w:t xml:space="preserve"> for the original seeds. Their combined 5040 evaluation records represent 4800 distinct user problems. Multiple radii and thresholds on the same candidate are correlated and do not constitute independent samples.</w:t>
      </w:r>
    </w:p>
    <w:p>
      <w:pPr>
        <w:pStyle w:val="Heading2"/>
      </w:pPr>
      <w:r>
        <w:t>7.5 Resolution and end to end timing</w:t>
      </w:r>
    </w:p>
    <w:p>
      <w:r>
        <w:t>Table 3 separates interval resolution effects from the main 256 cell comparison. Increasing resolution to 4096 lets the old envelope certify one additional unit; the new envelope still certifies 390. The claim of ten additional accepts is therefore tied to the implemented 256 cell setting, not a claim that every such unit is a continuous envelope sign flip.</w:t>
      </w:r>
    </w:p>
    <w:p>
      <w:pPr>
        <w:pStyle w:val="Caption"/>
        <w:keepNext/>
      </w:pPr>
      <w:r>
        <w:t>Table 3. Interval resolution on the same 1080 candidate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trPr>
        <w:tc>
          <w:tcPr>
            <w:tcW w:type="dxa" w:w="864"/>
            <w:vAlign w:val="center"/>
            <w:tcMar>
              <w:top w:w="65" w:type="dxa"/>
              <w:bottom w:w="65" w:type="dxa"/>
              <w:left w:w="65" w:type="dxa"/>
              <w:right w:w="65" w:type="dxa"/>
            </w:tcMar>
            <w:shd w:fill="E8EDF2"/>
          </w:tcPr>
          <w:p>
            <w:pPr>
              <w:spacing w:after="0" w:line="240" w:lineRule="auto"/>
              <w:jc w:val="center"/>
            </w:pPr>
            <w:r>
              <w:rPr>
                <w:b/>
                <w:sz w:val="18"/>
              </w:rPr>
              <w:t>Cells</w:t>
            </w:r>
          </w:p>
        </w:tc>
        <w:tc>
          <w:tcPr>
            <w:tcW w:type="dxa" w:w="1800"/>
            <w:vAlign w:val="center"/>
            <w:tcMar>
              <w:top w:w="65" w:type="dxa"/>
              <w:bottom w:w="65" w:type="dxa"/>
              <w:left w:w="65" w:type="dxa"/>
              <w:right w:w="65" w:type="dxa"/>
            </w:tcMar>
            <w:shd w:fill="E8EDF2"/>
          </w:tcPr>
          <w:p>
            <w:pPr>
              <w:spacing w:after="0" w:line="240" w:lineRule="auto"/>
              <w:jc w:val="center"/>
            </w:pPr>
            <w:r>
              <w:rPr>
                <w:b/>
                <w:sz w:val="18"/>
              </w:rPr>
              <w:t>Old Q accepts</w:t>
            </w:r>
          </w:p>
        </w:tc>
        <w:tc>
          <w:tcPr>
            <w:tcW w:type="dxa" w:w="1800"/>
            <w:vAlign w:val="center"/>
            <w:tcMar>
              <w:top w:w="65" w:type="dxa"/>
              <w:bottom w:w="65" w:type="dxa"/>
              <w:left w:w="65" w:type="dxa"/>
              <w:right w:w="65" w:type="dxa"/>
            </w:tcMar>
            <w:shd w:fill="E8EDF2"/>
          </w:tcPr>
          <w:p>
            <w:pPr>
              <w:spacing w:after="0" w:line="240" w:lineRule="auto"/>
              <w:jc w:val="center"/>
            </w:pPr>
            <w:r>
              <w:rPr>
                <w:b/>
                <w:sz w:val="18"/>
              </w:rPr>
              <w:t>Q_G accepts</w:t>
            </w:r>
          </w:p>
        </w:tc>
        <w:tc>
          <w:tcPr>
            <w:tcW w:type="dxa" w:w="2160"/>
            <w:vAlign w:val="center"/>
            <w:tcMar>
              <w:top w:w="65" w:type="dxa"/>
              <w:bottom w:w="65" w:type="dxa"/>
              <w:left w:w="65" w:type="dxa"/>
              <w:right w:w="65" w:type="dxa"/>
            </w:tcMar>
            <w:shd w:fill="E8EDF2"/>
          </w:tcPr>
          <w:p>
            <w:pPr>
              <w:spacing w:after="0" w:line="240" w:lineRule="auto"/>
              <w:jc w:val="center"/>
            </w:pPr>
            <w:r>
              <w:rPr>
                <w:b/>
                <w:sz w:val="18"/>
              </w:rPr>
              <w:t>Additional accepts</w:t>
            </w:r>
          </w:p>
        </w:tc>
        <w:tc>
          <w:tcPr>
            <w:tcW w:type="dxa" w:w="965"/>
            <w:vAlign w:val="center"/>
            <w:tcMar>
              <w:top w:w="65" w:type="dxa"/>
              <w:bottom w:w="65" w:type="dxa"/>
              <w:left w:w="65" w:type="dxa"/>
              <w:right w:w="65" w:type="dxa"/>
            </w:tcMar>
            <w:shd w:fill="E8EDF2"/>
          </w:tcPr>
          <w:p>
            <w:pPr>
              <w:spacing w:after="0" w:line="240" w:lineRule="auto"/>
              <w:jc w:val="center"/>
            </w:pPr>
            <w:r>
              <w:rPr>
                <w:b/>
                <w:sz w:val="18"/>
              </w:rPr>
              <w:t>Feasible units</w:t>
            </w:r>
          </w:p>
        </w:tc>
      </w:tr>
      <w:tr>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800"/>
            <w:vAlign w:val="center"/>
            <w:tcMar>
              <w:top w:w="65" w:type="dxa"/>
              <w:bottom w:w="65" w:type="dxa"/>
              <w:left w:w="65" w:type="dxa"/>
              <w:right w:w="65" w:type="dxa"/>
            </w:tcMar>
          </w:tcPr>
          <w:p>
            <w:pPr>
              <w:spacing w:after="0" w:line="240" w:lineRule="auto"/>
              <w:jc w:val="center"/>
            </w:pPr>
            <w:r>
              <w:rPr>
                <w:b w:val="0"/>
                <w:sz w:val="18"/>
              </w:rPr>
              <w:t>380</w:t>
            </w:r>
          </w:p>
        </w:tc>
        <w:tc>
          <w:tcPr>
            <w:tcW w:type="dxa" w:w="1800"/>
            <w:vAlign w:val="center"/>
            <w:tcMar>
              <w:top w:w="65" w:type="dxa"/>
              <w:bottom w:w="65" w:type="dxa"/>
              <w:left w:w="65" w:type="dxa"/>
              <w:right w:w="65" w:type="dxa"/>
            </w:tcMar>
          </w:tcPr>
          <w:p>
            <w:pPr>
              <w:spacing w:after="0" w:line="240" w:lineRule="auto"/>
              <w:jc w:val="center"/>
            </w:pPr>
            <w:r>
              <w:rPr>
                <w:b w:val="0"/>
                <w:sz w:val="18"/>
              </w:rPr>
              <w:t>390</w:t>
            </w:r>
          </w:p>
        </w:tc>
        <w:tc>
          <w:tcPr>
            <w:tcW w:type="dxa" w:w="2160"/>
            <w:vAlign w:val="center"/>
            <w:tcMar>
              <w:top w:w="65" w:type="dxa"/>
              <w:bottom w:w="65" w:type="dxa"/>
              <w:left w:w="65" w:type="dxa"/>
              <w:right w:w="65" w:type="dxa"/>
            </w:tcMar>
          </w:tcPr>
          <w:p>
            <w:pPr>
              <w:spacing w:after="0" w:line="240" w:lineRule="auto"/>
              <w:jc w:val="center"/>
            </w:pPr>
            <w:r>
              <w:rPr>
                <w:b w:val="0"/>
                <w:sz w:val="18"/>
              </w:rPr>
              <w:t>10</w:t>
            </w:r>
          </w:p>
        </w:tc>
        <w:tc>
          <w:tcPr>
            <w:tcW w:type="dxa" w:w="965"/>
            <w:vAlign w:val="center"/>
            <w:tcMar>
              <w:top w:w="65" w:type="dxa"/>
              <w:bottom w:w="65" w:type="dxa"/>
              <w:left w:w="65" w:type="dxa"/>
              <w:right w:w="65" w:type="dxa"/>
            </w:tcMar>
          </w:tcPr>
          <w:p>
            <w:pPr>
              <w:spacing w:after="0" w:line="240" w:lineRule="auto"/>
              <w:jc w:val="center"/>
            </w:pPr>
            <w:r>
              <w:rPr>
                <w:b w:val="0"/>
                <w:sz w:val="18"/>
              </w:rPr>
              <w:t>472</w:t>
            </w:r>
          </w:p>
        </w:tc>
      </w:tr>
      <w:tr>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800"/>
            <w:vAlign w:val="center"/>
            <w:tcMar>
              <w:top w:w="65" w:type="dxa"/>
              <w:bottom w:w="65" w:type="dxa"/>
              <w:left w:w="65" w:type="dxa"/>
              <w:right w:w="65" w:type="dxa"/>
            </w:tcMar>
          </w:tcPr>
          <w:p>
            <w:pPr>
              <w:spacing w:after="0" w:line="240" w:lineRule="auto"/>
              <w:jc w:val="center"/>
            </w:pPr>
            <w:r>
              <w:rPr>
                <w:b w:val="0"/>
                <w:sz w:val="18"/>
              </w:rPr>
              <w:t>380</w:t>
            </w:r>
          </w:p>
        </w:tc>
        <w:tc>
          <w:tcPr>
            <w:tcW w:type="dxa" w:w="1800"/>
            <w:vAlign w:val="center"/>
            <w:tcMar>
              <w:top w:w="65" w:type="dxa"/>
              <w:bottom w:w="65" w:type="dxa"/>
              <w:left w:w="65" w:type="dxa"/>
              <w:right w:w="65" w:type="dxa"/>
            </w:tcMar>
          </w:tcPr>
          <w:p>
            <w:pPr>
              <w:spacing w:after="0" w:line="240" w:lineRule="auto"/>
              <w:jc w:val="center"/>
            </w:pPr>
            <w:r>
              <w:rPr>
                <w:b w:val="0"/>
                <w:sz w:val="18"/>
              </w:rPr>
              <w:t>390</w:t>
            </w:r>
          </w:p>
        </w:tc>
        <w:tc>
          <w:tcPr>
            <w:tcW w:type="dxa" w:w="2160"/>
            <w:vAlign w:val="center"/>
            <w:tcMar>
              <w:top w:w="65" w:type="dxa"/>
              <w:bottom w:w="65" w:type="dxa"/>
              <w:left w:w="65" w:type="dxa"/>
              <w:right w:w="65" w:type="dxa"/>
            </w:tcMar>
          </w:tcPr>
          <w:p>
            <w:pPr>
              <w:spacing w:after="0" w:line="240" w:lineRule="auto"/>
              <w:jc w:val="center"/>
            </w:pPr>
            <w:r>
              <w:rPr>
                <w:b w:val="0"/>
                <w:sz w:val="18"/>
              </w:rPr>
              <w:t>10</w:t>
            </w:r>
          </w:p>
        </w:tc>
        <w:tc>
          <w:tcPr>
            <w:tcW w:type="dxa" w:w="965"/>
            <w:vAlign w:val="center"/>
            <w:tcMar>
              <w:top w:w="65" w:type="dxa"/>
              <w:bottom w:w="65" w:type="dxa"/>
              <w:left w:w="65" w:type="dxa"/>
              <w:right w:w="65" w:type="dxa"/>
            </w:tcMar>
          </w:tcPr>
          <w:p>
            <w:pPr>
              <w:spacing w:after="0" w:line="240" w:lineRule="auto"/>
              <w:jc w:val="center"/>
            </w:pPr>
            <w:r>
              <w:rPr>
                <w:b w:val="0"/>
                <w:sz w:val="18"/>
              </w:rPr>
              <w:t>472</w:t>
            </w:r>
          </w:p>
        </w:tc>
      </w:tr>
      <w:tr>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800"/>
            <w:vAlign w:val="center"/>
            <w:tcMar>
              <w:top w:w="65" w:type="dxa"/>
              <w:bottom w:w="65" w:type="dxa"/>
              <w:left w:w="65" w:type="dxa"/>
              <w:right w:w="65" w:type="dxa"/>
            </w:tcMar>
          </w:tcPr>
          <w:p>
            <w:pPr>
              <w:spacing w:after="0" w:line="240" w:lineRule="auto"/>
              <w:jc w:val="center"/>
            </w:pPr>
            <w:r>
              <w:rPr>
                <w:b w:val="0"/>
                <w:sz w:val="18"/>
              </w:rPr>
              <w:t>381</w:t>
            </w:r>
          </w:p>
        </w:tc>
        <w:tc>
          <w:tcPr>
            <w:tcW w:type="dxa" w:w="1800"/>
            <w:vAlign w:val="center"/>
            <w:tcMar>
              <w:top w:w="65" w:type="dxa"/>
              <w:bottom w:w="65" w:type="dxa"/>
              <w:left w:w="65" w:type="dxa"/>
              <w:right w:w="65" w:type="dxa"/>
            </w:tcMar>
          </w:tcPr>
          <w:p>
            <w:pPr>
              <w:spacing w:after="0" w:line="240" w:lineRule="auto"/>
              <w:jc w:val="center"/>
            </w:pPr>
            <w:r>
              <w:rPr>
                <w:b w:val="0"/>
                <w:sz w:val="18"/>
              </w:rPr>
              <w:t>390</w:t>
            </w:r>
          </w:p>
        </w:tc>
        <w:tc>
          <w:tcPr>
            <w:tcW w:type="dxa" w:w="2160"/>
            <w:vAlign w:val="center"/>
            <w:tcMar>
              <w:top w:w="65" w:type="dxa"/>
              <w:bottom w:w="65" w:type="dxa"/>
              <w:left w:w="65" w:type="dxa"/>
              <w:right w:w="65" w:type="dxa"/>
            </w:tcMar>
          </w:tcPr>
          <w:p>
            <w:pPr>
              <w:spacing w:after="0" w:line="240" w:lineRule="auto"/>
              <w:jc w:val="center"/>
            </w:pPr>
            <w:r>
              <w:rPr>
                <w:b w:val="0"/>
                <w:sz w:val="18"/>
              </w:rPr>
              <w:t>9</w:t>
            </w:r>
          </w:p>
        </w:tc>
        <w:tc>
          <w:tcPr>
            <w:tcW w:type="dxa" w:w="965"/>
            <w:vAlign w:val="center"/>
            <w:tcMar>
              <w:top w:w="65" w:type="dxa"/>
              <w:bottom w:w="65" w:type="dxa"/>
              <w:left w:w="65" w:type="dxa"/>
              <w:right w:w="65" w:type="dxa"/>
            </w:tcMar>
          </w:tcPr>
          <w:p>
            <w:pPr>
              <w:spacing w:after="0" w:line="240" w:lineRule="auto"/>
              <w:jc w:val="center"/>
            </w:pPr>
            <w:r>
              <w:rPr>
                <w:b w:val="0"/>
                <w:sz w:val="18"/>
              </w:rPr>
              <w:t>472</w:t>
            </w:r>
          </w:p>
        </w:tc>
      </w:tr>
    </w:tbl>
    <w:p>
      <w:pPr>
        <w:spacing w:after="40"/>
      </w:pPr>
    </w:p>
    <w:p>
      <w:r>
        <w:t>Timing measures the same final candidate decision task for all pipelines. It includes summary or quadratic data construction, all prescribed radii, caching, reference validity checks and early stopping, and excludes candidate generation. Each seed and threshold has one warmup followed by three interleaved repetitions. Table 4 shows the median across ten per seed medians. Each seed contributes 36 candidate units per threshold; parentheses are total reference calls across ten seeds.</w:t>
      </w:r>
    </w:p>
    <w:p>
      <w:pPr>
        <w:pStyle w:val="Caption"/>
        <w:keepNext/>
      </w:pPr>
      <w:r>
        <w:t>Table 4. End to end seconds; total reference calls across ten seeds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504"/>
            <w:vAlign w:val="center"/>
            <w:tcMar>
              <w:top w:w="65" w:type="dxa"/>
              <w:bottom w:w="65" w:type="dxa"/>
              <w:left w:w="65" w:type="dxa"/>
              <w:right w:w="65" w:type="dxa"/>
            </w:tcMar>
            <w:shd w:fill="E8EDF2"/>
          </w:tcPr>
          <w:p>
            <w:pPr>
              <w:spacing w:after="0" w:line="240" w:lineRule="auto"/>
              <w:jc w:val="center"/>
            </w:pPr>
            <w:r>
              <w:rPr>
                <w:b/>
                <w:sz w:val="18"/>
              </w:rPr>
              <w:t>γ</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Reference</w:t>
            </w:r>
          </w:p>
        </w:tc>
        <w:tc>
          <w:tcPr>
            <w:tcW w:type="dxa" w:w="1440"/>
            <w:vAlign w:val="center"/>
            <w:tcMar>
              <w:top w:w="65" w:type="dxa"/>
              <w:bottom w:w="65" w:type="dxa"/>
              <w:left w:w="65" w:type="dxa"/>
              <w:right w:w="65" w:type="dxa"/>
            </w:tcMar>
            <w:shd w:fill="E8EDF2"/>
          </w:tcPr>
          <w:p>
            <w:pPr>
              <w:spacing w:after="0" w:line="240" w:lineRule="auto"/>
              <w:jc w:val="center"/>
            </w:pPr>
            <w:r>
              <w:rPr>
                <w:b/>
                <w:sz w:val="18"/>
              </w:rPr>
              <w:t>D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Old Q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Q_G + fallback</w:t>
            </w:r>
          </w:p>
        </w:tc>
        <w:tc>
          <w:tcPr>
            <w:tcW w:type="dxa" w:w="1325"/>
            <w:vAlign w:val="center"/>
            <w:tcMar>
              <w:top w:w="65" w:type="dxa"/>
              <w:bottom w:w="65" w:type="dxa"/>
              <w:left w:w="65" w:type="dxa"/>
              <w:right w:w="65" w:type="dxa"/>
            </w:tcMar>
            <w:shd w:fill="E8EDF2"/>
          </w:tcPr>
          <w:p>
            <w:pPr>
              <w:spacing w:after="0" w:line="240" w:lineRule="auto"/>
              <w:jc w:val="center"/>
            </w:pPr>
            <w:r>
              <w:rPr>
                <w:b/>
                <w:sz w:val="18"/>
              </w:rPr>
              <w:t>L_quad + fallback</w:t>
            </w:r>
          </w:p>
        </w:tc>
      </w:tr>
      <w:tr>
        <w:tc>
          <w:tcPr>
            <w:tcW w:type="dxa" w:w="504"/>
            <w:vAlign w:val="center"/>
            <w:tcMar>
              <w:top w:w="65" w:type="dxa"/>
              <w:bottom w:w="65" w:type="dxa"/>
              <w:left w:w="65" w:type="dxa"/>
              <w:right w:w="65" w:type="dxa"/>
            </w:tcMar>
          </w:tcPr>
          <w:p>
            <w:pPr>
              <w:spacing w:after="0" w:line="240" w:lineRule="auto"/>
              <w:jc w:val="center"/>
            </w:pPr>
            <w:r>
              <w:rPr>
                <w:b w:val="0"/>
                <w:sz w:val="18"/>
              </w:rPr>
              <w:t>0.5</w:t>
            </w:r>
          </w:p>
        </w:tc>
        <w:tc>
          <w:tcPr>
            <w:tcW w:type="dxa" w:w="1440"/>
            <w:vAlign w:val="center"/>
            <w:tcMar>
              <w:top w:w="65" w:type="dxa"/>
              <w:bottom w:w="65" w:type="dxa"/>
              <w:left w:w="65" w:type="dxa"/>
              <w:right w:w="65" w:type="dxa"/>
            </w:tcMar>
          </w:tcPr>
          <w:p>
            <w:pPr>
              <w:spacing w:after="0" w:line="240" w:lineRule="auto"/>
              <w:jc w:val="center"/>
            </w:pPr>
            <w:r>
              <w:rPr>
                <w:b w:val="0"/>
                <w:sz w:val="18"/>
              </w:rPr>
              <w:t>0.1787</w:t>
              <w:br/>
              <w:t>(1321)</w:t>
            </w:r>
          </w:p>
        </w:tc>
        <w:tc>
          <w:tcPr>
            <w:tcW w:type="dxa" w:w="1440"/>
            <w:vAlign w:val="center"/>
            <w:tcMar>
              <w:top w:w="65" w:type="dxa"/>
              <w:bottom w:w="65" w:type="dxa"/>
              <w:left w:w="65" w:type="dxa"/>
              <w:right w:w="65" w:type="dxa"/>
            </w:tcMar>
          </w:tcPr>
          <w:p>
            <w:pPr>
              <w:spacing w:after="0" w:line="240" w:lineRule="auto"/>
              <w:jc w:val="center"/>
            </w:pPr>
            <w:r>
              <w:rPr>
                <w:b w:val="0"/>
                <w:sz w:val="18"/>
              </w:rPr>
              <w:t>0.0375</w:t>
              <w:br/>
              <w:t>(244)</w:t>
            </w:r>
          </w:p>
        </w:tc>
        <w:tc>
          <w:tcPr>
            <w:tcW w:type="dxa" w:w="1440"/>
            <w:vAlign w:val="center"/>
            <w:tcMar>
              <w:top w:w="65" w:type="dxa"/>
              <w:bottom w:w="65" w:type="dxa"/>
              <w:left w:w="65" w:type="dxa"/>
              <w:right w:w="65" w:type="dxa"/>
            </w:tcMar>
          </w:tcPr>
          <w:p>
            <w:pPr>
              <w:spacing w:after="0" w:line="240" w:lineRule="auto"/>
              <w:jc w:val="center"/>
            </w:pPr>
            <w:r>
              <w:rPr>
                <w:b w:val="0"/>
                <w:sz w:val="18"/>
              </w:rPr>
              <w:t>0.0313</w:t>
              <w:br/>
              <w:t>(160)</w:t>
            </w:r>
          </w:p>
        </w:tc>
        <w:tc>
          <w:tcPr>
            <w:tcW w:type="dxa" w:w="1440"/>
            <w:vAlign w:val="center"/>
            <w:tcMar>
              <w:top w:w="65" w:type="dxa"/>
              <w:bottom w:w="65" w:type="dxa"/>
              <w:left w:w="65" w:type="dxa"/>
              <w:right w:w="65" w:type="dxa"/>
            </w:tcMar>
          </w:tcPr>
          <w:p>
            <w:pPr>
              <w:spacing w:after="0" w:line="240" w:lineRule="auto"/>
              <w:jc w:val="center"/>
            </w:pPr>
            <w:r>
              <w:rPr>
                <w:b w:val="0"/>
                <w:sz w:val="18"/>
              </w:rPr>
              <w:t>0.0316</w:t>
              <w:br/>
              <w:t>(147)</w:t>
            </w:r>
          </w:p>
        </w:tc>
        <w:tc>
          <w:tcPr>
            <w:tcW w:type="dxa" w:w="1325"/>
            <w:vAlign w:val="center"/>
            <w:tcMar>
              <w:top w:w="65" w:type="dxa"/>
              <w:bottom w:w="65" w:type="dxa"/>
              <w:left w:w="65" w:type="dxa"/>
              <w:right w:w="65" w:type="dxa"/>
            </w:tcMar>
          </w:tcPr>
          <w:p>
            <w:pPr>
              <w:spacing w:after="0" w:line="240" w:lineRule="auto"/>
              <w:jc w:val="center"/>
            </w:pPr>
            <w:r>
              <w:rPr>
                <w:b w:val="0"/>
                <w:sz w:val="18"/>
              </w:rPr>
              <w:t>0.0248</w:t>
              <w:br/>
              <w:t>(164)</w:t>
            </w:r>
          </w:p>
        </w:tc>
      </w:tr>
      <w:tr>
        <w:tc>
          <w:tcPr>
            <w:tcW w:type="dxa" w:w="504"/>
            <w:vAlign w:val="center"/>
            <w:tcMar>
              <w:top w:w="65" w:type="dxa"/>
              <w:bottom w:w="65" w:type="dxa"/>
              <w:left w:w="65" w:type="dxa"/>
              <w:right w:w="65" w:type="dxa"/>
            </w:tcMar>
          </w:tcPr>
          <w:p>
            <w:pPr>
              <w:spacing w:after="0" w:line="240" w:lineRule="auto"/>
              <w:jc w:val="center"/>
            </w:pPr>
            <w:r>
              <w:rPr>
                <w:b w:val="0"/>
                <w:sz w:val="18"/>
              </w:rPr>
              <w:t>1</w:t>
            </w:r>
          </w:p>
        </w:tc>
        <w:tc>
          <w:tcPr>
            <w:tcW w:type="dxa" w:w="1440"/>
            <w:vAlign w:val="center"/>
            <w:tcMar>
              <w:top w:w="65" w:type="dxa"/>
              <w:bottom w:w="65" w:type="dxa"/>
              <w:left w:w="65" w:type="dxa"/>
              <w:right w:w="65" w:type="dxa"/>
            </w:tcMar>
          </w:tcPr>
          <w:p>
            <w:pPr>
              <w:spacing w:after="0" w:line="240" w:lineRule="auto"/>
              <w:jc w:val="center"/>
            </w:pPr>
            <w:r>
              <w:rPr>
                <w:b w:val="0"/>
                <w:sz w:val="18"/>
              </w:rPr>
              <w:t>0.1396</w:t>
              <w:br/>
              <w:t>(1005)</w:t>
            </w:r>
          </w:p>
        </w:tc>
        <w:tc>
          <w:tcPr>
            <w:tcW w:type="dxa" w:w="1440"/>
            <w:vAlign w:val="center"/>
            <w:tcMar>
              <w:top w:w="65" w:type="dxa"/>
              <w:bottom w:w="65" w:type="dxa"/>
              <w:left w:w="65" w:type="dxa"/>
              <w:right w:w="65" w:type="dxa"/>
            </w:tcMar>
          </w:tcPr>
          <w:p>
            <w:pPr>
              <w:spacing w:after="0" w:line="240" w:lineRule="auto"/>
              <w:jc w:val="center"/>
            </w:pPr>
            <w:r>
              <w:rPr>
                <w:b w:val="0"/>
                <w:sz w:val="18"/>
              </w:rPr>
              <w:t>0.0564</w:t>
              <w:br/>
              <w:t>(379)</w:t>
            </w:r>
          </w:p>
        </w:tc>
        <w:tc>
          <w:tcPr>
            <w:tcW w:type="dxa" w:w="1440"/>
            <w:vAlign w:val="center"/>
            <w:tcMar>
              <w:top w:w="65" w:type="dxa"/>
              <w:bottom w:w="65" w:type="dxa"/>
              <w:left w:w="65" w:type="dxa"/>
              <w:right w:w="65" w:type="dxa"/>
            </w:tcMar>
          </w:tcPr>
          <w:p>
            <w:pPr>
              <w:spacing w:after="0" w:line="240" w:lineRule="auto"/>
              <w:jc w:val="center"/>
            </w:pPr>
            <w:r>
              <w:rPr>
                <w:b w:val="0"/>
                <w:sz w:val="18"/>
              </w:rPr>
              <w:t>0.0516</w:t>
              <w:br/>
              <w:t>(306)</w:t>
            </w:r>
          </w:p>
        </w:tc>
        <w:tc>
          <w:tcPr>
            <w:tcW w:type="dxa" w:w="1440"/>
            <w:vAlign w:val="center"/>
            <w:tcMar>
              <w:top w:w="65" w:type="dxa"/>
              <w:bottom w:w="65" w:type="dxa"/>
              <w:left w:w="65" w:type="dxa"/>
              <w:right w:w="65" w:type="dxa"/>
            </w:tcMar>
          </w:tcPr>
          <w:p>
            <w:pPr>
              <w:spacing w:after="0" w:line="240" w:lineRule="auto"/>
              <w:jc w:val="center"/>
            </w:pPr>
            <w:r>
              <w:rPr>
                <w:b w:val="0"/>
                <w:sz w:val="18"/>
              </w:rPr>
              <w:t>0.0511</w:t>
              <w:br/>
              <w:t>(297)</w:t>
            </w:r>
          </w:p>
        </w:tc>
        <w:tc>
          <w:tcPr>
            <w:tcW w:type="dxa" w:w="1325"/>
            <w:vAlign w:val="center"/>
            <w:tcMar>
              <w:top w:w="65" w:type="dxa"/>
              <w:bottom w:w="65" w:type="dxa"/>
              <w:left w:w="65" w:type="dxa"/>
              <w:right w:w="65" w:type="dxa"/>
            </w:tcMar>
          </w:tcPr>
          <w:p>
            <w:pPr>
              <w:spacing w:after="0" w:line="240" w:lineRule="auto"/>
              <w:jc w:val="center"/>
            </w:pPr>
            <w:r>
              <w:rPr>
                <w:b w:val="0"/>
                <w:sz w:val="18"/>
              </w:rPr>
              <w:t>0.0429</w:t>
              <w:br/>
              <w:t>(285)</w:t>
            </w:r>
          </w:p>
        </w:tc>
      </w:tr>
      <w:tr>
        <w:tc>
          <w:tcPr>
            <w:tcW w:type="dxa" w:w="504"/>
            <w:vAlign w:val="center"/>
            <w:tcMar>
              <w:top w:w="65" w:type="dxa"/>
              <w:bottom w:w="65" w:type="dxa"/>
              <w:left w:w="65" w:type="dxa"/>
              <w:right w:w="65" w:type="dxa"/>
            </w:tcMar>
          </w:tcPr>
          <w:p>
            <w:pPr>
              <w:spacing w:after="0" w:line="240" w:lineRule="auto"/>
              <w:jc w:val="center"/>
            </w:pPr>
            <w:r>
              <w:rPr>
                <w:b w:val="0"/>
                <w:sz w:val="18"/>
              </w:rPr>
              <w:t>2</w:t>
            </w:r>
          </w:p>
        </w:tc>
        <w:tc>
          <w:tcPr>
            <w:tcW w:type="dxa" w:w="1440"/>
            <w:vAlign w:val="center"/>
            <w:tcMar>
              <w:top w:w="65" w:type="dxa"/>
              <w:bottom w:w="65" w:type="dxa"/>
              <w:left w:w="65" w:type="dxa"/>
              <w:right w:w="65" w:type="dxa"/>
            </w:tcMar>
          </w:tcPr>
          <w:p>
            <w:pPr>
              <w:spacing w:after="0" w:line="240" w:lineRule="auto"/>
              <w:jc w:val="center"/>
            </w:pPr>
            <w:r>
              <w:rPr>
                <w:b w:val="0"/>
                <w:sz w:val="18"/>
              </w:rPr>
              <w:t>0.0874</w:t>
              <w:br/>
              <w:t>(620)</w:t>
            </w:r>
          </w:p>
        </w:tc>
        <w:tc>
          <w:tcPr>
            <w:tcW w:type="dxa" w:w="1440"/>
            <w:vAlign w:val="center"/>
            <w:tcMar>
              <w:top w:w="65" w:type="dxa"/>
              <w:bottom w:w="65" w:type="dxa"/>
              <w:left w:w="65" w:type="dxa"/>
              <w:right w:w="65" w:type="dxa"/>
            </w:tcMar>
          </w:tcPr>
          <w:p>
            <w:pPr>
              <w:spacing w:after="0" w:line="240" w:lineRule="auto"/>
              <w:jc w:val="center"/>
            </w:pPr>
            <w:r>
              <w:rPr>
                <w:b w:val="0"/>
                <w:sz w:val="18"/>
              </w:rPr>
              <w:t>0.0607</w:t>
              <w:br/>
              <w:t>(410)</w:t>
            </w:r>
          </w:p>
        </w:tc>
        <w:tc>
          <w:tcPr>
            <w:tcW w:type="dxa" w:w="1440"/>
            <w:vAlign w:val="center"/>
            <w:tcMar>
              <w:top w:w="65" w:type="dxa"/>
              <w:bottom w:w="65" w:type="dxa"/>
              <w:left w:w="65" w:type="dxa"/>
              <w:right w:w="65" w:type="dxa"/>
            </w:tcMar>
          </w:tcPr>
          <w:p>
            <w:pPr>
              <w:spacing w:after="0" w:line="240" w:lineRule="auto"/>
              <w:jc w:val="center"/>
            </w:pPr>
            <w:r>
              <w:rPr>
                <w:b w:val="0"/>
                <w:sz w:val="18"/>
              </w:rPr>
              <w:t>0.0612</w:t>
              <w:br/>
              <w:t>(384)</w:t>
            </w:r>
          </w:p>
        </w:tc>
        <w:tc>
          <w:tcPr>
            <w:tcW w:type="dxa" w:w="1440"/>
            <w:vAlign w:val="center"/>
            <w:tcMar>
              <w:top w:w="65" w:type="dxa"/>
              <w:bottom w:w="65" w:type="dxa"/>
              <w:left w:w="65" w:type="dxa"/>
              <w:right w:w="65" w:type="dxa"/>
            </w:tcMar>
          </w:tcPr>
          <w:p>
            <w:pPr>
              <w:spacing w:after="0" w:line="240" w:lineRule="auto"/>
              <w:jc w:val="center"/>
            </w:pPr>
            <w:r>
              <w:rPr>
                <w:b w:val="0"/>
                <w:sz w:val="18"/>
              </w:rPr>
              <w:t>0.0640</w:t>
              <w:br/>
              <w:t>(377)</w:t>
            </w:r>
          </w:p>
        </w:tc>
        <w:tc>
          <w:tcPr>
            <w:tcW w:type="dxa" w:w="1325"/>
            <w:vAlign w:val="center"/>
            <w:tcMar>
              <w:top w:w="65" w:type="dxa"/>
              <w:bottom w:w="65" w:type="dxa"/>
              <w:left w:w="65" w:type="dxa"/>
              <w:right w:w="65" w:type="dxa"/>
            </w:tcMar>
          </w:tcPr>
          <w:p>
            <w:pPr>
              <w:spacing w:after="0" w:line="240" w:lineRule="auto"/>
              <w:jc w:val="center"/>
            </w:pPr>
            <w:r>
              <w:rPr>
                <w:b w:val="0"/>
                <w:sz w:val="18"/>
              </w:rPr>
              <w:t>0.0536</w:t>
              <w:br/>
              <w:t>(353)</w:t>
            </w:r>
          </w:p>
        </w:tc>
      </w:tr>
    </w:tbl>
    <w:p>
      <w:pPr>
        <w:spacing w:after="40"/>
      </w:pPr>
    </w:p>
    <w:p>
      <w:r>
        <w:t>The new pipeline reduces total reference calls from 850 for the old bound to 821, or 3.41%. It is faster than the old pipeline in only 11 of the 30 seed–threshold pairs. Hence, the data show a modest certification improvement without a stable additional runtime advantage. Screening with fallback saves time relative to this serial reference implementation, with nonzero fallback in the sensitivity study. The fixed 200 iteration multiplier search and other implementation details limit broader efficiency interpretations. The results do not establish complexity advantages or superiority over an optimized low rank solver. The 720 original user evaluations are five seeds combined; the corresponding per seed workload is 144.</w:t>
      </w:r>
    </w:p>
    <w:p>
      <w:pPr>
        <w:pStyle w:val="Heading2"/>
      </w:pPr>
      <w:r>
        <w:t>7.6 Scope of numerical evidence</w:t>
      </w:r>
    </w:p>
    <w:p>
      <w:r>
        <w:t>The experiments support formula consistency, constructed attainment or approximation, finite instance safety checks, and the reported acceptance and call counts. Universal safety and information class sharpness rely on Sections 3 and 4, not on finite sample counts. Three timing repetitions do not establish statistical significance. No observed false acceptance is an empirical statement and is not a directed rounding guarantee.</w:t>
      </w:r>
    </w:p>
    <w:p>
      <w:pPr>
        <w:pStyle w:val="Heading1"/>
      </w:pPr>
      <w:r>
        <w:t>8 Interface to configuration lifecycle management</w:t>
      </w:r>
    </w:p>
    <w:p>
      <w:r>
        <w:t>The certificate addresses whether a fixed candidate can be deployed at a prescribed uncertainty radius. Once a candidate is selected, a separate complete configuration reference can determine its robust radius for subsequent online retain or refresh management. Candidate generation, deployment costs and future channel drift remain outside the present optimization problem. A positive certificate at one radius must not be interpreted as a maximum radius certificate.</w:t>
      </w:r>
    </w:p>
    <w:p>
      <w:pPr>
        <w:pStyle w:val="Heading1"/>
      </w:pPr>
      <w:r>
        <w:t>9 Discussion and limitations</w:t>
      </w:r>
    </w:p>
    <w:p>
      <w:r>
        <w:t>The information class optimum is deliberately unrestricted in channel norm, rank and wireless support. Some extremal constructions need large nominal channel norms and may not be reachable in a physical RIS configuration. Additional information may yield a stronger certificate; the channel norm constraint in (28) is one example, but its complete optimal envelope is not derived.</w:t>
      </w:r>
    </w:p>
    <w:p>
      <w:r>
        <w:t>The mathematical conclusions use real or complex exact arithmetic and finite dimensional compactness for one dimensional minima. The implementation uses ordinary floating point arithmetic with engineering safeguards. A formal numerical certificate would require validated interval arithmetic or directed rounding.</w:t>
      </w:r>
    </w:p>
    <w:p>
      <w:r>
        <w:t>Runtime and acceptance gains depend on the candidate pool and solver implementation. A matrix based bound can outperform a six scalar envelope because it retains more information. The present results do not justify universal speed claims. Further empirical assessment should fix the protocol before using additional independent seed batches and should report paired variability rather than treating correlated user evaluations as independent observations.</w:t>
      </w:r>
    </w:p>
    <w:p>
      <w:r>
        <w:t>A complete formula level comparison with operator interpolation, contraction completion and information based optimal recovery literature remains necessary before making a novelty claim. The paper does not claim first discovery of the underlying tools. The explicit proofs establish the stated mathematical results; they do not establish bibliographic novelty.</w:t>
      </w:r>
    </w:p>
    <w:p>
      <w:pPr>
        <w:pStyle w:val="Heading1"/>
      </w:pPr>
      <w:r>
        <w:t>10 Conclusion</w:t>
      </w:r>
    </w:p>
    <w:p>
      <w:r>
        <w:t>Joint spectral compatibility yields a continuous directional envelope and a safe shared budget QoS certificate. The certificate dominates the previous envelope under the same six scalar information budget. A positive definite completion proves sharpness over the nondegenerate information class, with explicit treatment of zero alpha and radius. At the degenerate boundary, an explicit diagonal construction attains the phase coupled boundary envelope. The difference between boundary and nondegenerate limiting optima is an information class effect rather than a physical QoS discontinuity.</w:t>
      </w:r>
    </w:p>
    <w:p>
      <w:r>
        <w:t>The tested sensitivity grid shows a 2.12 percentage point feasible coverage increase at 256 cells and a 3.41% reduction in reference calls, without a stable runtime advantage over the previous envelope. These results support the limited certification interface, while the main conclusions concern the spectral extremum and information class optimality. Further work concerns additional physical information, independent empirical validation and formula level literature positioning.</w:t>
      </w:r>
    </w:p>
    <w:p>
      <w:pPr>
        <w:pStyle w:val="Heading1"/>
      </w:pPr>
      <w:r>
        <w:t>References</w:t>
      </w:r>
    </w:p>
    <w:p>
      <w:r>
        <w:t>[1] G. Zhou, C. Pan, H. Ren, K. Wang, and A. Nallanathan, “A Framework of Robust Transmission Design for IRS-Aided MISO Communications With Imperfect Cascaded Channels,” IEEE Transactions on Signal Processing, vol. 68, pp. 5092–5106, 2020. DOI: 10.1109/TSP.2020.3019666. Author manuscript: https://arxiv.org/abs/2001.07054.</w:t>
      </w:r>
    </w:p>
    <w:p>
      <w:r>
        <w:t>[2] F. Rendl and H. Wolkowicz, “A Semidefinite Framework for Trust Region Subproblems with Applications to Large Scale Minimization,” Mathematical Programming, vol. 77, pp. 273–299, 1997.</w:t>
      </w:r>
    </w:p>
    <w:p>
      <w:r>
        <w:t>[3] C. Fortin and H. Wolkowicz, “The Trust Region Subproblem and Semidefinite Programming,” Optimization Methods and Software, vol. 19, no. 1, pp. 41–67, 2004. DOI: 10.1080/10556780410001647186. Author manuscript: https://www.math.uwaterloo.ca/~hwolkowi/henry/reports/2004fortinwolkTRS.pdf.</w:t>
      </w:r>
    </w:p>
    <w:p>
      <w:pPr>
        <w:pStyle w:val="Heading1"/>
      </w:pPr>
      <w:r>
        <w:t>Reproducibility</w:t>
      </w:r>
    </w:p>
    <w:p>
      <w:r>
        <w:t>The supplied code runs the original experiments with run_experiments.py, the sensitivity study with audit_and_stress.py, and per unit decision checks with verify_review.py. The repaired construction checks are in verify_v41_proofs.py, and the resolution and dominance checks are in review_v4_checks.py. Original outputs remain in results/; reproduction, sensitivity and supplementary checks are in results_review/. Numerical minima are diagnostics; interval lower bounds are used for acceptance.</w:t>
      </w:r>
    </w:p>
    <w:sectPr w:rsidR="00FC693F" w:rsidRPr="0006063C" w:rsidSect="00034616">
      <w:footerReference w:type="default" r:id="rId9"/>
      <w:pgSz w:w="11905" w:h="16838"/>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00"/>
    </w:pPr>
    <w:rPr>
      <w:rFonts w:ascii="Times New Roman" w:hAnsi="Times New Roman"/>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tabs>
        <w:tab w:pos="8928" w:val="right"/>
      </w:tabs>
      <w:spacing w:before="60" w:after="12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Spectral Compatible Shared Error Budget Envelopes for Robust QoS Certification</dc:title>
  <dc:subject>English V4.1 with repaired nondegenerate and boundary sharpness proofs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4.1</cp:version>
</cp:coreProperties>
</file>