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962FC7"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138.0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962FC7"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962FC7"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 xml:space="preserve">these 13 trams will be divided in half, to serve the initial departures from each endstation. To get the maximum frequence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oMath>
      </m:oMathPara>
      <w:r w:rsidR="009D6F8D">
        <w:rPr>
          <w:rFonts w:eastAsiaTheme="minorEastAsia"/>
        </w:rPr>
        <w:br/>
      </w:r>
      <w:r w:rsidR="009D6F8D">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What is the maximum amount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We can now reformulate the question of finding the maximum amount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962FC7"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962FC7"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962FC7"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962FC7"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962FC7"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Pr>
          <w:rFonts w:ascii="Calibri" w:eastAsia="Calibri" w:hAnsi="Calibri" w:cs="Times New Roman"/>
          <w:lang w:val="el-GR"/>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every 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Centraal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jc w:val="center"/>
            </w:pPr>
            <w:r>
              <w:t>Centraal  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However, we have to note that the dataset in some cases appears to be inconsistent. In particular, 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bookmarkStart w:id="0" w:name="_GoBack"/>
      <w:bookmarkEnd w:id="0"/>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t xml:space="preserve">Having quantitatively analysed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tblPr>
      <w:tblGrid>
        <w:gridCol w:w="1152"/>
        <w:gridCol w:w="1152"/>
        <w:gridCol w:w="1152"/>
        <w:gridCol w:w="1152"/>
        <w:gridCol w:w="1152"/>
      </w:tblGrid>
      <w:tr w:rsidR="00452DD2" w:rsidTr="00C5013C">
        <w:trPr>
          <w:cnfStyle w:val="100000000000"/>
          <w:trHeight w:val="720"/>
          <w:jc w:val="center"/>
        </w:trPr>
        <w:tc>
          <w:tcPr>
            <w:cnfStyle w:val="00100000000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962FC7" w:rsidP="00C5013C">
            <w:pPr>
              <w:jc w:val="center"/>
              <w:cnfStyle w:val="10000000000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962FC7"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962FC7" w:rsidP="00C5013C">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962FC7" w:rsidP="00C5013C">
            <w:pPr>
              <w:jc w:val="center"/>
              <w:cnfStyle w:val="10000000000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pPr>
            <w:r>
              <w:t>51</w:t>
            </w:r>
            <w:r w:rsidR="00452DD2">
              <w:t>s</w:t>
            </w:r>
          </w:p>
        </w:tc>
        <w:tc>
          <w:tcPr>
            <w:tcW w:w="1152" w:type="dxa"/>
            <w:vAlign w:val="center"/>
          </w:tcPr>
          <w:p w:rsidR="00452DD2" w:rsidRDefault="00EB435E" w:rsidP="00C5013C">
            <w:pPr>
              <w:jc w:val="center"/>
              <w:cnfStyle w:val="000000100000"/>
            </w:pPr>
            <w:r>
              <w:t>9</w:t>
            </w:r>
            <w:r w:rsidR="00452DD2">
              <w:t>s</w:t>
            </w:r>
          </w:p>
        </w:tc>
        <w:tc>
          <w:tcPr>
            <w:tcW w:w="1152" w:type="dxa"/>
            <w:vAlign w:val="center"/>
          </w:tcPr>
          <w:p w:rsidR="00452DD2" w:rsidRDefault="00452DD2" w:rsidP="00C5013C">
            <w:pPr>
              <w:jc w:val="center"/>
              <w:cnfStyle w:val="000000100000"/>
            </w:pPr>
            <w:r>
              <w:t>8.86</w:t>
            </w:r>
          </w:p>
        </w:tc>
      </w:tr>
      <w:tr w:rsidR="00452DD2" w:rsidTr="00C5013C">
        <w:trPr>
          <w:trHeight w:val="374"/>
          <w:jc w:val="center"/>
        </w:trPr>
        <w:tc>
          <w:tcPr>
            <w:cnfStyle w:val="00100000000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1</w:t>
            </w:r>
            <w:r>
              <w:t>.</w:t>
            </w:r>
            <w:r w:rsidR="00EB435E">
              <w:t>04</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w:t>
            </w:r>
            <w:r w:rsidR="00EB435E">
              <w:t>3</w:t>
            </w:r>
            <w:r>
              <w:t>.</w:t>
            </w:r>
            <w:r w:rsidR="00EB435E">
              <w:t>5</w:t>
            </w:r>
            <w:r>
              <w:t>5</w:t>
            </w:r>
          </w:p>
        </w:tc>
      </w:tr>
      <w:tr w:rsidR="00452DD2" w:rsidTr="00C5013C">
        <w:trPr>
          <w:trHeight w:val="374"/>
          <w:jc w:val="center"/>
        </w:trPr>
        <w:tc>
          <w:tcPr>
            <w:cnfStyle w:val="00100000000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6</w:t>
            </w:r>
            <w:r>
              <w:t>.</w:t>
            </w:r>
            <w:r w:rsidR="00EB435E">
              <w:t>10</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19.</w:t>
            </w:r>
            <w:r w:rsidR="00EB435E">
              <w:t>37</w:t>
            </w:r>
          </w:p>
        </w:tc>
      </w:tr>
      <w:tr w:rsidR="00452DD2" w:rsidTr="00C5013C">
        <w:trPr>
          <w:trHeight w:val="374"/>
          <w:jc w:val="center"/>
        </w:trPr>
        <w:tc>
          <w:tcPr>
            <w:cnfStyle w:val="00100000000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rPr>
                <w:color w:val="FF0000"/>
              </w:rPr>
            </w:pPr>
            <w:r w:rsidRPr="00C5013C">
              <w:rPr>
                <w:color w:val="FF0000"/>
              </w:rPr>
              <w:t>3m 22s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19.76</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rPr>
                <w:color w:val="FF0000"/>
              </w:rPr>
            </w:pPr>
            <w:r w:rsidRPr="00C5013C">
              <w:rPr>
                <w:color w:val="FF0000"/>
              </w:rPr>
              <w:t>3m 55s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23.75</w:t>
            </w:r>
          </w:p>
        </w:tc>
      </w:tr>
      <w:tr w:rsidR="00452DD2" w:rsidTr="00C5013C">
        <w:trPr>
          <w:trHeight w:val="374"/>
          <w:jc w:val="center"/>
        </w:trPr>
        <w:tc>
          <w:tcPr>
            <w:cnfStyle w:val="00100000000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rPr>
                <w:color w:val="FF0000"/>
              </w:rPr>
            </w:pPr>
            <w:r w:rsidRPr="00C5013C">
              <w:rPr>
                <w:color w:val="FF0000"/>
              </w:rPr>
              <w:t>4m 17s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3B5A8C">
        <w:t xml:space="preserve"> keep the passengers’ waiting time low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tblPr>
      <w:tblGrid>
        <w:gridCol w:w="1584"/>
        <w:gridCol w:w="1584"/>
        <w:gridCol w:w="1584"/>
      </w:tblGrid>
      <w:tr w:rsidR="003B5A8C" w:rsidTr="003B5A8C">
        <w:trPr>
          <w:cnfStyle w:val="100000000000"/>
          <w:trHeight w:val="720"/>
          <w:jc w:val="center"/>
        </w:trPr>
        <w:tc>
          <w:tcPr>
            <w:cnfStyle w:val="00100000000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962FC7"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962FC7" w:rsidP="005A7B55">
            <w:pPr>
              <w:jc w:val="center"/>
              <w:cnfStyle w:val="10000000000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rPr>
                <w:color w:val="FF0000"/>
              </w:rPr>
            </w:pPr>
            <w:r w:rsidRPr="00C347CE">
              <w:rPr>
                <w:color w:val="FF0000"/>
              </w:rPr>
              <w:t>4h 17m 09s</w:t>
            </w:r>
          </w:p>
        </w:tc>
      </w:tr>
      <w:tr w:rsidR="003B5A8C" w:rsidTr="003B5A8C">
        <w:trPr>
          <w:trHeight w:val="374"/>
          <w:jc w:val="center"/>
        </w:trPr>
        <w:tc>
          <w:tcPr>
            <w:cnfStyle w:val="00100000000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rPr>
                <w:color w:val="FF0000"/>
              </w:rPr>
            </w:pPr>
            <w:r w:rsidRPr="00C347CE">
              <w:rPr>
                <w:color w:val="FF0000"/>
              </w:rPr>
              <w:t>2h 39m 04</w:t>
            </w:r>
            <w:r w:rsidR="003B5A8C" w:rsidRPr="00C347CE">
              <w:rPr>
                <w:color w:val="FF0000"/>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 xml:space="preserve">The company replaces the door mechanisms of all trams, resulting in less failures during  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 xml:space="preserve">The company also upgrades the switch mechanisms at each endstation,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tblPr>
      <w:tblGrid>
        <w:gridCol w:w="1491"/>
        <w:gridCol w:w="1371"/>
        <w:gridCol w:w="1402"/>
        <w:gridCol w:w="1328"/>
        <w:gridCol w:w="1328"/>
      </w:tblGrid>
      <w:tr w:rsidR="003A36BC" w:rsidTr="003A36BC">
        <w:trPr>
          <w:cnfStyle w:val="100000000000"/>
          <w:trHeight w:val="720"/>
          <w:jc w:val="center"/>
        </w:trPr>
        <w:tc>
          <w:tcPr>
            <w:cnfStyle w:val="00100000000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trHeight w:val="374"/>
          <w:jc w:val="center"/>
        </w:trPr>
        <w:tc>
          <w:tcPr>
            <w:cnfStyle w:val="00100000000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pPr>
            <w:r w:rsidRPr="003A36BC">
              <w:t>14</w:t>
            </w:r>
          </w:p>
        </w:tc>
        <w:tc>
          <w:tcPr>
            <w:tcW w:w="1402" w:type="dxa"/>
            <w:vAlign w:val="center"/>
          </w:tcPr>
          <w:p w:rsidR="003A36BC" w:rsidRPr="003A36BC" w:rsidRDefault="003A36BC" w:rsidP="003A36BC">
            <w:pPr>
              <w:jc w:val="center"/>
              <w:cnfStyle w:val="000000100000"/>
            </w:pPr>
            <w:r>
              <w:t>10%</w:t>
            </w:r>
          </w:p>
        </w:tc>
        <w:tc>
          <w:tcPr>
            <w:tcW w:w="1328" w:type="dxa"/>
            <w:vAlign w:val="center"/>
          </w:tcPr>
          <w:p w:rsidR="003A36BC" w:rsidRPr="003A36BC" w:rsidRDefault="00962FC7" w:rsidP="003A36BC">
            <w:pPr>
              <w:jc w:val="center"/>
              <w:cnfStyle w:val="0000001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962FC7" w:rsidP="003A36BC">
            <w:pPr>
              <w:jc w:val="center"/>
              <w:cnfStyle w:val="00000010000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pPr>
            <w:r w:rsidRPr="003A36BC">
              <w:t>13</w:t>
            </w:r>
          </w:p>
        </w:tc>
        <w:tc>
          <w:tcPr>
            <w:tcW w:w="1402" w:type="dxa"/>
            <w:vAlign w:val="center"/>
          </w:tcPr>
          <w:p w:rsidR="003A36BC" w:rsidRPr="003A36BC" w:rsidRDefault="003A36BC" w:rsidP="003A36BC">
            <w:pPr>
              <w:jc w:val="center"/>
              <w:cnfStyle w:val="000000000000"/>
            </w:pPr>
            <w:r>
              <w:t>1%</w:t>
            </w:r>
          </w:p>
        </w:tc>
        <w:tc>
          <w:tcPr>
            <w:tcW w:w="1328" w:type="dxa"/>
            <w:vAlign w:val="center"/>
          </w:tcPr>
          <w:p w:rsidR="003A36BC" w:rsidRPr="003A36BC" w:rsidRDefault="00962FC7" w:rsidP="003A36BC">
            <w:pPr>
              <w:jc w:val="center"/>
              <w:cnfStyle w:val="00000000000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962FC7" w:rsidP="002E4E5B">
            <w:pPr>
              <w:jc w:val="center"/>
              <w:cnfStyle w:val="00000000000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962FC7"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962FC7"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w:t>
      </w:r>
      <w:r>
        <w:t xml:space="preserve"> </w:t>
      </w:r>
      <w:r w:rsidR="00181F69">
        <w:t xml:space="preserve">12 </w:t>
      </w:r>
      <w:r>
        <w:t>possible configurations</w:t>
      </w:r>
      <w:r w:rsidR="00181F69">
        <w:t>, depicted in the table below</w:t>
      </w:r>
      <w:r w:rsidR="00181F69">
        <w:rPr>
          <w:rFonts w:eastAsiaTheme="minorEastAsia"/>
        </w:rPr>
        <w:t>:</w:t>
      </w:r>
    </w:p>
    <w:tbl>
      <w:tblPr>
        <w:tblStyle w:val="LightList-Accent6"/>
        <w:tblW w:w="4006" w:type="dxa"/>
        <w:jc w:val="center"/>
        <w:tblLook w:val="04A0"/>
      </w:tblPr>
      <w:tblGrid>
        <w:gridCol w:w="1402"/>
        <w:gridCol w:w="1302"/>
        <w:gridCol w:w="1302"/>
      </w:tblGrid>
      <w:tr w:rsidR="00181F69" w:rsidTr="00181F69">
        <w:trPr>
          <w:cnfStyle w:val="100000000000"/>
          <w:trHeight w:val="432"/>
          <w:jc w:val="center"/>
        </w:trPr>
        <w:tc>
          <w:tcPr>
            <w:cnfStyle w:val="00100000000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962FC7"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962FC7" w:rsidP="00181F6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trHeight w:val="288"/>
          <w:jc w:val="center"/>
        </w:trPr>
        <w:tc>
          <w:tcPr>
            <w:cnfStyle w:val="00100000000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pPr>
            <w:r>
              <w:t>5</w:t>
            </w:r>
          </w:p>
        </w:tc>
        <w:tc>
          <w:tcPr>
            <w:tcW w:w="1302" w:type="dxa"/>
            <w:vAlign w:val="center"/>
          </w:tcPr>
          <w:p w:rsidR="00181F69" w:rsidRPr="003A36BC" w:rsidRDefault="00181F69" w:rsidP="00181F69">
            <w:pPr>
              <w:jc w:val="center"/>
              <w:cnfStyle w:val="000000100000"/>
            </w:pPr>
            <w: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pPr>
            <w:r>
              <w:t>5</w:t>
            </w:r>
          </w:p>
        </w:tc>
        <w:tc>
          <w:tcPr>
            <w:tcW w:w="1302" w:type="dxa"/>
            <w:vAlign w:val="center"/>
          </w:tcPr>
          <w:p w:rsidR="00181F69" w:rsidRPr="003A36BC" w:rsidRDefault="00181F69" w:rsidP="00181F69">
            <w:pPr>
              <w:jc w:val="center"/>
              <w:cnfStyle w:val="000000000000"/>
            </w:pPr>
            <w: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4</w:t>
            </w:r>
          </w:p>
        </w:tc>
      </w:tr>
      <w:tr w:rsidR="00181F69" w:rsidTr="00181F69">
        <w:trPr>
          <w:cnfStyle w:val="000000100000"/>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means the sample mean of passengers’ waiting times in Scenario A and so forth.</w:t>
      </w:r>
    </w:p>
    <w:p w:rsidR="00181F69" w:rsidRDefault="00181F69" w:rsidP="00EC6E13">
      <w:pPr>
        <w:rPr>
          <w:b/>
          <w:sz w:val="24"/>
        </w:rPr>
      </w:pPr>
    </w:p>
    <w:tbl>
      <w:tblPr>
        <w:tblStyle w:val="LightList-Accent6"/>
        <w:tblW w:w="7968" w:type="dxa"/>
        <w:jc w:val="center"/>
        <w:tblLook w:val="04A0"/>
      </w:tblPr>
      <w:tblGrid>
        <w:gridCol w:w="1328"/>
        <w:gridCol w:w="1328"/>
        <w:gridCol w:w="1328"/>
        <w:gridCol w:w="1328"/>
        <w:gridCol w:w="1328"/>
        <w:gridCol w:w="1328"/>
      </w:tblGrid>
      <w:tr w:rsidR="00B3775C" w:rsidTr="00B3775C">
        <w:trPr>
          <w:cnfStyle w:val="100000000000"/>
          <w:trHeight w:val="720"/>
          <w:jc w:val="center"/>
        </w:trPr>
        <w:tc>
          <w:tcPr>
            <w:cnfStyle w:val="001000000000"/>
            <w:tcW w:w="1328" w:type="dxa"/>
            <w:vAlign w:val="center"/>
          </w:tcPr>
          <w:p w:rsidR="00B3775C" w:rsidRDefault="00962FC7"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962FC7" w:rsidP="00B3775C">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962FC7"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5A7198" w:rsidP="005A7198">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5A7198"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962FC7" w:rsidP="00B3775C">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rPr>
                <w:b/>
              </w:rPr>
            </w:pPr>
            <w:r w:rsidRPr="00B3775C">
              <w:rPr>
                <w:b/>
              </w:rPr>
              <w:t>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rPr>
                <w:b/>
              </w:rPr>
            </w:pPr>
            <w:r w:rsidRPr="00B3775C">
              <w:rPr>
                <w:b/>
              </w:rPr>
              <w:t>6</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trHeight w:val="374"/>
          <w:jc w:val="center"/>
        </w:trPr>
        <w:tc>
          <w:tcPr>
            <w:cnfStyle w:val="00100000000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rPr>
                <w:b/>
              </w:rPr>
            </w:pPr>
            <w:r w:rsidRPr="00B3775C">
              <w:rPr>
                <w:b/>
              </w:rPr>
              <w:t>3</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3</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rPr>
                <w:b/>
              </w:rPr>
            </w:pPr>
            <w:r w:rsidRPr="00B3775C">
              <w:rPr>
                <w:b/>
              </w:rPr>
              <w:t>4</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trHeight w:val="374"/>
          <w:jc w:val="center"/>
        </w:trPr>
        <w:tc>
          <w:tcPr>
            <w:cnfStyle w:val="00100000000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rPr>
                <w:b/>
              </w:rPr>
            </w:pPr>
            <w:r w:rsidRPr="00B3775C">
              <w:rPr>
                <w:b/>
              </w:rPr>
              <w:t>5</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rPr>
                <w:b/>
              </w:rPr>
            </w:pPr>
            <w:r w:rsidRPr="00B3775C">
              <w:rPr>
                <w:b/>
              </w:rPr>
              <w:t>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 xml:space="preserve">By visualizing sample waiting times in Figure 3, we can cleary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more subtle, than the case of passengers’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definitely lead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acrosss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congestion for both scenarios acrosss all configurations</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r w:rsidRPr="00545D84">
        <w:t xml:space="preserve">In order </w:t>
      </w:r>
      <w:r>
        <w:t xml:space="preserve">to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545D84"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545D84" w:rsidP="00545D84">
      <w:pP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545D84" w:rsidP="00990629">
      <w:pP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on"/>
                  <m:supHide m:val="on"/>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tblPr>
      <w:tblGrid>
        <w:gridCol w:w="1584"/>
        <w:gridCol w:w="1584"/>
        <w:gridCol w:w="1584"/>
        <w:gridCol w:w="1584"/>
        <w:gridCol w:w="1584"/>
        <w:gridCol w:w="1584"/>
      </w:tblGrid>
      <w:tr w:rsidR="00F17A11" w:rsidTr="00514821">
        <w:trPr>
          <w:cnfStyle w:val="100000000000"/>
          <w:trHeight w:val="720"/>
          <w:jc w:val="center"/>
        </w:trPr>
        <w:tc>
          <w:tcPr>
            <w:cnfStyle w:val="001000000000"/>
            <w:tcW w:w="1584" w:type="dxa"/>
            <w:vAlign w:val="center"/>
          </w:tcPr>
          <w:p w:rsidR="00F17A11" w:rsidRDefault="00F17A11"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F17A11"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F17A11" w:rsidP="00F17A11">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F17A11" w:rsidP="00F17A11">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S</m:t>
                        </m:r>
                        <m:ctrlPr>
                          <w:rPr>
                            <w:rFonts w:ascii="Cambria Math" w:eastAsia="Times New Roman" w:hAnsi="Cambria Math" w:cs="Times New Roman"/>
                            <w:b w:val="0"/>
                            <w:bCs w:val="0"/>
                            <w:i/>
                          </w:rPr>
                        </m:ctrlPr>
                      </m:e>
                      <m:sub>
                        <m: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F17A11" w:rsidP="00D01129">
            <w:pPr>
              <w:jc w:val="center"/>
              <w:cnfStyle w:val="10000000000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m:t>
                        </m:r>
                        <m:r>
                          <m:rPr>
                            <m:sty m:val="bi"/>
                          </m:rPr>
                          <w:rPr>
                            <w:rFonts w:ascii="Cambria Math" w:eastAsia="Times New Roman" w:hAnsi="Cambria Math" w:cs="Times New Roman"/>
                          </w:rPr>
                          <m:t>ong</m:t>
                        </m:r>
                        <m:ctrlPr>
                          <w:rPr>
                            <w:rFonts w:ascii="Cambria Math" w:eastAsia="Times New Roman" w:hAnsi="Cambria Math" w:cs="Times New Roman"/>
                            <w:i/>
                          </w:rPr>
                        </m:ctrlPr>
                      </m:sub>
                    </m:sSub>
                  </m:e>
                </m:acc>
              </m:oMath>
            </m:oMathPara>
          </w:p>
        </w:tc>
        <w:tc>
          <w:tcPr>
            <w:tcW w:w="1584" w:type="dxa"/>
            <w:vAlign w:val="center"/>
          </w:tcPr>
          <w:p w:rsidR="00F17A11" w:rsidRDefault="00F17A11" w:rsidP="00D01129">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S</m:t>
                        </m:r>
                        <m:ctrlPr>
                          <w:rPr>
                            <w:rFonts w:ascii="Cambria Math" w:eastAsia="Times New Roman" w:hAnsi="Cambria Math" w:cs="Times New Roman"/>
                            <w:b w:val="0"/>
                            <w:bCs w:val="0"/>
                            <w:i/>
                          </w:rPr>
                        </m:ctrlPr>
                      </m:e>
                      <m:sub>
                        <m: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F17A11">
            <w:pPr>
              <w:jc w:val="center"/>
              <w:cnfStyle w:val="00000010000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29.46</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pPr>
            <w:r>
              <w:rPr>
                <w:rFonts w:ascii="Calibri" w:eastAsia="Calibri" w:hAnsi="Calibri" w:cs="Times New Roman"/>
              </w:rPr>
              <w:t>0</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10.68</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0.93</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4</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6.82</w:t>
            </w:r>
          </w:p>
        </w:tc>
      </w:tr>
      <w:tr w:rsidR="00F17A11" w:rsidTr="00514821">
        <w:trPr>
          <w:cnfStyle w:val="000000100000"/>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rPr>
                <w:b/>
              </w:rPr>
            </w:pPr>
            <w:r w:rsidRPr="00B3775C">
              <w:rPr>
                <w:b/>
              </w:rPr>
              <w:t>5</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rPr>
                <w:b/>
              </w:rPr>
            </w:pPr>
            <w:r w:rsidRPr="00B3775C">
              <w:rPr>
                <w:b/>
              </w:rPr>
              <w:t>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0F128F" w:rsidRDefault="000F128F" w:rsidP="00990629">
      <w:pPr>
        <w:rPr>
          <w:rFonts w:eastAsiaTheme="minorEastAsia"/>
        </w:rPr>
      </w:pPr>
      <w:r>
        <w:lastRenderedPageBreak/>
        <w:t xml:space="preserve">We can now compare the two scenarios, by constructing 95%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Pr>
          <w:rFonts w:eastAsiaTheme="minorEastAsia"/>
        </w:rPr>
        <w:t>. 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p>
    <w:p w:rsidR="000F128F" w:rsidRPr="000F128F" w:rsidRDefault="000F128F" w:rsidP="00990629"/>
    <w:tbl>
      <w:tblPr>
        <w:tblStyle w:val="LightList-Accent6"/>
        <w:tblW w:w="8928" w:type="dxa"/>
        <w:jc w:val="center"/>
        <w:tblLook w:val="04A0"/>
      </w:tblPr>
      <w:tblGrid>
        <w:gridCol w:w="1584"/>
        <w:gridCol w:w="1584"/>
        <w:gridCol w:w="2880"/>
        <w:gridCol w:w="2880"/>
      </w:tblGrid>
      <w:tr w:rsidR="0018432C" w:rsidTr="00896A04">
        <w:trPr>
          <w:cnfStyle w:val="100000000000"/>
          <w:trHeight w:val="720"/>
          <w:jc w:val="center"/>
        </w:trPr>
        <w:tc>
          <w:tcPr>
            <w:cnfStyle w:val="001000000000"/>
            <w:tcW w:w="1584" w:type="dxa"/>
            <w:vAlign w:val="center"/>
          </w:tcPr>
          <w:p w:rsidR="0018432C" w:rsidRDefault="0018432C"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18432C" w:rsidP="00D01129">
            <w:pPr>
              <w:jc w:val="center"/>
              <w:cnfStyle w:val="10000000000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18432C" w:rsidP="00896A04">
            <w:pPr>
              <w:jc w:val="center"/>
              <w:cnfStyle w:val="10000000000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m:t>
                    </m:r>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rPr>
                <w:rFonts w:ascii="Calibri" w:eastAsia="Calibri" w:hAnsi="Calibri" w:cs="Times New Roman"/>
                <w:strike/>
              </w:rPr>
            </w:pPr>
            <w:r w:rsidRPr="00896A04">
              <w:rPr>
                <w:rFonts w:ascii="Calibri" w:eastAsia="Calibri" w:hAnsi="Calibri" w:cs="Times New Roman"/>
                <w:strike/>
              </w:rPr>
              <w:t>[-0.7, 0.2]</w:t>
            </w:r>
            <w:r w:rsidR="00896A04" w:rsidRPr="00896A04">
              <w:rPr>
                <w:rFonts w:ascii="Calibri" w:eastAsia="Calibri" w:hAnsi="Calibri" w:cs="Times New Roman"/>
                <w:strike/>
              </w:rPr>
              <w:t xml:space="preserve"> =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3</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4</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rPr>
                <w:b/>
              </w:rPr>
            </w:pPr>
            <w:r w:rsidRPr="00B3775C">
              <w:rPr>
                <w:b/>
              </w:rPr>
              <w:t>5</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rPr>
                <w:b/>
              </w:rPr>
            </w:pPr>
            <w:r w:rsidRPr="00B3775C">
              <w:rPr>
                <w:b/>
              </w:rPr>
              <w:t>6</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Pr="00A36CE4" w:rsidRDefault="000F128F" w:rsidP="000F128F">
      <w:pPr>
        <w:pStyle w:val="Caption"/>
        <w:keepNext/>
        <w:jc w:val="center"/>
      </w:pPr>
      <w:r>
        <w:t>Table 14: Final computed confidence intervals</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In order to do that, we use the given artifical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4956D6">
      <w:r>
        <w:t>When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4953E9">
          <w:rPr>
            <w:noProof/>
          </w:rPr>
          <w:t>iii</w:t>
        </w:r>
      </w:fldSimple>
      <w:r>
        <w:t xml:space="preserve"> Endstation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90B" w:rsidRDefault="00F0290B" w:rsidP="00E05FE3">
      <w:pPr>
        <w:spacing w:after="0" w:line="240" w:lineRule="auto"/>
      </w:pPr>
      <w:r>
        <w:separator/>
      </w:r>
    </w:p>
  </w:endnote>
  <w:endnote w:type="continuationSeparator" w:id="0">
    <w:p w:rsidR="00F0290B" w:rsidRDefault="00F0290B"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D01129" w:rsidRDefault="00D01129">
        <w:pPr>
          <w:pStyle w:val="Footer"/>
          <w:jc w:val="right"/>
        </w:pPr>
        <w:fldSimple w:instr=" PAGE   \* MERGEFORMAT ">
          <w:r w:rsidR="000F128F">
            <w:rPr>
              <w:noProof/>
            </w:rPr>
            <w:t>13</w:t>
          </w:r>
        </w:fldSimple>
      </w:p>
    </w:sdtContent>
  </w:sdt>
  <w:p w:rsidR="00D01129" w:rsidRDefault="00D011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90B" w:rsidRDefault="00F0290B" w:rsidP="00E05FE3">
      <w:pPr>
        <w:spacing w:after="0" w:line="240" w:lineRule="auto"/>
      </w:pPr>
      <w:r>
        <w:separator/>
      </w:r>
    </w:p>
  </w:footnote>
  <w:footnote w:type="continuationSeparator" w:id="0">
    <w:p w:rsidR="00F0290B" w:rsidRDefault="00F0290B"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EC6E13"/>
    <w:rsid w:val="00005043"/>
    <w:rsid w:val="00007A9B"/>
    <w:rsid w:val="00034883"/>
    <w:rsid w:val="000376C2"/>
    <w:rsid w:val="00071382"/>
    <w:rsid w:val="000A5A63"/>
    <w:rsid w:val="000D71DA"/>
    <w:rsid w:val="000F128F"/>
    <w:rsid w:val="000F47D8"/>
    <w:rsid w:val="001042D6"/>
    <w:rsid w:val="00137BEF"/>
    <w:rsid w:val="00143E2E"/>
    <w:rsid w:val="00181F69"/>
    <w:rsid w:val="0018432C"/>
    <w:rsid w:val="001C7300"/>
    <w:rsid w:val="001D0B4A"/>
    <w:rsid w:val="001E67AA"/>
    <w:rsid w:val="001F4894"/>
    <w:rsid w:val="00205941"/>
    <w:rsid w:val="00217E04"/>
    <w:rsid w:val="002666DE"/>
    <w:rsid w:val="00266796"/>
    <w:rsid w:val="002670A1"/>
    <w:rsid w:val="00293033"/>
    <w:rsid w:val="00297EDC"/>
    <w:rsid w:val="002A05BB"/>
    <w:rsid w:val="002A513C"/>
    <w:rsid w:val="002E4E5B"/>
    <w:rsid w:val="002E5F7F"/>
    <w:rsid w:val="002F0921"/>
    <w:rsid w:val="00313515"/>
    <w:rsid w:val="00314599"/>
    <w:rsid w:val="0032357F"/>
    <w:rsid w:val="00350FE2"/>
    <w:rsid w:val="003557A6"/>
    <w:rsid w:val="00356C73"/>
    <w:rsid w:val="0037312A"/>
    <w:rsid w:val="00391A8C"/>
    <w:rsid w:val="003A1224"/>
    <w:rsid w:val="003A36BC"/>
    <w:rsid w:val="003B5A8C"/>
    <w:rsid w:val="003F130C"/>
    <w:rsid w:val="0042596A"/>
    <w:rsid w:val="00432BF8"/>
    <w:rsid w:val="0044677D"/>
    <w:rsid w:val="00452DD2"/>
    <w:rsid w:val="00464562"/>
    <w:rsid w:val="004953E9"/>
    <w:rsid w:val="004956D6"/>
    <w:rsid w:val="004B108E"/>
    <w:rsid w:val="004C5DA7"/>
    <w:rsid w:val="004F0AB3"/>
    <w:rsid w:val="00514821"/>
    <w:rsid w:val="00516D48"/>
    <w:rsid w:val="00530378"/>
    <w:rsid w:val="00545D84"/>
    <w:rsid w:val="005471B7"/>
    <w:rsid w:val="00571198"/>
    <w:rsid w:val="005A7198"/>
    <w:rsid w:val="005A7B55"/>
    <w:rsid w:val="005C1635"/>
    <w:rsid w:val="005E30CB"/>
    <w:rsid w:val="00633CD7"/>
    <w:rsid w:val="00636C94"/>
    <w:rsid w:val="00711FE9"/>
    <w:rsid w:val="00712BF9"/>
    <w:rsid w:val="00713AF9"/>
    <w:rsid w:val="00720C1E"/>
    <w:rsid w:val="007B584A"/>
    <w:rsid w:val="007C2137"/>
    <w:rsid w:val="007C50F4"/>
    <w:rsid w:val="00815CC5"/>
    <w:rsid w:val="00824C08"/>
    <w:rsid w:val="00854FD9"/>
    <w:rsid w:val="008734B7"/>
    <w:rsid w:val="00896A04"/>
    <w:rsid w:val="008979C7"/>
    <w:rsid w:val="008A1FFB"/>
    <w:rsid w:val="008D4528"/>
    <w:rsid w:val="00962FC7"/>
    <w:rsid w:val="00990629"/>
    <w:rsid w:val="009A7BE0"/>
    <w:rsid w:val="009D6F8D"/>
    <w:rsid w:val="00A337C4"/>
    <w:rsid w:val="00A36CE4"/>
    <w:rsid w:val="00A62111"/>
    <w:rsid w:val="00A65087"/>
    <w:rsid w:val="00A7680E"/>
    <w:rsid w:val="00A86945"/>
    <w:rsid w:val="00A929D1"/>
    <w:rsid w:val="00AA05B8"/>
    <w:rsid w:val="00AA31CC"/>
    <w:rsid w:val="00AB02C8"/>
    <w:rsid w:val="00AB666B"/>
    <w:rsid w:val="00AE109B"/>
    <w:rsid w:val="00B03736"/>
    <w:rsid w:val="00B26E54"/>
    <w:rsid w:val="00B34F76"/>
    <w:rsid w:val="00B3775C"/>
    <w:rsid w:val="00BA2C28"/>
    <w:rsid w:val="00BD1B73"/>
    <w:rsid w:val="00C01148"/>
    <w:rsid w:val="00C347CE"/>
    <w:rsid w:val="00C5013C"/>
    <w:rsid w:val="00C63621"/>
    <w:rsid w:val="00C90A28"/>
    <w:rsid w:val="00CC6A6B"/>
    <w:rsid w:val="00CF34AC"/>
    <w:rsid w:val="00D01129"/>
    <w:rsid w:val="00D03C78"/>
    <w:rsid w:val="00D42226"/>
    <w:rsid w:val="00D4397F"/>
    <w:rsid w:val="00D46FFF"/>
    <w:rsid w:val="00D4741C"/>
    <w:rsid w:val="00D60AA9"/>
    <w:rsid w:val="00D91288"/>
    <w:rsid w:val="00DC1B2F"/>
    <w:rsid w:val="00DD14CE"/>
    <w:rsid w:val="00E05FE3"/>
    <w:rsid w:val="00E14A08"/>
    <w:rsid w:val="00E77BDA"/>
    <w:rsid w:val="00E84F84"/>
    <w:rsid w:val="00E92964"/>
    <w:rsid w:val="00EB435E"/>
    <w:rsid w:val="00EC58E1"/>
    <w:rsid w:val="00EC6E13"/>
    <w:rsid w:val="00ED2B24"/>
    <w:rsid w:val="00EE19E4"/>
    <w:rsid w:val="00EF34BB"/>
    <w:rsid w:val="00F005F0"/>
    <w:rsid w:val="00F0290B"/>
    <w:rsid w:val="00F11585"/>
    <w:rsid w:val="00F13424"/>
    <w:rsid w:val="00F17A11"/>
    <w:rsid w:val="00F442C9"/>
    <w:rsid w:val="00F55B5F"/>
    <w:rsid w:val="00F85EBE"/>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wt_A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114.44000000000001</c:v>
                </c:pt>
              </c:numCache>
            </c:numRef>
          </c:val>
        </c:ser>
        <c:ser>
          <c:idx val="1"/>
          <c:order val="1"/>
          <c:tx>
            <c:strRef>
              <c:f>Sheet1!$C$1</c:f>
              <c:strCache>
                <c:ptCount val="1"/>
                <c:pt idx="0">
                  <c:v>wt_B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60.120000000000005</c:v>
                </c:pt>
                <c:pt idx="1">
                  <c:v>69.38</c:v>
                </c:pt>
                <c:pt idx="2">
                  <c:v>37.349999999999994</c:v>
                </c:pt>
                <c:pt idx="3">
                  <c:v>55.54</c:v>
                </c:pt>
                <c:pt idx="4">
                  <c:v>35.9</c:v>
                </c:pt>
                <c:pt idx="5">
                  <c:v>78.86</c:v>
                </c:pt>
                <c:pt idx="6">
                  <c:v>90</c:v>
                </c:pt>
                <c:pt idx="7">
                  <c:v>47.690000000000005</c:v>
                </c:pt>
                <c:pt idx="8">
                  <c:v>49.28</c:v>
                </c:pt>
                <c:pt idx="9">
                  <c:v>51.720000000000006</c:v>
                </c:pt>
                <c:pt idx="10">
                  <c:v>112.38</c:v>
                </c:pt>
                <c:pt idx="11">
                  <c:v>103.61999999999999</c:v>
                </c:pt>
              </c:numCache>
            </c:numRef>
          </c:val>
        </c:ser>
        <c:overlap val="100"/>
        <c:axId val="109100032"/>
        <c:axId val="109191936"/>
      </c:barChart>
      <c:catAx>
        <c:axId val="109100032"/>
        <c:scaling>
          <c:orientation val="minMax"/>
        </c:scaling>
        <c:axPos val="b"/>
        <c:numFmt formatCode="General" sourceLinked="1"/>
        <c:tickLblPos val="nextTo"/>
        <c:crossAx val="109191936"/>
        <c:crosses val="autoZero"/>
        <c:auto val="1"/>
        <c:lblAlgn val="ctr"/>
        <c:lblOffset val="100"/>
      </c:catAx>
      <c:valAx>
        <c:axId val="109191936"/>
        <c:scaling>
          <c:orientation val="minMax"/>
        </c:scaling>
        <c:axPos val="l"/>
        <c:majorGridlines/>
        <c:numFmt formatCode="General" sourceLinked="1"/>
        <c:tickLblPos val="nextTo"/>
        <c:crossAx val="10910003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stacked"/>
        <c:ser>
          <c:idx val="0"/>
          <c:order val="0"/>
          <c:tx>
            <c:strRef>
              <c:f>Sheet1!$B$1</c:f>
              <c:strCache>
                <c:ptCount val="1"/>
                <c:pt idx="0">
                  <c:v>cong_A</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ser>
        <c:ser>
          <c:idx val="1"/>
          <c:order val="1"/>
          <c:tx>
            <c:strRef>
              <c:f>Sheet1!$C$1</c:f>
              <c:strCache>
                <c:ptCount val="1"/>
                <c:pt idx="0">
                  <c:v>cong_B</c:v>
                </c:pt>
              </c:strCache>
            </c:strRef>
          </c:tx>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10.850000000000001</c:v>
                </c:pt>
                <c:pt idx="4">
                  <c:v>7.89</c:v>
                </c:pt>
                <c:pt idx="5">
                  <c:v>15.9</c:v>
                </c:pt>
                <c:pt idx="6">
                  <c:v>21</c:v>
                </c:pt>
                <c:pt idx="7">
                  <c:v>9.67</c:v>
                </c:pt>
                <c:pt idx="8">
                  <c:v>11.17</c:v>
                </c:pt>
                <c:pt idx="9">
                  <c:v>11.02</c:v>
                </c:pt>
                <c:pt idx="10">
                  <c:v>20.979999999999997</c:v>
                </c:pt>
                <c:pt idx="11">
                  <c:v>24.9</c:v>
                </c:pt>
              </c:numCache>
            </c:numRef>
          </c:val>
        </c:ser>
        <c:overlap val="100"/>
        <c:axId val="109358080"/>
        <c:axId val="109370368"/>
      </c:barChart>
      <c:catAx>
        <c:axId val="109358080"/>
        <c:scaling>
          <c:orientation val="minMax"/>
        </c:scaling>
        <c:axPos val="b"/>
        <c:tickLblPos val="nextTo"/>
        <c:crossAx val="109370368"/>
        <c:crosses val="autoZero"/>
        <c:auto val="1"/>
        <c:lblAlgn val="ctr"/>
        <c:lblOffset val="100"/>
      </c:catAx>
      <c:valAx>
        <c:axId val="109370368"/>
        <c:scaling>
          <c:orientation val="minMax"/>
        </c:scaling>
        <c:axPos val="l"/>
        <c:majorGridlines/>
        <c:numFmt formatCode="General" sourceLinked="1"/>
        <c:tickLblPos val="nextTo"/>
        <c:crossAx val="109358080"/>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726B"/>
    <w:rsid w:val="0051726B"/>
    <w:rsid w:val="009E7176"/>
    <w:rsid w:val="00BF7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3710F-92D0-4460-A10E-39EF92D9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25</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32</cp:revision>
  <cp:lastPrinted>2017-10-21T23:56:00Z</cp:lastPrinted>
  <dcterms:created xsi:type="dcterms:W3CDTF">2017-10-20T16:45:00Z</dcterms:created>
  <dcterms:modified xsi:type="dcterms:W3CDTF">2017-10-23T00:09:00Z</dcterms:modified>
</cp:coreProperties>
</file>