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Terms of Use</w:t>
      </w:r>
    </w:p>
    <w:p>
      <w:pPr>
        <w:spacing w:after="60"/>
        <w:jc w:val="center"/>
      </w:pPr>
      <w:r>
        <w:rPr>
          <w:rFonts w:ascii="Arial" w:cs="Arial" w:eastAsia="Arial" w:hAnsi="Arial"/>
          <w:b w:val="false"/>
          <w:bCs w:val="false"/>
          <w:sz w:val="22"/>
          <w:szCs w:val="22"/>
        </w:rPr>
        <w:t xml:space="preserve">notary.beiton.co</w:t>
      </w:r>
    </w:p>
    <w:p>
      <w:pPr>
        <w:spacing w:after="240"/>
        <w:jc w:val="center"/>
      </w:pPr>
      <w:r>
        <w:rPr>
          <w:rFonts w:ascii="Arial" w:cs="Arial" w:eastAsia="Arial" w:hAnsi="Arial"/>
          <w:b w:val="false"/>
          <w:bCs w:val="false"/>
          <w:sz w:val="20"/>
          <w:szCs w:val="20"/>
        </w:rPr>
        <w:t xml:space="preserve">Last updated: March 2026</w:t>
      </w:r>
    </w:p>
    <w:p>
      <w:pPr>
        <w:pBdr>
          <w:bottom w:val="single" w:color="CCCCCC" w:sz="1" w:space="4"/>
        </w:pBdr>
        <w:spacing w:after="120" w:before="120"/>
      </w:pPr>
    </w:p>
    <w:p>
      <w:pPr>
        <w:pStyle w:val="Heading2"/>
        <w:spacing w:after="120" w:before="240"/>
        <w:jc w:val="left"/>
      </w:pPr>
      <w:r>
        <w:rPr>
          <w:rFonts w:ascii="Arial" w:cs="Arial" w:eastAsia="Arial" w:hAnsi="Arial"/>
          <w:b/>
          <w:bCs/>
        </w:rPr>
        <w:t xml:space="preserve">1. General</w:t>
      </w:r>
    </w:p>
    <w:p>
      <w:pPr>
        <w:jc w:val="left"/>
      </w:pPr>
      <w:r>
        <w:rPr>
          <w:rFonts w:ascii="Arial" w:cs="Arial" w:eastAsia="Arial" w:hAnsi="Arial"/>
          <w:b w:val="false"/>
          <w:bCs w:val="false"/>
          <w:sz w:val="24"/>
          <w:szCs w:val="24"/>
        </w:rPr>
        <w:t xml:space="preserve">Welcome to notary.beiton.co (the "Website"), operated by BEITON &amp; Co, Law Firm (the "Firm"). Use of the Website constitutes acceptance of these terms. If you do not agree, please refrain from using the Website.</w:t>
      </w:r>
    </w:p>
    <w:p>
      <w:pPr>
        <w:pStyle w:val="Heading2"/>
        <w:spacing w:after="120" w:before="240"/>
        <w:jc w:val="left"/>
      </w:pPr>
      <w:r>
        <w:rPr>
          <w:rFonts w:ascii="Arial" w:cs="Arial" w:eastAsia="Arial" w:hAnsi="Arial"/>
          <w:b/>
          <w:bCs/>
        </w:rPr>
        <w:t xml:space="preserve">2. Nature of the Website and Services</w:t>
      </w:r>
    </w:p>
    <w:p>
      <w:pPr>
        <w:jc w:val="left"/>
      </w:pPr>
      <w:r>
        <w:rPr>
          <w:rFonts w:ascii="Arial" w:cs="Arial" w:eastAsia="Arial" w:hAnsi="Arial"/>
          <w:b w:val="false"/>
          <w:bCs w:val="false"/>
          <w:sz w:val="24"/>
          <w:szCs w:val="24"/>
        </w:rPr>
        <w:t xml:space="preserve">The Website provides information about notary services offered by the Firm, including a pricing calculator based on the Notaries Regulations (Service Fees), 1978, information on common use cases, a chat tool for initial inquiries, and order tracking.</w:t>
      </w:r>
    </w:p>
    <w:p>
      <w:pPr>
        <w:spacing w:after="0"/>
      </w:pPr>
      <w:r>
        <w:rPr>
          <w:rFonts w:ascii="Arial" w:cs="Arial" w:eastAsia="Arial" w:hAnsi="Arial"/>
          <w:sz w:val="24"/>
          <w:szCs w:val="24"/>
        </w:rPr>
        <w:t xml:space="preserve"/>
      </w:r>
    </w:p>
    <w:p>
      <w:pPr>
        <w:jc w:val="left"/>
      </w:pPr>
      <w:r>
        <w:rPr>
          <w:rFonts w:ascii="Arial" w:cs="Arial" w:eastAsia="Arial" w:hAnsi="Arial"/>
          <w:b w:val="false"/>
          <w:bCs w:val="false"/>
          <w:sz w:val="24"/>
          <w:szCs w:val="24"/>
        </w:rPr>
        <w:t xml:space="preserve">The information on the Website is general only and does not constitute legal advice, an opinion, or a substitute for individual legal counsel. An attorney-client relationship is created only upon signing a fee agreement.</w:t>
      </w:r>
    </w:p>
    <w:p>
      <w:pPr>
        <w:pStyle w:val="Heading2"/>
        <w:spacing w:after="120" w:before="240"/>
        <w:jc w:val="left"/>
      </w:pPr>
      <w:r>
        <w:rPr>
          <w:rFonts w:ascii="Arial" w:cs="Arial" w:eastAsia="Arial" w:hAnsi="Arial"/>
          <w:b/>
          <w:bCs/>
        </w:rPr>
        <w:t xml:space="preserve">3. Service Providers on Behalf of the Firm</w:t>
      </w:r>
    </w:p>
    <w:p>
      <w:pPr>
        <w:jc w:val="left"/>
      </w:pPr>
      <w:r>
        <w:rPr>
          <w:rFonts w:ascii="Arial" w:cs="Arial" w:eastAsia="Arial" w:hAnsi="Arial"/>
          <w:b w:val="false"/>
          <w:bCs w:val="false"/>
          <w:sz w:val="24"/>
          <w:szCs w:val="24"/>
        </w:rPr>
        <w:t xml:space="preserve">Notary services offered through the Website are provided by the Firm and/or by licensed notaries acting on its behalf, according to document language and the nature of the service required. Courier and document collection services may be performed by external couriers acting on behalf of the Firm. All service providers are bound by professional confidentiality.</w:t>
      </w:r>
    </w:p>
    <w:p>
      <w:pPr>
        <w:pStyle w:val="Heading2"/>
        <w:spacing w:after="120" w:before="240"/>
        <w:jc w:val="left"/>
      </w:pPr>
      <w:r>
        <w:rPr>
          <w:rFonts w:ascii="Arial" w:cs="Arial" w:eastAsia="Arial" w:hAnsi="Arial"/>
          <w:b/>
          <w:bCs/>
        </w:rPr>
        <w:t xml:space="preserve">4. Pricing Calculator</w:t>
      </w:r>
    </w:p>
    <w:p>
      <w:pPr>
        <w:jc w:val="left"/>
      </w:pPr>
      <w:r>
        <w:rPr>
          <w:rFonts w:ascii="Arial" w:cs="Arial" w:eastAsia="Arial" w:hAnsi="Arial"/>
          <w:b w:val="false"/>
          <w:bCs w:val="false"/>
          <w:sz w:val="24"/>
          <w:szCs w:val="24"/>
        </w:rPr>
        <w:t xml:space="preserve">The calculator displayed on the Website is based on the Notaries Regulations (Service Fees), 1978, as updated for 2026. Fees are fixed by law and uniform for all notaries in Israel. The Firm is not responsible for fee changes that take effect after the Website is updated. Please verify current fees with the Firm.</w:t>
      </w:r>
    </w:p>
    <w:p>
      <w:pPr>
        <w:pStyle w:val="Heading2"/>
        <w:spacing w:after="120" w:before="240"/>
        <w:jc w:val="left"/>
      </w:pPr>
      <w:r>
        <w:rPr>
          <w:rFonts w:ascii="Arial" w:cs="Arial" w:eastAsia="Arial" w:hAnsi="Arial"/>
          <w:b/>
          <w:bCs/>
        </w:rPr>
        <w:t xml:space="preserve">5. Chat and Inquiries</w:t>
      </w:r>
    </w:p>
    <w:p>
      <w:pPr>
        <w:jc w:val="left"/>
      </w:pPr>
      <w:r>
        <w:rPr>
          <w:rFonts w:ascii="Arial" w:cs="Arial" w:eastAsia="Arial" w:hAnsi="Arial"/>
          <w:b w:val="false"/>
          <w:bCs w:val="false"/>
          <w:sz w:val="24"/>
          <w:szCs w:val="24"/>
        </w:rPr>
        <w:t xml:space="preserve">The Website's chat service is powered by artificial intelligence and is intended to provide preliminary information only. Chat responses do not constitute legal advice and do not create an attorney-client relationship. Details provided in the chat will be used solely for contacting you and processing your inquiry.</w:t>
      </w:r>
    </w:p>
    <w:p>
      <w:pPr>
        <w:pStyle w:val="Heading2"/>
        <w:spacing w:after="120" w:before="240"/>
        <w:jc w:val="left"/>
      </w:pPr>
      <w:r>
        <w:rPr>
          <w:rFonts w:ascii="Arial" w:cs="Arial" w:eastAsia="Arial" w:hAnsi="Arial"/>
          <w:b/>
          <w:bCs/>
        </w:rPr>
        <w:t xml:space="preserve">6. Intellectual Property</w:t>
      </w:r>
    </w:p>
    <w:p>
      <w:pPr>
        <w:jc w:val="left"/>
      </w:pPr>
      <w:r>
        <w:rPr>
          <w:rFonts w:ascii="Arial" w:cs="Arial" w:eastAsia="Arial" w:hAnsi="Arial"/>
          <w:b w:val="false"/>
          <w:bCs w:val="false"/>
          <w:sz w:val="24"/>
          <w:szCs w:val="24"/>
        </w:rPr>
        <w:t xml:space="preserve">All content on the Website, including text, design, logo, icons, and source code, is the property of the Firm and protected by copyright under the Copyright Act, 2007. No copying, reproduction, distribution, or commercial use of the content is permitted without written consent from the Firm.</w:t>
      </w:r>
    </w:p>
    <w:p>
      <w:pPr>
        <w:pStyle w:val="Heading2"/>
        <w:spacing w:after="120" w:before="240"/>
        <w:jc w:val="left"/>
      </w:pPr>
      <w:r>
        <w:rPr>
          <w:rFonts w:ascii="Arial" w:cs="Arial" w:eastAsia="Arial" w:hAnsi="Arial"/>
          <w:b/>
          <w:bCs/>
        </w:rPr>
        <w:t xml:space="preserve">7. Limitation of Liability</w:t>
      </w:r>
    </w:p>
    <w:p>
      <w:pPr>
        <w:jc w:val="left"/>
      </w:pPr>
      <w:r>
        <w:rPr>
          <w:rFonts w:ascii="Arial" w:cs="Arial" w:eastAsia="Arial" w:hAnsi="Arial"/>
          <w:b w:val="false"/>
          <w:bCs w:val="false"/>
          <w:sz w:val="24"/>
          <w:szCs w:val="24"/>
        </w:rPr>
        <w:t xml:space="preserve">The Firm shall not be liable for any direct or indirect damage resulting from use of the Website or reliance on the information presented therein, including errors, omissions, or failure to update. The Website is provided on an AS IS basis. The Firm does not guarantee continuous availability of the Website.</w:t>
      </w:r>
    </w:p>
    <w:p>
      <w:pPr>
        <w:pStyle w:val="Heading2"/>
        <w:spacing w:after="120" w:before="240"/>
        <w:jc w:val="left"/>
      </w:pPr>
      <w:r>
        <w:rPr>
          <w:rFonts w:ascii="Arial" w:cs="Arial" w:eastAsia="Arial" w:hAnsi="Arial"/>
          <w:b/>
          <w:bCs/>
        </w:rPr>
        <w:t xml:space="preserve">8. External Links</w:t>
      </w:r>
    </w:p>
    <w:p>
      <w:pPr>
        <w:jc w:val="left"/>
      </w:pPr>
      <w:r>
        <w:rPr>
          <w:rFonts w:ascii="Arial" w:cs="Arial" w:eastAsia="Arial" w:hAnsi="Arial"/>
          <w:b w:val="false"/>
          <w:bCs w:val="false"/>
          <w:sz w:val="24"/>
          <w:szCs w:val="24"/>
        </w:rPr>
        <w:t xml:space="preserve">The Website may contain links to external websites. The Firm is not responsible for their content, privacy policies, or any damage arising from their use.</w:t>
      </w:r>
    </w:p>
    <w:p>
      <w:pPr>
        <w:pStyle w:val="Heading2"/>
        <w:spacing w:after="120" w:before="240"/>
        <w:jc w:val="left"/>
      </w:pPr>
      <w:r>
        <w:rPr>
          <w:rFonts w:ascii="Arial" w:cs="Arial" w:eastAsia="Arial" w:hAnsi="Arial"/>
          <w:b/>
          <w:bCs/>
        </w:rPr>
        <w:t xml:space="preserve">9. Amendments</w:t>
      </w:r>
    </w:p>
    <w:p>
      <w:pPr>
        <w:jc w:val="left"/>
      </w:pPr>
      <w:r>
        <w:rPr>
          <w:rFonts w:ascii="Arial" w:cs="Arial" w:eastAsia="Arial" w:hAnsi="Arial"/>
          <w:b w:val="false"/>
          <w:bCs w:val="false"/>
          <w:sz w:val="24"/>
          <w:szCs w:val="24"/>
        </w:rPr>
        <w:t xml:space="preserve">The Firm may update these terms from time to time. Continued use of the Website after an update constitutes acceptance of the updated terms. The date of the last update is noted at the top of this document.</w:t>
      </w:r>
    </w:p>
    <w:p>
      <w:pPr>
        <w:pStyle w:val="Heading2"/>
        <w:spacing w:after="120" w:before="240"/>
        <w:jc w:val="left"/>
      </w:pPr>
      <w:r>
        <w:rPr>
          <w:rFonts w:ascii="Arial" w:cs="Arial" w:eastAsia="Arial" w:hAnsi="Arial"/>
          <w:b/>
          <w:bCs/>
        </w:rPr>
        <w:t xml:space="preserve">10. Governing Law and Jurisdiction</w:t>
      </w:r>
    </w:p>
    <w:p>
      <w:pPr>
        <w:jc w:val="left"/>
      </w:pPr>
      <w:r>
        <w:rPr>
          <w:rFonts w:ascii="Arial" w:cs="Arial" w:eastAsia="Arial" w:hAnsi="Arial"/>
          <w:b w:val="false"/>
          <w:bCs w:val="false"/>
          <w:sz w:val="24"/>
          <w:szCs w:val="24"/>
        </w:rPr>
        <w:t xml:space="preserve">These Terms of Use shall be governed exclusively by the laws of the State of Israel. Exclusive jurisdiction for any dispute relating to the Website is vested in the competent courts of the Tel Aviv-Jaffa district.</w:t>
      </w:r>
    </w:p>
    <w:p>
      <w:pPr>
        <w:pStyle w:val="Heading2"/>
        <w:spacing w:after="120" w:before="240"/>
        <w:jc w:val="left"/>
      </w:pPr>
      <w:r>
        <w:rPr>
          <w:rFonts w:ascii="Arial" w:cs="Arial" w:eastAsia="Arial" w:hAnsi="Arial"/>
          <w:b/>
          <w:bCs/>
        </w:rPr>
        <w:t xml:space="preserve">11. Contact</w:t>
      </w:r>
    </w:p>
    <w:p>
      <w:pPr>
        <w:jc w:val="left"/>
      </w:pPr>
      <w:r>
        <w:rPr>
          <w:rFonts w:ascii="Arial" w:cs="Arial" w:eastAsia="Arial" w:hAnsi="Arial"/>
          <w:b w:val="false"/>
          <w:bCs w:val="false"/>
          <w:sz w:val="24"/>
          <w:szCs w:val="24"/>
        </w:rPr>
        <w:t xml:space="preserve">For questions regarding these Terms of Use, please contact the Firm at: office@beiton.co</w:t>
      </w:r>
    </w:p>
    <w:p>
      <w:pPr>
        <w:spacing w:after="0"/>
      </w:pPr>
      <w:r>
        <w:rPr>
          <w:rFonts w:ascii="Arial" w:cs="Arial" w:eastAsia="Arial" w:hAnsi="Arial"/>
          <w:sz w:val="24"/>
          <w:szCs w:val="24"/>
        </w:rPr>
        <w:t xml:space="preserve"/>
      </w:r>
    </w:p>
    <w:p>
      <w:pPr>
        <w:pBdr>
          <w:bottom w:val="single" w:color="CCCCCC" w:sz="1" w:space="4"/>
        </w:pBdr>
        <w:spacing w:after="120" w:before="120"/>
      </w:pPr>
    </w:p>
    <w:p>
      <w:pPr>
        <w:jc w:val="center"/>
      </w:pPr>
      <w:r>
        <w:rPr>
          <w:rFonts w:ascii="Arial" w:cs="Arial" w:eastAsia="Arial" w:hAnsi="Arial"/>
          <w:b w:val="false"/>
          <w:bCs w:val="false"/>
          <w:sz w:val="20"/>
          <w:szCs w:val="20"/>
        </w:rPr>
        <w:t xml:space="preserve">© 2026 BEITON &amp; Co —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2026-03-30T22:24:39.594Z</dcterms:created>
  <dcterms:modified xsi:type="dcterms:W3CDTF">2026-03-30T22:24:39.594Z</dcterms:modified>
</cp:coreProperties>
</file>

<file path=docProps/custom.xml><?xml version="1.0" encoding="utf-8"?>
<Properties xmlns="http://schemas.openxmlformats.org/officeDocument/2006/custom-properties" xmlns:vt="http://schemas.openxmlformats.org/officeDocument/2006/docPropsVTypes"/>
</file>