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center"/>
      </w:pPr>
      <w:r>
        <w:rPr>
          <w:rFonts w:ascii="Arial" w:cs="David" w:eastAsia="David" w:hAnsi="Arial"/>
          <w:b/>
          <w:bCs/>
          <w:sz w:val="36"/>
          <w:szCs w:val="36"/>
          <w:rtl/>
        </w:rPr>
        <w:t xml:space="preserve">תנאי שימוש</w:t>
      </w:r>
    </w:p>
    <w:p>
      <w:pPr>
        <w:bidi/>
        <w:spacing w:after="60"/>
        <w:jc w:val="center"/>
      </w:pPr>
      <w:r>
        <w:rPr>
          <w:rFonts w:ascii="Arial" w:cs="David" w:eastAsia="David" w:hAnsi="Arial"/>
          <w:b w:val="false"/>
          <w:bCs w:val="false"/>
          <w:sz w:val="22"/>
          <w:szCs w:val="22"/>
          <w:rtl/>
        </w:rPr>
        <w:t xml:space="preserve">אתר notary.beiton.co</w:t>
      </w:r>
    </w:p>
    <w:p>
      <w:pPr>
        <w:bidi/>
        <w:spacing w:after="240"/>
        <w:jc w:val="center"/>
      </w:pPr>
      <w:r>
        <w:rPr>
          <w:rFonts w:ascii="Arial" w:cs="David" w:eastAsia="David" w:hAnsi="Arial"/>
          <w:b w:val="false"/>
          <w:bCs w:val="false"/>
          <w:sz w:val="20"/>
          <w:szCs w:val="20"/>
          <w:rtl/>
        </w:rPr>
        <w:t xml:space="preserve">עדכון אחרון: מרץ 2026</w:t>
      </w:r>
    </w:p>
    <w:p>
      <w:pPr>
        <w:pBdr>
          <w:bottom w:val="single" w:color="CCCCCC" w:sz="1" w:space="4"/>
        </w:pBdr>
        <w:spacing w:after="120" w:before="120"/>
      </w:pPr>
    </w:p>
    <w:p>
      <w:pPr>
        <w:pStyle w:val="Heading2"/>
        <w:bidi/>
        <w:spacing w:after="120" w:before="240"/>
        <w:jc w:val="right"/>
      </w:pPr>
      <w:r>
        <w:rPr>
          <w:rFonts w:ascii="Arial" w:cs="David" w:eastAsia="David" w:hAnsi="Arial"/>
          <w:b/>
          <w:bCs/>
          <w:rtl/>
        </w:rPr>
        <w:t xml:space="preserve">1. כללי</w:t>
      </w:r>
    </w:p>
    <w:p>
      <w:pPr>
        <w:bidi/>
        <w:jc w:val="right"/>
      </w:pPr>
      <w:r>
        <w:rPr>
          <w:rFonts w:ascii="Arial" w:cs="David" w:eastAsia="David" w:hAnsi="Arial"/>
          <w:b w:val="false"/>
          <w:bCs w:val="false"/>
          <w:sz w:val="24"/>
          <w:szCs w:val="24"/>
          <w:rtl/>
        </w:rPr>
        <w:t xml:space="preserve">ברוכים הבאים לאתר notary.beiton.co (להלן: "האתר"), המופעל על ידי משרד עורכי דין BEITON &amp; Co (להלן: "המשרד"). השימוש באתר מהווה הסכמה לתנאים המפורטים להלן. אם אינך מסכים/ה לתנאים אלה, נא להימנע משימוש באתר.</w:t>
      </w:r>
    </w:p>
    <w:p>
      <w:pPr>
        <w:spacing w:after="0"/>
      </w:pPr>
      <w:r>
        <w:rPr>
          <w:rFonts w:cs="David"/>
          <w:sz w:val="24"/>
          <w:szCs w:val="24"/>
        </w:rPr>
        <w:t xml:space="preserve"/>
      </w:r>
    </w:p>
    <w:p>
      <w:pPr>
        <w:bidi/>
        <w:jc w:val="right"/>
      </w:pPr>
      <w:r>
        <w:rPr>
          <w:rFonts w:ascii="Arial" w:cs="David" w:eastAsia="David" w:hAnsi="Arial"/>
          <w:b w:val="false"/>
          <w:bCs w:val="false"/>
          <w:sz w:val="24"/>
          <w:szCs w:val="24"/>
          <w:rtl/>
        </w:rPr>
        <w:t xml:space="preserve">תנאי שימוש אלה מנוסחים בלשון זכר לצורכי נוחות בלבד, אולם הם מיועדים לכל אדם ללא הבדלי מגדר.</w:t>
      </w:r>
    </w:p>
    <w:p>
      <w:pPr>
        <w:pStyle w:val="Heading2"/>
        <w:bidi/>
        <w:spacing w:after="120" w:before="240"/>
        <w:jc w:val="right"/>
      </w:pPr>
      <w:r>
        <w:rPr>
          <w:rFonts w:ascii="Arial" w:cs="David" w:eastAsia="David" w:hAnsi="Arial"/>
          <w:b/>
          <w:bCs/>
          <w:rtl/>
        </w:rPr>
        <w:t xml:space="preserve">2. מהות האתר והשירותים</w:t>
      </w:r>
    </w:p>
    <w:p>
      <w:pPr>
        <w:bidi/>
        <w:jc w:val="right"/>
      </w:pPr>
      <w:r>
        <w:rPr>
          <w:rFonts w:ascii="Arial" w:cs="David" w:eastAsia="David" w:hAnsi="Arial"/>
          <w:b w:val="false"/>
          <w:bCs w:val="false"/>
          <w:sz w:val="24"/>
          <w:szCs w:val="24"/>
          <w:rtl/>
        </w:rPr>
        <w:t xml:space="preserve">האתר מספק מידע על שירותי נוטריון הניתנים על ידי המשרד, לרבות מחשבון תעריפים המבוסס על תקנות הנוטריונים (שכר שירותים), תשל"ט-1978, מידע על מקרי שימוש נפוצים, כלי צ'אט לפניות ראשוניות ומעקב הזמנות.</w:t>
      </w:r>
    </w:p>
    <w:p>
      <w:pPr>
        <w:spacing w:after="0"/>
      </w:pPr>
      <w:r>
        <w:rPr>
          <w:rFonts w:cs="David"/>
          <w:sz w:val="24"/>
          <w:szCs w:val="24"/>
        </w:rPr>
        <w:t xml:space="preserve"/>
      </w:r>
    </w:p>
    <w:p>
      <w:pPr>
        <w:bidi/>
        <w:jc w:val="right"/>
      </w:pPr>
      <w:r>
        <w:rPr>
          <w:rFonts w:ascii="Arial" w:cs="David" w:eastAsia="David" w:hAnsi="Arial"/>
          <w:b w:val="false"/>
          <w:bCs w:val="false"/>
          <w:sz w:val="24"/>
          <w:szCs w:val="24"/>
          <w:rtl/>
        </w:rPr>
        <w:t xml:space="preserve">המידע באתר הינו מידע כללי בלבד ואינו מהווה ייעוץ משפטי, חוות דעת או תחליף לייעוץ משפטי פרטני. יחסי עורך דין-לקוח נוצרים אך ורק לאחר חתימה על הסכם שכר טרחה.</w:t>
      </w:r>
    </w:p>
    <w:p>
      <w:pPr>
        <w:pStyle w:val="Heading2"/>
        <w:bidi/>
        <w:spacing w:after="120" w:before="240"/>
        <w:jc w:val="right"/>
      </w:pPr>
      <w:r>
        <w:rPr>
          <w:rFonts w:ascii="Arial" w:cs="David" w:eastAsia="David" w:hAnsi="Arial"/>
          <w:b/>
          <w:bCs/>
          <w:rtl/>
        </w:rPr>
        <w:t xml:space="preserve">3. נותני שירות מטעם המשרד</w:t>
      </w:r>
    </w:p>
    <w:p>
      <w:pPr>
        <w:bidi/>
        <w:jc w:val="right"/>
      </w:pPr>
      <w:r>
        <w:rPr>
          <w:rFonts w:ascii="Arial" w:cs="David" w:eastAsia="David" w:hAnsi="Arial"/>
          <w:b w:val="false"/>
          <w:bCs w:val="false"/>
          <w:sz w:val="24"/>
          <w:szCs w:val="24"/>
          <w:rtl/>
        </w:rPr>
        <w:t xml:space="preserve">שירותי הנוטריון המוצעים באמצעות האתר ניתנים על ידי המשרד ו/או על ידי נוטריונים מוסמכים הפועלים מטעמו, בהתאם לשפת המסמך ולאופי השירות הנדרש. בנוסף, שירותי שליחות ואיסוף מסמכים עשויים להתבצע באמצעות שליחים חיצוניים הפועלים מטעם המשרד. כל נותני השירות מחויבים לסודיות מקצועית.</w:t>
      </w:r>
    </w:p>
    <w:p>
      <w:pPr>
        <w:pStyle w:val="Heading2"/>
        <w:bidi/>
        <w:spacing w:after="120" w:before="240"/>
        <w:jc w:val="right"/>
      </w:pPr>
      <w:r>
        <w:rPr>
          <w:rFonts w:ascii="Arial" w:cs="David" w:eastAsia="David" w:hAnsi="Arial"/>
          <w:b/>
          <w:bCs/>
          <w:rtl/>
        </w:rPr>
        <w:t xml:space="preserve">4. מחשבון מחירים</w:t>
      </w:r>
    </w:p>
    <w:p>
      <w:pPr>
        <w:bidi/>
        <w:jc w:val="right"/>
      </w:pPr>
      <w:r>
        <w:rPr>
          <w:rFonts w:ascii="Arial" w:cs="David" w:eastAsia="David" w:hAnsi="Arial"/>
          <w:b w:val="false"/>
          <w:bCs w:val="false"/>
          <w:sz w:val="24"/>
          <w:szCs w:val="24"/>
          <w:rtl/>
        </w:rPr>
        <w:t xml:space="preserve">המחשבון המוצג באתר מבוסס על תקנות הנוטריונים (שכר שירותים), תשל"ט-1978 כפי שעודכנו לשנת 2026. התעריפים קבועים בחוק ואחידים לכל הנוטריונים בישראל. המשרד אינו אחראי לשינויים בתעריפים שייכנסו לתוקף לאחר עדכון האתר. יש לוודא את התעריף העדכני מול המשרד.</w:t>
      </w:r>
    </w:p>
    <w:p>
      <w:pPr>
        <w:pStyle w:val="Heading2"/>
        <w:bidi/>
        <w:spacing w:after="120" w:before="240"/>
        <w:jc w:val="right"/>
      </w:pPr>
      <w:r>
        <w:rPr>
          <w:rFonts w:ascii="Arial" w:cs="David" w:eastAsia="David" w:hAnsi="Arial"/>
          <w:b/>
          <w:bCs/>
          <w:rtl/>
        </w:rPr>
        <w:t xml:space="preserve">5. צ'אט ופניות</w:t>
      </w:r>
    </w:p>
    <w:p>
      <w:pPr>
        <w:bidi/>
        <w:jc w:val="right"/>
      </w:pPr>
      <w:r>
        <w:rPr>
          <w:rFonts w:ascii="Arial" w:cs="David" w:eastAsia="David" w:hAnsi="Arial"/>
          <w:b w:val="false"/>
          <w:bCs w:val="false"/>
          <w:sz w:val="24"/>
          <w:szCs w:val="24"/>
          <w:rtl/>
        </w:rPr>
        <w:t xml:space="preserve">שירות הצ'אט באתר מופעל באמצעות בינה מלאכותית ונועד לסייע במתן מידע ראשוני בלבד. תשובות הצ'אט אינן מהוות ייעוץ משפטי ואינן יוצרות יחסי עורך דין-לקוח. פרטים שיימסרו בצ'אט ישמשו ליצירת קשר ולטיפול בפנייה בלבד.</w:t>
      </w:r>
    </w:p>
    <w:p>
      <w:pPr>
        <w:pStyle w:val="Heading2"/>
        <w:bidi/>
        <w:spacing w:after="120" w:before="240"/>
        <w:jc w:val="right"/>
      </w:pPr>
      <w:r>
        <w:rPr>
          <w:rFonts w:ascii="Arial" w:cs="David" w:eastAsia="David" w:hAnsi="Arial"/>
          <w:b/>
          <w:bCs/>
          <w:rtl/>
        </w:rPr>
        <w:t xml:space="preserve">6. קניין רוחני</w:t>
      </w:r>
    </w:p>
    <w:p>
      <w:pPr>
        <w:bidi/>
        <w:jc w:val="right"/>
      </w:pPr>
      <w:r>
        <w:rPr>
          <w:rFonts w:ascii="Arial" w:cs="David" w:eastAsia="David" w:hAnsi="Arial"/>
          <w:b w:val="false"/>
          <w:bCs w:val="false"/>
          <w:sz w:val="24"/>
          <w:szCs w:val="24"/>
          <w:rtl/>
        </w:rPr>
        <w:t xml:space="preserve">כל התכנים באתר, לרבות טקסטים, עיצוב, לוגו, אייקונים וקוד מקור, הם קניינו של המשרד ומוגנים בזכויות יוצרים לפי חוק זכות יוצרים, תשס"ח-2007. אין להעתיק, לשכפל, להפיץ או לעשות שימוש מסחרי בתכנים ללא אישור בכתב מהמשרד.</w:t>
      </w:r>
    </w:p>
    <w:p>
      <w:pPr>
        <w:pStyle w:val="Heading2"/>
        <w:bidi/>
        <w:spacing w:after="120" w:before="240"/>
        <w:jc w:val="right"/>
      </w:pPr>
      <w:r>
        <w:rPr>
          <w:rFonts w:ascii="Arial" w:cs="David" w:eastAsia="David" w:hAnsi="Arial"/>
          <w:b/>
          <w:bCs/>
          <w:rtl/>
        </w:rPr>
        <w:t xml:space="preserve">7. הגבלת אחריות</w:t>
      </w:r>
    </w:p>
    <w:p>
      <w:pPr>
        <w:bidi/>
        <w:jc w:val="right"/>
      </w:pPr>
      <w:r>
        <w:rPr>
          <w:rFonts w:ascii="Arial" w:cs="David" w:eastAsia="David" w:hAnsi="Arial"/>
          <w:b w:val="false"/>
          <w:bCs w:val="false"/>
          <w:sz w:val="24"/>
          <w:szCs w:val="24"/>
          <w:rtl/>
        </w:rPr>
        <w:t xml:space="preserve">המשרד אינו אחראי לנזק ישיר או עקיף שייגרם כתוצאה משימוש באתר או מהסתמכות על המידע המוצג בו, לרבות טעויות, השמטות או אי-עדכון. האתר מסופק במצבו כמות שהוא (AS IS). המשרד אינו מתחייב לזמינות רציפה של האתר.</w:t>
      </w:r>
    </w:p>
    <w:p>
      <w:pPr>
        <w:pStyle w:val="Heading2"/>
        <w:bidi/>
        <w:spacing w:after="120" w:before="240"/>
        <w:jc w:val="right"/>
      </w:pPr>
      <w:r>
        <w:rPr>
          <w:rFonts w:ascii="Arial" w:cs="David" w:eastAsia="David" w:hAnsi="Arial"/>
          <w:b/>
          <w:bCs/>
          <w:rtl/>
        </w:rPr>
        <w:t xml:space="preserve">8. קישורים חיצוניים</w:t>
      </w:r>
    </w:p>
    <w:p>
      <w:pPr>
        <w:bidi/>
        <w:jc w:val="right"/>
      </w:pPr>
      <w:r>
        <w:rPr>
          <w:rFonts w:ascii="Arial" w:cs="David" w:eastAsia="David" w:hAnsi="Arial"/>
          <w:b w:val="false"/>
          <w:bCs w:val="false"/>
          <w:sz w:val="24"/>
          <w:szCs w:val="24"/>
          <w:rtl/>
        </w:rPr>
        <w:t xml:space="preserve">האתר עשוי לכלול קישורים לאתרים חיצוניים. המשרד אינו אחראי לתוכנם, מדיניות הפרטיות שלהם או לכל נזק הנובע משימוש בהם.</w:t>
      </w:r>
    </w:p>
    <w:p>
      <w:pPr>
        <w:pStyle w:val="Heading2"/>
        <w:bidi/>
        <w:spacing w:after="120" w:before="240"/>
        <w:jc w:val="right"/>
      </w:pPr>
      <w:r>
        <w:rPr>
          <w:rFonts w:ascii="Arial" w:cs="David" w:eastAsia="David" w:hAnsi="Arial"/>
          <w:b/>
          <w:bCs/>
          <w:rtl/>
        </w:rPr>
        <w:t xml:space="preserve">9. שינויים בתנאי השימוש</w:t>
      </w:r>
    </w:p>
    <w:p>
      <w:pPr>
        <w:bidi/>
        <w:jc w:val="right"/>
      </w:pPr>
      <w:r>
        <w:rPr>
          <w:rFonts w:ascii="Arial" w:cs="David" w:eastAsia="David" w:hAnsi="Arial"/>
          <w:b w:val="false"/>
          <w:bCs w:val="false"/>
          <w:sz w:val="24"/>
          <w:szCs w:val="24"/>
          <w:rtl/>
        </w:rPr>
        <w:t xml:space="preserve">המשרד רשאי לעדכן תנאים אלה מעת לעת. המשך השימוש באתר לאחר עדכון מהווה הסכמה לתנאים המעודכנים. מועד העדכון האחרון יצוין בראש המסמך.</w:t>
      </w:r>
    </w:p>
    <w:p>
      <w:pPr>
        <w:pStyle w:val="Heading2"/>
        <w:bidi/>
        <w:spacing w:after="120" w:before="240"/>
        <w:jc w:val="right"/>
      </w:pPr>
      <w:r>
        <w:rPr>
          <w:rFonts w:ascii="Arial" w:cs="David" w:eastAsia="David" w:hAnsi="Arial"/>
          <w:b/>
          <w:bCs/>
          <w:rtl/>
        </w:rPr>
        <w:t xml:space="preserve">10. דין חל וסמכות שיפוט</w:t>
      </w:r>
    </w:p>
    <w:p>
      <w:pPr>
        <w:bidi/>
        <w:jc w:val="right"/>
      </w:pPr>
      <w:r>
        <w:rPr>
          <w:rFonts w:ascii="Arial" w:cs="David" w:eastAsia="David" w:hAnsi="Arial"/>
          <w:b w:val="false"/>
          <w:bCs w:val="false"/>
          <w:sz w:val="24"/>
          <w:szCs w:val="24"/>
          <w:rtl/>
        </w:rPr>
        <w:t xml:space="preserve">על תנאי שימוש אלה יחול הדין הישראלי בלבד. סמכות השיפוט הבלעדית בכל סכסוך הנוגע לשימוש באתר מוקנית לבתי המשפט המוסמכים במחוז תל אביב-יפו.</w:t>
      </w:r>
    </w:p>
    <w:p>
      <w:pPr>
        <w:pStyle w:val="Heading2"/>
        <w:bidi/>
        <w:spacing w:after="120" w:before="240"/>
        <w:jc w:val="right"/>
      </w:pPr>
      <w:r>
        <w:rPr>
          <w:rFonts w:ascii="Arial" w:cs="David" w:eastAsia="David" w:hAnsi="Arial"/>
          <w:b/>
          <w:bCs/>
          <w:rtl/>
        </w:rPr>
        <w:t xml:space="preserve">11. יצירת קשר</w:t>
      </w:r>
    </w:p>
    <w:p>
      <w:pPr>
        <w:bidi/>
        <w:jc w:val="right"/>
      </w:pPr>
      <w:r>
        <w:rPr>
          <w:rFonts w:ascii="Arial" w:cs="David" w:eastAsia="David" w:hAnsi="Arial"/>
          <w:b w:val="false"/>
          <w:bCs w:val="false"/>
          <w:sz w:val="24"/>
          <w:szCs w:val="24"/>
          <w:rtl/>
        </w:rPr>
        <w:t xml:space="preserve">לשאלות בנוגע לתנאי שימוש אלה ניתן לפנות למשרד: </w:t>
      </w:r>
      <w:r>
        <w:rPr>
          <w:rFonts w:ascii="Arial" w:cs="Arial" w:hAnsi="Arial"/>
          <w:b w:val="false"/>
          <w:bCs w:val="false"/>
          <w:sz w:val="24"/>
          <w:szCs w:val="24"/>
          <w:rtl w:val="false"/>
        </w:rPr>
        <w:t xml:space="preserve">office@beiton.co</w:t>
      </w:r>
    </w:p>
    <w:p>
      <w:pPr>
        <w:spacing w:after="0"/>
      </w:pPr>
      <w:r>
        <w:rPr>
          <w:rFonts w:cs="David"/>
          <w:sz w:val="24"/>
          <w:szCs w:val="24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</w:p>
    <w:p>
      <w:pPr>
        <w:bidi/>
        <w:jc w:val="center"/>
      </w:pPr>
      <w:r>
        <w:rPr>
          <w:rFonts w:ascii="Arial" w:cs="Arial" w:hAnsi="Arial"/>
          <w:b w:val="false"/>
          <w:bCs w:val="false"/>
          <w:sz w:val="20"/>
          <w:szCs w:val="20"/>
          <w:rtl w:val="false"/>
        </w:rPr>
        <w:t xml:space="preserve">© 2026 BEITON &amp; Co — </w:t>
      </w:r>
      <w:r>
        <w:rPr>
          <w:rFonts w:ascii="Arial" w:cs="David" w:eastAsia="David" w:hAnsi="Arial"/>
          <w:b w:val="false"/>
          <w:bCs w:val="false"/>
          <w:sz w:val="20"/>
          <w:szCs w:val="20"/>
          <w:rtl/>
        </w:rPr>
        <w:t xml:space="preserve">כל הזכויות שמורות</w:t>
      </w:r>
    </w:p>
    <w:sectPr>
      <w:pgSz w:w="11906" w:h="16838" w:orient="portrait"/>
      <w:pgMar w:top="1440" w:right="1440" w:bottom="1440" w:left="1440" w:header="708" w:footer="708" w:gutter="0"/>
      <w:pgNumType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David" w:eastAsia="David" w:hAnsi="Arial"/>
        <w:sz w:val="24"/>
        <w:szCs w:val="24"/>
        <w:rtl/>
      </w:rPr>
    </w:rPrDefault>
    <w:pPrDefault>
      <w:pPr>
        <w:bidi/>
        <w:jc w:val="righ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/>
      <w:spacing w:after="240" w:before="240"/>
      <w:jc w:val="right"/>
      <w:outlineLvl w:val="0"/>
    </w:pPr>
    <w:rPr>
      <w:rFonts w:cs="David"/>
      <w:b/>
      <w:bCs/>
      <w:sz w:val="32"/>
      <w:szCs w:val="32"/>
      <w:rtl/>
    </w:rPr>
  </w:style>
  <w:style w:type="paragraph" w:styleId="Heading2">
    <w:name w:val="Heading 2"/>
    <w:basedOn w:val="Normal"/>
    <w:next w:val="Normal"/>
    <w:qFormat/>
    <w:pPr>
      <w:bidi/>
      <w:spacing w:after="120" w:before="180"/>
      <w:jc w:val="right"/>
      <w:outlineLvl w:val="1"/>
    </w:pPr>
    <w:rPr>
      <w:rFonts w:cs="David"/>
      <w:b/>
      <w:bCs/>
      <w:sz w:val="28"/>
      <w:szCs w:val="28"/>
      <w:rtl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2026-03-30T21:39:08.160Z</dcterms:created>
  <dcterms:modified xsi:type="dcterms:W3CDTF">2026-03-30T21:39:08.161Z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