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D3AF" w14:textId="0865F21D" w:rsidR="00706CB8" w:rsidRPr="00530B7D" w:rsidRDefault="009B243F" w:rsidP="00530B7D">
      <w:pPr>
        <w:pStyle w:val="Title"/>
        <w:jc w:val="both"/>
        <w:rPr>
          <w:rFonts w:ascii="Times New Roman" w:hAnsi="Times New Roman" w:cs="Times New Roman"/>
        </w:rPr>
      </w:pPr>
      <w:r w:rsidRPr="00530B7D">
        <w:rPr>
          <w:rFonts w:ascii="Times New Roman" w:hAnsi="Times New Roman" w:cs="Times New Roman"/>
        </w:rPr>
        <w:t>Exports and Regional Dynamics in the Labor Market: Evidence from Brazil</w:t>
      </w:r>
    </w:p>
    <w:p w14:paraId="7B0B489A" w14:textId="77777777" w:rsidR="009B243F" w:rsidRPr="00530B7D" w:rsidRDefault="009B243F" w:rsidP="00530B7D">
      <w:pPr>
        <w:jc w:val="both"/>
        <w:rPr>
          <w:rFonts w:ascii="Times New Roman" w:hAnsi="Times New Roman" w:cs="Times New Roman"/>
        </w:rPr>
      </w:pPr>
    </w:p>
    <w:p w14:paraId="7C79DA6A" w14:textId="77777777" w:rsidR="009B243F" w:rsidRPr="00530B7D" w:rsidRDefault="009B243F" w:rsidP="00530B7D">
      <w:pPr>
        <w:jc w:val="both"/>
        <w:rPr>
          <w:rFonts w:ascii="Times New Roman" w:hAnsi="Times New Roman" w:cs="Times New Roman"/>
        </w:rPr>
      </w:pPr>
    </w:p>
    <w:p w14:paraId="1748EB00" w14:textId="77777777" w:rsidR="009B243F" w:rsidRPr="00530B7D" w:rsidRDefault="009B243F" w:rsidP="00530B7D">
      <w:pPr>
        <w:jc w:val="both"/>
        <w:rPr>
          <w:rFonts w:ascii="Times New Roman" w:hAnsi="Times New Roman" w:cs="Times New Roman"/>
        </w:rPr>
      </w:pPr>
    </w:p>
    <w:p w14:paraId="45A8B180" w14:textId="77777777" w:rsidR="009B243F" w:rsidRPr="00530B7D" w:rsidRDefault="009B243F" w:rsidP="00530B7D">
      <w:pPr>
        <w:jc w:val="both"/>
        <w:rPr>
          <w:rFonts w:ascii="Times New Roman" w:hAnsi="Times New Roman" w:cs="Times New Roman"/>
        </w:rPr>
      </w:pPr>
    </w:p>
    <w:p w14:paraId="7FE7B4FA" w14:textId="77777777" w:rsidR="009B243F" w:rsidRPr="00530B7D" w:rsidRDefault="009B243F" w:rsidP="00530B7D">
      <w:pPr>
        <w:jc w:val="both"/>
        <w:rPr>
          <w:rFonts w:ascii="Times New Roman" w:hAnsi="Times New Roman" w:cs="Times New Roman"/>
        </w:rPr>
      </w:pPr>
    </w:p>
    <w:p w14:paraId="01D88963" w14:textId="24822602" w:rsidR="009B243F" w:rsidRPr="00530B7D" w:rsidRDefault="009B243F" w:rsidP="00530B7D">
      <w:pPr>
        <w:jc w:val="both"/>
        <w:rPr>
          <w:rFonts w:ascii="Times New Roman" w:hAnsi="Times New Roman" w:cs="Times New Roman"/>
          <w:b/>
          <w:bCs/>
        </w:rPr>
      </w:pPr>
      <w:r w:rsidRPr="00530B7D">
        <w:rPr>
          <w:rFonts w:ascii="Times New Roman" w:hAnsi="Times New Roman" w:cs="Times New Roman"/>
          <w:b/>
          <w:bCs/>
        </w:rPr>
        <w:t>Abstract</w:t>
      </w:r>
    </w:p>
    <w:p w14:paraId="7ACE673C" w14:textId="116B3950" w:rsidR="009B243F" w:rsidRPr="00530B7D" w:rsidRDefault="5517BBBD" w:rsidP="00530B7D">
      <w:pPr>
        <w:jc w:val="both"/>
        <w:rPr>
          <w:rFonts w:ascii="Times New Roman" w:hAnsi="Times New Roman" w:cs="Times New Roman"/>
        </w:rPr>
      </w:pPr>
      <w:r w:rsidRPr="00530B7D">
        <w:rPr>
          <w:rFonts w:ascii="Times New Roman" w:hAnsi="Times New Roman" w:cs="Times New Roman"/>
        </w:rPr>
        <w:t xml:space="preserve">This paper </w:t>
      </w:r>
      <w:r w:rsidR="00195D13" w:rsidRPr="00530B7D">
        <w:rPr>
          <w:rFonts w:ascii="Times New Roman" w:hAnsi="Times New Roman" w:cs="Times New Roman"/>
        </w:rPr>
        <w:t xml:space="preserve">studies </w:t>
      </w:r>
      <w:r w:rsidR="004855C6" w:rsidRPr="00530B7D">
        <w:rPr>
          <w:rFonts w:ascii="Times New Roman" w:hAnsi="Times New Roman" w:cs="Times New Roman"/>
        </w:rPr>
        <w:t xml:space="preserve">how foreign demand shocks </w:t>
      </w:r>
      <w:r w:rsidR="00D513BE" w:rsidRPr="00530B7D">
        <w:rPr>
          <w:rFonts w:ascii="Times New Roman" w:hAnsi="Times New Roman" w:cs="Times New Roman"/>
        </w:rPr>
        <w:t xml:space="preserve">impact labor market outcomes at the regional level by investigating the </w:t>
      </w:r>
      <w:r w:rsidR="00DB67B5" w:rsidRPr="00530B7D">
        <w:rPr>
          <w:rFonts w:ascii="Times New Roman" w:hAnsi="Times New Roman" w:cs="Times New Roman"/>
        </w:rPr>
        <w:t xml:space="preserve">case of Brazil. </w:t>
      </w:r>
      <w:r w:rsidR="00301068" w:rsidRPr="00530B7D">
        <w:rPr>
          <w:rFonts w:ascii="Times New Roman" w:hAnsi="Times New Roman" w:cs="Times New Roman"/>
        </w:rPr>
        <w:t xml:space="preserve">The case of Brazil is particularly interesting because exports </w:t>
      </w:r>
      <w:r w:rsidR="008732EC" w:rsidRPr="00530B7D">
        <w:rPr>
          <w:rFonts w:ascii="Times New Roman" w:hAnsi="Times New Roman" w:cs="Times New Roman"/>
        </w:rPr>
        <w:t>were</w:t>
      </w:r>
      <w:r w:rsidR="003F4218" w:rsidRPr="00530B7D">
        <w:rPr>
          <w:rFonts w:ascii="Times New Roman" w:hAnsi="Times New Roman" w:cs="Times New Roman"/>
        </w:rPr>
        <w:t xml:space="preserve"> at least </w:t>
      </w:r>
      <w:commentRangeStart w:id="0"/>
      <w:r w:rsidR="003F4218" w:rsidRPr="00530B7D">
        <w:rPr>
          <w:rFonts w:ascii="Times New Roman" w:hAnsi="Times New Roman" w:cs="Times New Roman"/>
        </w:rPr>
        <w:t xml:space="preserve">three times larger in 2022 compared to 1997 </w:t>
      </w:r>
      <w:commentRangeEnd w:id="0"/>
      <w:r w:rsidR="00B86051" w:rsidRPr="00530B7D">
        <w:rPr>
          <w:rStyle w:val="CommentReference"/>
          <w:rFonts w:ascii="Times New Roman" w:hAnsi="Times New Roman" w:cs="Times New Roman"/>
        </w:rPr>
        <w:commentReference w:id="0"/>
      </w:r>
      <w:r w:rsidR="003F4218" w:rsidRPr="00530B7D">
        <w:rPr>
          <w:rFonts w:ascii="Times New Roman" w:hAnsi="Times New Roman" w:cs="Times New Roman"/>
        </w:rPr>
        <w:t>and the exposu</w:t>
      </w:r>
      <w:r w:rsidR="008732EC" w:rsidRPr="00530B7D">
        <w:rPr>
          <w:rFonts w:ascii="Times New Roman" w:hAnsi="Times New Roman" w:cs="Times New Roman"/>
        </w:rPr>
        <w:t>re to foreign demand shocks is markedly heterogenous across</w:t>
      </w:r>
      <w:r w:rsidR="00B47B57" w:rsidRPr="00530B7D">
        <w:rPr>
          <w:rFonts w:ascii="Times New Roman" w:hAnsi="Times New Roman" w:cs="Times New Roman"/>
        </w:rPr>
        <w:t xml:space="preserve"> Brazilian</w:t>
      </w:r>
      <w:r w:rsidR="008732EC" w:rsidRPr="00530B7D">
        <w:rPr>
          <w:rFonts w:ascii="Times New Roman" w:hAnsi="Times New Roman" w:cs="Times New Roman"/>
        </w:rPr>
        <w:t xml:space="preserve"> </w:t>
      </w:r>
      <w:r w:rsidR="00037BE5" w:rsidRPr="00530B7D">
        <w:rPr>
          <w:rFonts w:ascii="Times New Roman" w:hAnsi="Times New Roman" w:cs="Times New Roman"/>
        </w:rPr>
        <w:t xml:space="preserve">regions and sectors. </w:t>
      </w:r>
      <w:r w:rsidR="003B1046" w:rsidRPr="00530B7D">
        <w:rPr>
          <w:rFonts w:ascii="Times New Roman" w:hAnsi="Times New Roman" w:cs="Times New Roman"/>
        </w:rPr>
        <w:t>By</w:t>
      </w:r>
      <w:r w:rsidR="00164BDB" w:rsidRPr="00530B7D">
        <w:rPr>
          <w:rFonts w:ascii="Times New Roman" w:hAnsi="Times New Roman" w:cs="Times New Roman"/>
        </w:rPr>
        <w:t xml:space="preserve"> </w:t>
      </w:r>
      <w:r w:rsidR="003B1046" w:rsidRPr="00530B7D">
        <w:rPr>
          <w:rFonts w:ascii="Times New Roman" w:hAnsi="Times New Roman" w:cs="Times New Roman"/>
        </w:rPr>
        <w:t xml:space="preserve">leveraging </w:t>
      </w:r>
      <w:r w:rsidR="00164BDB" w:rsidRPr="00530B7D">
        <w:rPr>
          <w:rFonts w:ascii="Times New Roman" w:hAnsi="Times New Roman" w:cs="Times New Roman"/>
        </w:rPr>
        <w:t>the</w:t>
      </w:r>
      <w:r w:rsidR="00624539" w:rsidRPr="00530B7D">
        <w:rPr>
          <w:rFonts w:ascii="Times New Roman" w:hAnsi="Times New Roman" w:cs="Times New Roman"/>
        </w:rPr>
        <w:t xml:space="preserve"> differential</w:t>
      </w:r>
      <w:r w:rsidR="003B1046" w:rsidRPr="00530B7D">
        <w:rPr>
          <w:rFonts w:ascii="Times New Roman" w:hAnsi="Times New Roman" w:cs="Times New Roman"/>
        </w:rPr>
        <w:t>s of</w:t>
      </w:r>
      <w:r w:rsidR="00624539" w:rsidRPr="00530B7D">
        <w:rPr>
          <w:rFonts w:ascii="Times New Roman" w:hAnsi="Times New Roman" w:cs="Times New Roman"/>
        </w:rPr>
        <w:t xml:space="preserve"> growth in global exports</w:t>
      </w:r>
      <w:r w:rsidR="003B1046" w:rsidRPr="00530B7D">
        <w:rPr>
          <w:rFonts w:ascii="Times New Roman" w:hAnsi="Times New Roman" w:cs="Times New Roman"/>
        </w:rPr>
        <w:t xml:space="preserve"> </w:t>
      </w:r>
      <w:r w:rsidR="00624539" w:rsidRPr="00530B7D">
        <w:rPr>
          <w:rFonts w:ascii="Times New Roman" w:hAnsi="Times New Roman" w:cs="Times New Roman"/>
        </w:rPr>
        <w:t>and exposure of each local labor market to different industrie</w:t>
      </w:r>
      <w:r w:rsidR="003B1046" w:rsidRPr="00530B7D">
        <w:rPr>
          <w:rFonts w:ascii="Times New Roman" w:hAnsi="Times New Roman" w:cs="Times New Roman"/>
        </w:rPr>
        <w:t>s</w:t>
      </w:r>
      <w:r w:rsidR="00624539" w:rsidRPr="00530B7D">
        <w:rPr>
          <w:rFonts w:ascii="Times New Roman" w:hAnsi="Times New Roman" w:cs="Times New Roman"/>
        </w:rPr>
        <w:t xml:space="preserve">, the paper shows that </w:t>
      </w:r>
      <w:r w:rsidR="00CA5D83" w:rsidRPr="00530B7D">
        <w:rPr>
          <w:rFonts w:ascii="Times New Roman" w:hAnsi="Times New Roman" w:cs="Times New Roman"/>
        </w:rPr>
        <w:t xml:space="preserve">a 10-percent exogenous increase in </w:t>
      </w:r>
      <w:r w:rsidR="0062452F" w:rsidRPr="00530B7D">
        <w:rPr>
          <w:rFonts w:ascii="Times New Roman" w:hAnsi="Times New Roman" w:cs="Times New Roman"/>
        </w:rPr>
        <w:t>exports boosts</w:t>
      </w:r>
      <w:r w:rsidR="0025709D" w:rsidRPr="00530B7D">
        <w:rPr>
          <w:rFonts w:ascii="Times New Roman" w:hAnsi="Times New Roman" w:cs="Times New Roman"/>
        </w:rPr>
        <w:t xml:space="preserve"> </w:t>
      </w:r>
      <w:r w:rsidR="00B77BCE" w:rsidRPr="00530B7D">
        <w:rPr>
          <w:rFonts w:ascii="Times New Roman" w:hAnsi="Times New Roman" w:cs="Times New Roman"/>
        </w:rPr>
        <w:t xml:space="preserve">formal </w:t>
      </w:r>
      <w:r w:rsidR="00CA5D83" w:rsidRPr="00530B7D">
        <w:rPr>
          <w:rFonts w:ascii="Times New Roman" w:hAnsi="Times New Roman" w:cs="Times New Roman"/>
        </w:rPr>
        <w:t xml:space="preserve">local </w:t>
      </w:r>
      <w:r w:rsidR="0025709D" w:rsidRPr="00530B7D">
        <w:rPr>
          <w:rFonts w:ascii="Times New Roman" w:hAnsi="Times New Roman" w:cs="Times New Roman"/>
        </w:rPr>
        <w:t xml:space="preserve">employment by </w:t>
      </w:r>
      <w:r w:rsidR="00CA5D83" w:rsidRPr="00530B7D">
        <w:rPr>
          <w:rFonts w:ascii="Times New Roman" w:hAnsi="Times New Roman" w:cs="Times New Roman"/>
        </w:rPr>
        <w:t>2.5 percent</w:t>
      </w:r>
      <w:r w:rsidR="004329FC" w:rsidRPr="00530B7D">
        <w:rPr>
          <w:rFonts w:ascii="Times New Roman" w:hAnsi="Times New Roman" w:cs="Times New Roman"/>
        </w:rPr>
        <w:t xml:space="preserve"> in the short run.</w:t>
      </w:r>
      <w:r w:rsidR="00A32BC0" w:rsidRPr="00530B7D">
        <w:rPr>
          <w:rFonts w:ascii="Times New Roman" w:hAnsi="Times New Roman" w:cs="Times New Roman"/>
        </w:rPr>
        <w:t xml:space="preserve"> </w:t>
      </w:r>
      <w:r w:rsidR="00FF5624" w:rsidRPr="00530B7D">
        <w:rPr>
          <w:rFonts w:ascii="Times New Roman" w:hAnsi="Times New Roman" w:cs="Times New Roman"/>
        </w:rPr>
        <w:t xml:space="preserve">Real average wages are also positively </w:t>
      </w:r>
      <w:r w:rsidR="001757DD" w:rsidRPr="00530B7D">
        <w:rPr>
          <w:rFonts w:ascii="Times New Roman" w:hAnsi="Times New Roman" w:cs="Times New Roman"/>
        </w:rPr>
        <w:t>affected by</w:t>
      </w:r>
      <w:r w:rsidR="001607DB" w:rsidRPr="00530B7D">
        <w:rPr>
          <w:rFonts w:ascii="Times New Roman" w:hAnsi="Times New Roman" w:cs="Times New Roman"/>
        </w:rPr>
        <w:t xml:space="preserve"> 1 percent </w:t>
      </w:r>
      <w:r w:rsidR="004C6EE3" w:rsidRPr="00530B7D">
        <w:rPr>
          <w:rFonts w:ascii="Times New Roman" w:hAnsi="Times New Roman" w:cs="Times New Roman"/>
        </w:rPr>
        <w:t>in the</w:t>
      </w:r>
      <w:r w:rsidR="001607DB" w:rsidRPr="00530B7D">
        <w:rPr>
          <w:rFonts w:ascii="Times New Roman" w:hAnsi="Times New Roman" w:cs="Times New Roman"/>
        </w:rPr>
        <w:t xml:space="preserve"> year </w:t>
      </w:r>
      <w:r w:rsidR="004C6EE3" w:rsidRPr="00530B7D">
        <w:rPr>
          <w:rFonts w:ascii="Times New Roman" w:hAnsi="Times New Roman" w:cs="Times New Roman"/>
        </w:rPr>
        <w:t>following</w:t>
      </w:r>
      <w:r w:rsidR="001607DB" w:rsidRPr="00530B7D">
        <w:rPr>
          <w:rFonts w:ascii="Times New Roman" w:hAnsi="Times New Roman" w:cs="Times New Roman"/>
        </w:rPr>
        <w:t xml:space="preserve"> </w:t>
      </w:r>
      <w:r w:rsidR="001757DD" w:rsidRPr="00530B7D">
        <w:rPr>
          <w:rFonts w:ascii="Times New Roman" w:hAnsi="Times New Roman" w:cs="Times New Roman"/>
        </w:rPr>
        <w:t>the shock. Effects on high</w:t>
      </w:r>
      <w:r w:rsidR="002613CB" w:rsidRPr="00530B7D">
        <w:rPr>
          <w:rFonts w:ascii="Times New Roman" w:hAnsi="Times New Roman" w:cs="Times New Roman"/>
        </w:rPr>
        <w:t>ly skilled workers are more persistent over time</w:t>
      </w:r>
      <w:r w:rsidR="008148B6" w:rsidRPr="00530B7D">
        <w:rPr>
          <w:rFonts w:ascii="Times New Roman" w:hAnsi="Times New Roman" w:cs="Times New Roman"/>
        </w:rPr>
        <w:t xml:space="preserve"> and </w:t>
      </w:r>
      <w:r w:rsidR="00B47B57" w:rsidRPr="00530B7D">
        <w:rPr>
          <w:rFonts w:ascii="Times New Roman" w:hAnsi="Times New Roman" w:cs="Times New Roman"/>
        </w:rPr>
        <w:t xml:space="preserve">there are small differences </w:t>
      </w:r>
      <w:r w:rsidR="005713ED" w:rsidRPr="00530B7D">
        <w:rPr>
          <w:rFonts w:ascii="Times New Roman" w:hAnsi="Times New Roman" w:cs="Times New Roman"/>
        </w:rPr>
        <w:t xml:space="preserve">in both wage and employment responses among men and women. </w:t>
      </w:r>
      <w:r w:rsidR="007B6F20" w:rsidRPr="00530B7D">
        <w:rPr>
          <w:rFonts w:ascii="Times New Roman" w:hAnsi="Times New Roman" w:cs="Times New Roman"/>
        </w:rPr>
        <w:t>E</w:t>
      </w:r>
      <w:r w:rsidR="00D651E4" w:rsidRPr="00530B7D">
        <w:rPr>
          <w:rFonts w:ascii="Times New Roman" w:hAnsi="Times New Roman" w:cs="Times New Roman"/>
        </w:rPr>
        <w:t xml:space="preserve">stimates </w:t>
      </w:r>
      <w:r w:rsidR="007B6F20" w:rsidRPr="00530B7D">
        <w:rPr>
          <w:rFonts w:ascii="Times New Roman" w:hAnsi="Times New Roman" w:cs="Times New Roman"/>
        </w:rPr>
        <w:t xml:space="preserve">from the population census also </w:t>
      </w:r>
      <w:r w:rsidR="00D651E4" w:rsidRPr="00530B7D">
        <w:rPr>
          <w:rFonts w:ascii="Times New Roman" w:hAnsi="Times New Roman" w:cs="Times New Roman"/>
        </w:rPr>
        <w:t xml:space="preserve">indicate that regions with higher exposure to exports shocks </w:t>
      </w:r>
      <w:r w:rsidR="007B6F20" w:rsidRPr="00530B7D">
        <w:rPr>
          <w:rFonts w:ascii="Times New Roman" w:hAnsi="Times New Roman" w:cs="Times New Roman"/>
        </w:rPr>
        <w:t>are less likely to see increases in informal employment.</w:t>
      </w:r>
    </w:p>
    <w:p w14:paraId="01B0092F" w14:textId="77777777" w:rsidR="00CA6496" w:rsidRPr="00530B7D" w:rsidRDefault="00CA6496" w:rsidP="00530B7D">
      <w:pPr>
        <w:jc w:val="both"/>
        <w:rPr>
          <w:rFonts w:ascii="Times New Roman" w:hAnsi="Times New Roman" w:cs="Times New Roman"/>
        </w:rPr>
      </w:pPr>
    </w:p>
    <w:p w14:paraId="5D478D76" w14:textId="77777777" w:rsidR="00CA6496" w:rsidRPr="00530B7D" w:rsidRDefault="00CA6496" w:rsidP="00530B7D">
      <w:pPr>
        <w:jc w:val="both"/>
        <w:rPr>
          <w:rFonts w:ascii="Times New Roman" w:hAnsi="Times New Roman" w:cs="Times New Roman"/>
        </w:rPr>
      </w:pPr>
    </w:p>
    <w:p w14:paraId="4173C5E4" w14:textId="77777777" w:rsidR="00CA6496" w:rsidRPr="00530B7D" w:rsidRDefault="00CA6496" w:rsidP="00530B7D">
      <w:pPr>
        <w:jc w:val="both"/>
        <w:rPr>
          <w:rFonts w:ascii="Times New Roman" w:hAnsi="Times New Roman" w:cs="Times New Roman"/>
        </w:rPr>
      </w:pPr>
    </w:p>
    <w:p w14:paraId="5CDAD68B" w14:textId="77777777" w:rsidR="009B243F" w:rsidRPr="00530B7D" w:rsidRDefault="009B243F" w:rsidP="00530B7D">
      <w:pPr>
        <w:jc w:val="both"/>
        <w:rPr>
          <w:rFonts w:ascii="Times New Roman" w:hAnsi="Times New Roman" w:cs="Times New Roman"/>
        </w:rPr>
      </w:pPr>
    </w:p>
    <w:p w14:paraId="76F46626" w14:textId="3682D3B6" w:rsidR="009B243F" w:rsidRPr="00530B7D" w:rsidRDefault="009B243F" w:rsidP="00530B7D">
      <w:pPr>
        <w:jc w:val="both"/>
        <w:rPr>
          <w:rFonts w:ascii="Times New Roman" w:hAnsi="Times New Roman" w:cs="Times New Roman"/>
        </w:rPr>
      </w:pPr>
      <w:r w:rsidRPr="00530B7D">
        <w:rPr>
          <w:rFonts w:ascii="Times New Roman" w:hAnsi="Times New Roman" w:cs="Times New Roman"/>
          <w:b/>
          <w:bCs/>
        </w:rPr>
        <w:t>JEL:</w:t>
      </w:r>
      <w:r w:rsidR="00DB67B5" w:rsidRPr="00530B7D">
        <w:rPr>
          <w:rFonts w:ascii="Times New Roman" w:hAnsi="Times New Roman" w:cs="Times New Roman"/>
          <w:b/>
          <w:bCs/>
        </w:rPr>
        <w:t xml:space="preserve"> </w:t>
      </w:r>
      <w:r w:rsidR="004C3ABD" w:rsidRPr="00530B7D">
        <w:rPr>
          <w:rFonts w:ascii="Times New Roman" w:hAnsi="Times New Roman" w:cs="Times New Roman"/>
        </w:rPr>
        <w:t>D3. F16, J16, O19</w:t>
      </w:r>
      <w:r w:rsidR="004C3ABD" w:rsidRPr="00530B7D">
        <w:rPr>
          <w:rFonts w:ascii="Times New Roman" w:hAnsi="Times New Roman" w:cs="Times New Roman"/>
        </w:rPr>
        <w:t>.</w:t>
      </w:r>
    </w:p>
    <w:p w14:paraId="24C991D2" w14:textId="45FE6C48" w:rsidR="009B243F" w:rsidRPr="00530B7D" w:rsidRDefault="009B243F" w:rsidP="00530B7D">
      <w:pPr>
        <w:jc w:val="both"/>
        <w:rPr>
          <w:rFonts w:ascii="Times New Roman" w:hAnsi="Times New Roman" w:cs="Times New Roman"/>
        </w:rPr>
      </w:pPr>
      <w:r w:rsidRPr="00530B7D">
        <w:rPr>
          <w:rFonts w:ascii="Times New Roman" w:hAnsi="Times New Roman" w:cs="Times New Roman"/>
        </w:rPr>
        <w:t xml:space="preserve">Keywords: </w:t>
      </w:r>
      <w:r w:rsidR="00C11E84" w:rsidRPr="00530B7D">
        <w:rPr>
          <w:rFonts w:ascii="Times New Roman" w:hAnsi="Times New Roman" w:cs="Times New Roman"/>
        </w:rPr>
        <w:t>exports</w:t>
      </w:r>
      <w:r w:rsidR="004C3ABD" w:rsidRPr="00530B7D">
        <w:rPr>
          <w:rFonts w:ascii="Times New Roman" w:hAnsi="Times New Roman" w:cs="Times New Roman"/>
        </w:rPr>
        <w:t xml:space="preserve"> shocks</w:t>
      </w:r>
      <w:r w:rsidR="00C11E84" w:rsidRPr="00530B7D">
        <w:rPr>
          <w:rFonts w:ascii="Times New Roman" w:hAnsi="Times New Roman" w:cs="Times New Roman"/>
        </w:rPr>
        <w:t>, labor marke</w:t>
      </w:r>
      <w:r w:rsidR="004C3ABD" w:rsidRPr="00530B7D">
        <w:rPr>
          <w:rFonts w:ascii="Times New Roman" w:hAnsi="Times New Roman" w:cs="Times New Roman"/>
        </w:rPr>
        <w:t>ts</w:t>
      </w:r>
      <w:r w:rsidR="00C11E84" w:rsidRPr="00530B7D">
        <w:rPr>
          <w:rFonts w:ascii="Times New Roman" w:hAnsi="Times New Roman" w:cs="Times New Roman"/>
        </w:rPr>
        <w:t>,</w:t>
      </w:r>
      <w:r w:rsidR="004C3ABD" w:rsidRPr="00530B7D">
        <w:rPr>
          <w:rFonts w:ascii="Times New Roman" w:hAnsi="Times New Roman" w:cs="Times New Roman"/>
        </w:rPr>
        <w:t xml:space="preserve"> </w:t>
      </w:r>
      <w:r w:rsidR="008A4919" w:rsidRPr="00530B7D">
        <w:rPr>
          <w:rFonts w:ascii="Times New Roman" w:hAnsi="Times New Roman" w:cs="Times New Roman"/>
        </w:rPr>
        <w:t>formal employment, wages</w:t>
      </w:r>
      <w:r w:rsidR="00C11E84" w:rsidRPr="00530B7D">
        <w:rPr>
          <w:rFonts w:ascii="Times New Roman" w:hAnsi="Times New Roman" w:cs="Times New Roman"/>
        </w:rPr>
        <w:t>, Brazil</w:t>
      </w:r>
      <w:r w:rsidR="00C11E84" w:rsidRPr="00530B7D">
        <w:rPr>
          <w:rFonts w:ascii="Times New Roman" w:hAnsi="Times New Roman" w:cs="Times New Roman"/>
          <w:b/>
          <w:bCs/>
        </w:rPr>
        <w:t>.</w:t>
      </w:r>
    </w:p>
    <w:p w14:paraId="69490C4D" w14:textId="77777777" w:rsidR="009B243F" w:rsidRPr="00530B7D" w:rsidRDefault="009B243F" w:rsidP="00530B7D">
      <w:pPr>
        <w:jc w:val="both"/>
        <w:rPr>
          <w:rFonts w:ascii="Times New Roman" w:hAnsi="Times New Roman" w:cs="Times New Roman"/>
        </w:rPr>
      </w:pPr>
    </w:p>
    <w:p w14:paraId="23C15D3F" w14:textId="77777777" w:rsidR="009B243F" w:rsidRPr="00530B7D" w:rsidRDefault="009B243F" w:rsidP="00530B7D">
      <w:pPr>
        <w:jc w:val="both"/>
        <w:rPr>
          <w:rFonts w:ascii="Times New Roman" w:hAnsi="Times New Roman" w:cs="Times New Roman"/>
        </w:rPr>
      </w:pPr>
    </w:p>
    <w:p w14:paraId="74F2C3B1" w14:textId="77777777" w:rsidR="009B243F" w:rsidRPr="00530B7D" w:rsidRDefault="009B243F" w:rsidP="00530B7D">
      <w:pPr>
        <w:jc w:val="both"/>
        <w:rPr>
          <w:rFonts w:ascii="Times New Roman" w:hAnsi="Times New Roman" w:cs="Times New Roman"/>
        </w:rPr>
      </w:pPr>
    </w:p>
    <w:p w14:paraId="606AAA2D" w14:textId="77777777" w:rsidR="009B243F" w:rsidRPr="00530B7D" w:rsidRDefault="009B243F" w:rsidP="00530B7D">
      <w:pPr>
        <w:jc w:val="both"/>
        <w:rPr>
          <w:rFonts w:ascii="Times New Roman" w:hAnsi="Times New Roman" w:cs="Times New Roman"/>
        </w:rPr>
      </w:pPr>
    </w:p>
    <w:p w14:paraId="26CC6987" w14:textId="77777777" w:rsidR="009B243F" w:rsidRPr="00530B7D" w:rsidRDefault="009B243F" w:rsidP="00530B7D">
      <w:pPr>
        <w:jc w:val="both"/>
        <w:rPr>
          <w:rFonts w:ascii="Times New Roman" w:hAnsi="Times New Roman" w:cs="Times New Roman"/>
        </w:rPr>
      </w:pPr>
    </w:p>
    <w:p w14:paraId="14F7F2BE" w14:textId="77777777" w:rsidR="009B243F" w:rsidRPr="00530B7D" w:rsidRDefault="009B243F" w:rsidP="00530B7D">
      <w:pPr>
        <w:jc w:val="both"/>
        <w:rPr>
          <w:rFonts w:ascii="Times New Roman" w:hAnsi="Times New Roman" w:cs="Times New Roman"/>
        </w:rPr>
      </w:pPr>
    </w:p>
    <w:p w14:paraId="2B58171E" w14:textId="77777777" w:rsidR="009B243F" w:rsidRPr="00530B7D" w:rsidRDefault="009B243F" w:rsidP="00530B7D">
      <w:pPr>
        <w:jc w:val="both"/>
        <w:rPr>
          <w:rFonts w:ascii="Times New Roman" w:hAnsi="Times New Roman" w:cs="Times New Roman"/>
        </w:rPr>
      </w:pPr>
    </w:p>
    <w:p w14:paraId="3B104956" w14:textId="77777777" w:rsidR="009B243F" w:rsidRPr="00530B7D" w:rsidRDefault="009B243F" w:rsidP="00530B7D">
      <w:pPr>
        <w:jc w:val="both"/>
        <w:rPr>
          <w:rFonts w:ascii="Times New Roman" w:hAnsi="Times New Roman" w:cs="Times New Roman"/>
        </w:rPr>
      </w:pPr>
    </w:p>
    <w:p w14:paraId="2259E591" w14:textId="77777777" w:rsidR="009B243F" w:rsidRPr="00530B7D" w:rsidRDefault="009B243F" w:rsidP="00530B7D">
      <w:pPr>
        <w:jc w:val="both"/>
        <w:rPr>
          <w:rFonts w:ascii="Times New Roman" w:hAnsi="Times New Roman" w:cs="Times New Roman"/>
          <w:vertAlign w:val="superscript"/>
        </w:rPr>
        <w:sectPr w:rsidR="009B243F" w:rsidRPr="00530B7D" w:rsidSect="009B243F">
          <w:footerReference w:type="default" r:id="rId12"/>
          <w:pgSz w:w="12240" w:h="15840"/>
          <w:pgMar w:top="1440" w:right="1440" w:bottom="1440" w:left="1440" w:header="720" w:footer="720" w:gutter="0"/>
          <w:pgNumType w:start="1"/>
          <w:cols w:space="720"/>
          <w:titlePg/>
          <w:docGrid w:linePitch="360"/>
        </w:sectPr>
      </w:pPr>
    </w:p>
    <w:p w14:paraId="7BB3AEED" w14:textId="20DAE5E5" w:rsidR="009B243F" w:rsidRDefault="009B243F"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lastRenderedPageBreak/>
        <w:t>Introduction</w:t>
      </w:r>
    </w:p>
    <w:p w14:paraId="1E2A4564" w14:textId="77777777" w:rsidR="00AC45E3" w:rsidRDefault="00AC45E3" w:rsidP="00AC45E3"/>
    <w:p w14:paraId="7152399D" w14:textId="77777777" w:rsidR="00AC45E3" w:rsidRPr="00AC45E3" w:rsidRDefault="00AC45E3" w:rsidP="00AC45E3"/>
    <w:p w14:paraId="328DCCE1" w14:textId="77777777" w:rsidR="009B243F" w:rsidRPr="00530B7D" w:rsidRDefault="009B243F" w:rsidP="00530B7D">
      <w:pPr>
        <w:jc w:val="both"/>
        <w:rPr>
          <w:rFonts w:ascii="Times New Roman" w:hAnsi="Times New Roman" w:cs="Times New Roman"/>
        </w:rPr>
      </w:pPr>
    </w:p>
    <w:p w14:paraId="28492D77" w14:textId="66EF2356" w:rsidR="0095348E" w:rsidRPr="00530B7D" w:rsidRDefault="0095348E"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t>Stylized facts about exports in Brazil</w:t>
      </w:r>
    </w:p>
    <w:p w14:paraId="424A6D34" w14:textId="77777777" w:rsidR="0095348E" w:rsidRPr="00530B7D" w:rsidRDefault="0095348E" w:rsidP="00530B7D">
      <w:pPr>
        <w:jc w:val="both"/>
        <w:rPr>
          <w:rFonts w:ascii="Times New Roman" w:hAnsi="Times New Roman" w:cs="Times New Roman"/>
        </w:rPr>
      </w:pPr>
    </w:p>
    <w:p w14:paraId="6913A811" w14:textId="1693F677" w:rsidR="00E158AC" w:rsidRDefault="004B5877" w:rsidP="00530B7D">
      <w:pPr>
        <w:jc w:val="both"/>
        <w:rPr>
          <w:rFonts w:ascii="Times New Roman" w:hAnsi="Times New Roman" w:cs="Times New Roman"/>
        </w:rPr>
      </w:pPr>
      <w:r w:rsidRPr="00530B7D">
        <w:rPr>
          <w:rFonts w:ascii="Times New Roman" w:hAnsi="Times New Roman" w:cs="Times New Roman"/>
        </w:rPr>
        <w:t xml:space="preserve">Over the last 25 years, Brazil’s </w:t>
      </w:r>
      <w:commentRangeStart w:id="1"/>
      <w:commentRangeStart w:id="2"/>
      <w:r w:rsidRPr="00530B7D">
        <w:rPr>
          <w:rFonts w:ascii="Times New Roman" w:hAnsi="Times New Roman" w:cs="Times New Roman"/>
        </w:rPr>
        <w:t>exports</w:t>
      </w:r>
      <w:commentRangeEnd w:id="1"/>
      <w:commentRangeEnd w:id="2"/>
      <w:r w:rsidR="00D336C8">
        <w:rPr>
          <w:rFonts w:ascii="Times New Roman" w:hAnsi="Times New Roman" w:cs="Times New Roman"/>
        </w:rPr>
        <w:t xml:space="preserve"> </w:t>
      </w:r>
      <w:commentRangeStart w:id="3"/>
      <w:r w:rsidR="00D336C8">
        <w:rPr>
          <w:rFonts w:ascii="Times New Roman" w:hAnsi="Times New Roman" w:cs="Times New Roman"/>
        </w:rPr>
        <w:t>of goods</w:t>
      </w:r>
      <w:r w:rsidR="00104E08" w:rsidRPr="00530B7D">
        <w:rPr>
          <w:rStyle w:val="CommentReference"/>
          <w:rFonts w:ascii="Times New Roman" w:hAnsi="Times New Roman" w:cs="Times New Roman"/>
        </w:rPr>
        <w:commentReference w:id="1"/>
      </w:r>
      <w:r w:rsidR="00D336C8">
        <w:rPr>
          <w:rStyle w:val="CommentReference"/>
        </w:rPr>
        <w:commentReference w:id="2"/>
      </w:r>
      <w:r w:rsidRPr="00530B7D">
        <w:rPr>
          <w:rFonts w:ascii="Times New Roman" w:hAnsi="Times New Roman" w:cs="Times New Roman"/>
        </w:rPr>
        <w:t xml:space="preserve"> </w:t>
      </w:r>
      <w:commentRangeEnd w:id="3"/>
      <w:r w:rsidR="00FF4B28">
        <w:rPr>
          <w:rStyle w:val="CommentReference"/>
        </w:rPr>
        <w:commentReference w:id="3"/>
      </w:r>
      <w:r w:rsidRPr="00530B7D">
        <w:rPr>
          <w:rFonts w:ascii="Times New Roman" w:hAnsi="Times New Roman" w:cs="Times New Roman"/>
        </w:rPr>
        <w:t>increased by about three times</w:t>
      </w:r>
      <w:r w:rsidR="00F75138">
        <w:rPr>
          <w:rFonts w:ascii="Times New Roman" w:hAnsi="Times New Roman" w:cs="Times New Roman"/>
        </w:rPr>
        <w:t xml:space="preserve"> in real terms</w:t>
      </w:r>
      <w:r w:rsidRPr="00530B7D">
        <w:rPr>
          <w:rFonts w:ascii="Times New Roman" w:hAnsi="Times New Roman" w:cs="Times New Roman"/>
        </w:rPr>
        <w:t>.</w:t>
      </w:r>
      <w:r w:rsidR="006F4A89">
        <w:rPr>
          <w:rFonts w:ascii="Times New Roman" w:hAnsi="Times New Roman" w:cs="Times New Roman"/>
        </w:rPr>
        <w:t xml:space="preserve"> </w:t>
      </w:r>
      <w:r w:rsidR="00D31555">
        <w:rPr>
          <w:rFonts w:ascii="Times New Roman" w:hAnsi="Times New Roman" w:cs="Times New Roman"/>
        </w:rPr>
        <w:t>More specifically,</w:t>
      </w:r>
      <w:r w:rsidR="006F4A89">
        <w:rPr>
          <w:rFonts w:ascii="Times New Roman" w:hAnsi="Times New Roman" w:cs="Times New Roman"/>
        </w:rPr>
        <w:t xml:space="preserve"> </w:t>
      </w:r>
      <w:r w:rsidR="00CB0623">
        <w:rPr>
          <w:rFonts w:ascii="Times New Roman" w:hAnsi="Times New Roman" w:cs="Times New Roman"/>
        </w:rPr>
        <w:t xml:space="preserve">the exports </w:t>
      </w:r>
      <w:r w:rsidR="00FF4B28">
        <w:rPr>
          <w:rFonts w:ascii="Times New Roman" w:hAnsi="Times New Roman" w:cs="Times New Roman"/>
        </w:rPr>
        <w:t>figures were close</w:t>
      </w:r>
      <w:r w:rsidR="00F23973">
        <w:rPr>
          <w:rFonts w:ascii="Times New Roman" w:hAnsi="Times New Roman" w:cs="Times New Roman"/>
        </w:rPr>
        <w:t xml:space="preserve"> to USD 170 billion (at 2022 prices)</w:t>
      </w:r>
      <w:r w:rsidR="00D31555">
        <w:rPr>
          <w:rFonts w:ascii="Times New Roman" w:hAnsi="Times New Roman" w:cs="Times New Roman"/>
        </w:rPr>
        <w:t xml:space="preserve"> in 1997, then reached a peak of more than USD 400 billion in 2010 and </w:t>
      </w:r>
      <w:r w:rsidR="00E83BD9">
        <w:rPr>
          <w:rFonts w:ascii="Times New Roman" w:hAnsi="Times New Roman" w:cs="Times New Roman"/>
        </w:rPr>
        <w:t>declined to slightly more than USD 300 billion in 2023.</w:t>
      </w:r>
      <w:r w:rsidRPr="00530B7D">
        <w:rPr>
          <w:rFonts w:ascii="Times New Roman" w:hAnsi="Times New Roman" w:cs="Times New Roman"/>
        </w:rPr>
        <w:t xml:space="preserve"> </w:t>
      </w:r>
      <w:r w:rsidR="00F75138" w:rsidRPr="00116558">
        <w:rPr>
          <w:rFonts w:ascii="Times New Roman" w:hAnsi="Times New Roman" w:cs="Times New Roman"/>
          <w:highlight w:val="yellow"/>
        </w:rPr>
        <w:t>Figure XXXX</w:t>
      </w:r>
      <w:r w:rsidR="00F75138">
        <w:rPr>
          <w:rFonts w:ascii="Times New Roman" w:hAnsi="Times New Roman" w:cs="Times New Roman"/>
        </w:rPr>
        <w:t xml:space="preserve"> depicts </w:t>
      </w:r>
      <w:r w:rsidR="00A84EB8">
        <w:rPr>
          <w:rFonts w:ascii="Times New Roman" w:hAnsi="Times New Roman" w:cs="Times New Roman"/>
        </w:rPr>
        <w:t xml:space="preserve">the historic evolution considering the 1997-2023 period with data separately for </w:t>
      </w:r>
      <w:r w:rsidR="0067004E">
        <w:rPr>
          <w:rFonts w:ascii="Times New Roman" w:hAnsi="Times New Roman" w:cs="Times New Roman"/>
        </w:rPr>
        <w:t>some</w:t>
      </w:r>
      <w:r w:rsidR="00A84EB8">
        <w:rPr>
          <w:rFonts w:ascii="Times New Roman" w:hAnsi="Times New Roman" w:cs="Times New Roman"/>
        </w:rPr>
        <w:t xml:space="preserve"> categories (</w:t>
      </w:r>
      <w:r w:rsidR="00B02596">
        <w:rPr>
          <w:rFonts w:ascii="Times New Roman" w:hAnsi="Times New Roman" w:cs="Times New Roman"/>
        </w:rPr>
        <w:t>Agriculture, Forestry and Fishing, Manufacturing and Mining and quarrying)</w:t>
      </w:r>
      <w:r w:rsidR="00A84EB8">
        <w:rPr>
          <w:rFonts w:ascii="Times New Roman" w:hAnsi="Times New Roman" w:cs="Times New Roman"/>
        </w:rPr>
        <w:t xml:space="preserve">. </w:t>
      </w:r>
      <w:r w:rsidR="00427B4D">
        <w:rPr>
          <w:rFonts w:ascii="Times New Roman" w:hAnsi="Times New Roman" w:cs="Times New Roman"/>
        </w:rPr>
        <w:t xml:space="preserve">There has been, thus, an increase in exports in real terms comparing 1997 with 2023, but </w:t>
      </w:r>
      <w:r w:rsidR="00CB390A">
        <w:rPr>
          <w:rFonts w:ascii="Times New Roman" w:hAnsi="Times New Roman" w:cs="Times New Roman"/>
        </w:rPr>
        <w:t xml:space="preserve">with an important reduction from 2010 to 2023 of about 25 percent. Overall, we </w:t>
      </w:r>
      <w:r w:rsidR="00A010EC">
        <w:rPr>
          <w:rFonts w:ascii="Times New Roman" w:hAnsi="Times New Roman" w:cs="Times New Roman"/>
        </w:rPr>
        <w:t xml:space="preserve">note </w:t>
      </w:r>
      <w:r w:rsidR="00B02596">
        <w:rPr>
          <w:rFonts w:ascii="Times New Roman" w:hAnsi="Times New Roman" w:cs="Times New Roman"/>
        </w:rPr>
        <w:t>that</w:t>
      </w:r>
      <w:r w:rsidR="00D31555">
        <w:rPr>
          <w:rFonts w:ascii="Times New Roman" w:hAnsi="Times New Roman" w:cs="Times New Roman"/>
        </w:rPr>
        <w:t xml:space="preserve"> the trend of </w:t>
      </w:r>
      <w:r w:rsidR="005D4A9D" w:rsidRPr="005D4A9D">
        <w:rPr>
          <w:rFonts w:ascii="Times New Roman" w:hAnsi="Times New Roman" w:cs="Times New Roman"/>
        </w:rPr>
        <w:t>the</w:t>
      </w:r>
      <w:r w:rsidR="00B02596">
        <w:rPr>
          <w:rFonts w:ascii="Times New Roman" w:hAnsi="Times New Roman" w:cs="Times New Roman"/>
        </w:rPr>
        <w:t xml:space="preserve"> </w:t>
      </w:r>
      <w:r w:rsidR="00116558">
        <w:rPr>
          <w:rFonts w:ascii="Times New Roman" w:hAnsi="Times New Roman" w:cs="Times New Roman"/>
        </w:rPr>
        <w:t xml:space="preserve">Brazilian </w:t>
      </w:r>
      <w:r w:rsidR="00B02596">
        <w:rPr>
          <w:rFonts w:ascii="Times New Roman" w:hAnsi="Times New Roman" w:cs="Times New Roman"/>
        </w:rPr>
        <w:t>export</w:t>
      </w:r>
      <w:r w:rsidR="005D4A9D" w:rsidRPr="005D4A9D">
        <w:rPr>
          <w:rFonts w:ascii="Times New Roman" w:hAnsi="Times New Roman" w:cs="Times New Roman"/>
        </w:rPr>
        <w:t xml:space="preserve"> cycle</w:t>
      </w:r>
      <w:r w:rsidR="00116558">
        <w:rPr>
          <w:rFonts w:ascii="Times New Roman" w:hAnsi="Times New Roman" w:cs="Times New Roman"/>
        </w:rPr>
        <w:t xml:space="preserve"> in this period</w:t>
      </w:r>
      <w:r w:rsidR="005D4A9D" w:rsidRPr="005D4A9D">
        <w:rPr>
          <w:rFonts w:ascii="Times New Roman" w:hAnsi="Times New Roman" w:cs="Times New Roman"/>
        </w:rPr>
        <w:t xml:space="preserve"> is a combination of a continuous expansion of</w:t>
      </w:r>
      <w:r w:rsidR="00E83BD9">
        <w:rPr>
          <w:rFonts w:ascii="Times New Roman" w:hAnsi="Times New Roman" w:cs="Times New Roman"/>
        </w:rPr>
        <w:t xml:space="preserve"> the</w:t>
      </w:r>
      <w:r w:rsidR="005D4A9D" w:rsidRPr="005D4A9D">
        <w:rPr>
          <w:rFonts w:ascii="Times New Roman" w:hAnsi="Times New Roman" w:cs="Times New Roman"/>
        </w:rPr>
        <w:t xml:space="preserve"> agr</w:t>
      </w:r>
      <w:r w:rsidR="00D336C8">
        <w:rPr>
          <w:rFonts w:ascii="Times New Roman" w:hAnsi="Times New Roman" w:cs="Times New Roman"/>
        </w:rPr>
        <w:t>icultural sector, with</w:t>
      </w:r>
      <w:r w:rsidR="005D4A9D" w:rsidRPr="005D4A9D">
        <w:rPr>
          <w:rFonts w:ascii="Times New Roman" w:hAnsi="Times New Roman" w:cs="Times New Roman"/>
        </w:rPr>
        <w:t xml:space="preserve"> a large cycle of oil and a volatile manufacturing sector</w:t>
      </w:r>
      <w:r w:rsidR="000A6E72">
        <w:rPr>
          <w:rFonts w:ascii="Times New Roman" w:hAnsi="Times New Roman" w:cs="Times New Roman"/>
        </w:rPr>
        <w:t>.</w:t>
      </w:r>
    </w:p>
    <w:p w14:paraId="7D64C8FE" w14:textId="77777777" w:rsidR="00D83446" w:rsidRPr="00530B7D" w:rsidRDefault="00D83446" w:rsidP="00530B7D">
      <w:pPr>
        <w:jc w:val="both"/>
        <w:rPr>
          <w:rFonts w:ascii="Times New Roman" w:hAnsi="Times New Roman" w:cs="Times New Roman"/>
        </w:rPr>
      </w:pPr>
    </w:p>
    <w:p w14:paraId="32237176" w14:textId="5B0296B8" w:rsidR="00E158AC" w:rsidRPr="00530B7D" w:rsidRDefault="00E158AC" w:rsidP="00530B7D">
      <w:pPr>
        <w:jc w:val="both"/>
        <w:rPr>
          <w:rFonts w:ascii="Times New Roman" w:hAnsi="Times New Roman" w:cs="Times New Roman"/>
        </w:rPr>
      </w:pPr>
      <w:r w:rsidRPr="00530B7D">
        <w:rPr>
          <w:rFonts w:ascii="Times New Roman" w:hAnsi="Times New Roman" w:cs="Times New Roman"/>
        </w:rPr>
        <w:t xml:space="preserve">Figure </w:t>
      </w:r>
      <w:r w:rsidRPr="00530B7D">
        <w:rPr>
          <w:rFonts w:ascii="Times New Roman" w:hAnsi="Times New Roman" w:cs="Times New Roman"/>
          <w:highlight w:val="yellow"/>
        </w:rPr>
        <w:t>XXXX</w:t>
      </w:r>
      <w:r w:rsidRPr="00530B7D">
        <w:rPr>
          <w:rFonts w:ascii="Times New Roman" w:hAnsi="Times New Roman" w:cs="Times New Roman"/>
        </w:rPr>
        <w:t xml:space="preserve">. </w:t>
      </w:r>
      <w:r w:rsidRPr="00530B7D">
        <w:rPr>
          <w:rFonts w:ascii="Times New Roman" w:hAnsi="Times New Roman" w:cs="Times New Roman"/>
        </w:rPr>
        <w:t>Evolution of Brazilian exports, separately by sector</w:t>
      </w:r>
    </w:p>
    <w:p w14:paraId="14C49B2E" w14:textId="109F377C" w:rsidR="00E158AC" w:rsidRPr="00530B7D" w:rsidRDefault="00E158AC" w:rsidP="00530B7D">
      <w:pPr>
        <w:jc w:val="both"/>
        <w:rPr>
          <w:rFonts w:ascii="Times New Roman" w:hAnsi="Times New Roman" w:cs="Times New Roman"/>
        </w:rPr>
      </w:pPr>
      <w:r w:rsidRPr="00530B7D">
        <w:rPr>
          <w:rFonts w:ascii="Times New Roman" w:hAnsi="Times New Roman" w:cs="Times New Roman"/>
        </w:rPr>
        <w:drawing>
          <wp:inline distT="0" distB="0" distL="0" distR="0" wp14:anchorId="47205654" wp14:editId="0D5D09A2">
            <wp:extent cx="5943600" cy="3962400"/>
            <wp:effectExtent l="0" t="0" r="0" b="0"/>
            <wp:docPr id="1" name="Picture 5" descr="A graph of different colored bars&#10;&#10;Description automatically generated">
              <a:extLst xmlns:a="http://schemas.openxmlformats.org/drawingml/2006/main">
                <a:ext uri="{FF2B5EF4-FFF2-40B4-BE49-F238E27FC236}">
                  <a16:creationId xmlns:a16="http://schemas.microsoft.com/office/drawing/2014/main" id="{77F4133E-52EA-6102-2622-C854A0ACA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ed bars&#10;&#10;Description automatically generated">
                      <a:extLst>
                        <a:ext uri="{FF2B5EF4-FFF2-40B4-BE49-F238E27FC236}">
                          <a16:creationId xmlns:a16="http://schemas.microsoft.com/office/drawing/2014/main" id="{77F4133E-52EA-6102-2622-C854A0ACA87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581E8FC" w14:textId="123E17B2" w:rsidR="00E158AC" w:rsidRDefault="00CC345A" w:rsidP="00530B7D">
      <w:pPr>
        <w:jc w:val="both"/>
        <w:rPr>
          <w:rFonts w:ascii="Times New Roman" w:hAnsi="Times New Roman" w:cs="Times New Roman"/>
          <w:sz w:val="20"/>
          <w:szCs w:val="20"/>
        </w:rPr>
      </w:pPr>
      <w:r w:rsidRPr="00530B7D">
        <w:rPr>
          <w:rFonts w:ascii="Times New Roman" w:hAnsi="Times New Roman" w:cs="Times New Roman"/>
          <w:sz w:val="20"/>
          <w:szCs w:val="20"/>
        </w:rPr>
        <w:lastRenderedPageBreak/>
        <w:t xml:space="preserve">Source: elaborated by the authors using data from the Brazilian Ministry of Industry and Commerce (MDIC), </w:t>
      </w:r>
      <w:r w:rsidR="00530B7D" w:rsidRPr="00530B7D">
        <w:rPr>
          <w:rFonts w:ascii="Times New Roman" w:hAnsi="Times New Roman" w:cs="Times New Roman"/>
          <w:sz w:val="20"/>
          <w:szCs w:val="20"/>
        </w:rPr>
        <w:t xml:space="preserve">the Brazilian NSO (IBGE) and the Federal Reserve </w:t>
      </w:r>
      <w:r w:rsidR="000A6E72">
        <w:rPr>
          <w:rFonts w:ascii="Times New Roman" w:hAnsi="Times New Roman" w:cs="Times New Roman"/>
          <w:sz w:val="20"/>
          <w:szCs w:val="20"/>
        </w:rPr>
        <w:t>Economic Data (FRED)</w:t>
      </w:r>
      <w:r w:rsidR="00530B7D" w:rsidRPr="00530B7D">
        <w:rPr>
          <w:rFonts w:ascii="Times New Roman" w:hAnsi="Times New Roman" w:cs="Times New Roman"/>
          <w:sz w:val="20"/>
          <w:szCs w:val="20"/>
        </w:rPr>
        <w:t xml:space="preserve">. </w:t>
      </w:r>
      <w:r w:rsidR="00E158AC" w:rsidRPr="00530B7D">
        <w:rPr>
          <w:rFonts w:ascii="Times New Roman" w:hAnsi="Times New Roman" w:cs="Times New Roman"/>
          <w:sz w:val="20"/>
          <w:szCs w:val="20"/>
        </w:rPr>
        <w:t xml:space="preserve">Notes: </w:t>
      </w:r>
      <w:r w:rsidR="000A27D8">
        <w:rPr>
          <w:rFonts w:ascii="Times New Roman" w:hAnsi="Times New Roman" w:cs="Times New Roman"/>
          <w:sz w:val="20"/>
          <w:szCs w:val="20"/>
        </w:rPr>
        <w:t>Values are denominated in billions of U.S. dollars at 2022 prices.</w:t>
      </w:r>
    </w:p>
    <w:p w14:paraId="0694D125" w14:textId="77777777" w:rsidR="0073010C" w:rsidRDefault="0073010C" w:rsidP="00530B7D">
      <w:pPr>
        <w:jc w:val="both"/>
        <w:rPr>
          <w:rFonts w:ascii="Times New Roman" w:hAnsi="Times New Roman" w:cs="Times New Roman"/>
          <w:sz w:val="20"/>
          <w:szCs w:val="20"/>
        </w:rPr>
      </w:pPr>
    </w:p>
    <w:p w14:paraId="1D43B264" w14:textId="77777777" w:rsidR="0073010C" w:rsidRDefault="0073010C" w:rsidP="00530B7D">
      <w:pPr>
        <w:jc w:val="both"/>
        <w:rPr>
          <w:rFonts w:ascii="Times New Roman" w:hAnsi="Times New Roman" w:cs="Times New Roman"/>
          <w:sz w:val="20"/>
          <w:szCs w:val="20"/>
        </w:rPr>
      </w:pPr>
    </w:p>
    <w:p w14:paraId="47EEED21" w14:textId="2FC266C1" w:rsidR="00890015" w:rsidRPr="006B3D55" w:rsidRDefault="00890015" w:rsidP="00890015">
      <w:pPr>
        <w:jc w:val="both"/>
        <w:rPr>
          <w:rFonts w:ascii="Times New Roman" w:hAnsi="Times New Roman" w:cs="Times New Roman"/>
        </w:rPr>
      </w:pPr>
      <w:r w:rsidRPr="00530B7D">
        <w:rPr>
          <w:rFonts w:ascii="Times New Roman" w:hAnsi="Times New Roman" w:cs="Times New Roman"/>
        </w:rPr>
        <w:t xml:space="preserve">Figure </w:t>
      </w:r>
      <w:r w:rsidRPr="00530B7D">
        <w:rPr>
          <w:rFonts w:ascii="Times New Roman" w:hAnsi="Times New Roman" w:cs="Times New Roman"/>
          <w:highlight w:val="yellow"/>
        </w:rPr>
        <w:t>XXXX</w:t>
      </w:r>
      <w:r w:rsidRPr="00530B7D">
        <w:rPr>
          <w:rFonts w:ascii="Times New Roman" w:hAnsi="Times New Roman" w:cs="Times New Roman"/>
        </w:rPr>
        <w:t xml:space="preserve">. </w:t>
      </w:r>
      <w:r w:rsidR="00D0391D">
        <w:rPr>
          <w:rFonts w:ascii="Times New Roman" w:hAnsi="Times New Roman" w:cs="Times New Roman"/>
        </w:rPr>
        <w:t xml:space="preserve">Exports incidence in Brazilian municipalities in </w:t>
      </w:r>
      <w:r w:rsidR="00D0391D">
        <w:rPr>
          <w:rFonts w:ascii="Times New Roman" w:hAnsi="Times New Roman" w:cs="Times New Roman"/>
        </w:rPr>
        <w:t>selected years</w:t>
      </w:r>
    </w:p>
    <w:tbl>
      <w:tblPr>
        <w:tblStyle w:val="TableGrid"/>
        <w:tblW w:w="0" w:type="auto"/>
        <w:tblLook w:val="04A0" w:firstRow="1" w:lastRow="0" w:firstColumn="1" w:lastColumn="0" w:noHBand="0" w:noVBand="1"/>
      </w:tblPr>
      <w:tblGrid>
        <w:gridCol w:w="4675"/>
        <w:gridCol w:w="4675"/>
      </w:tblGrid>
      <w:tr w:rsidR="00890015" w14:paraId="2F845162" w14:textId="77777777" w:rsidTr="008A1603">
        <w:tc>
          <w:tcPr>
            <w:tcW w:w="4675" w:type="dxa"/>
          </w:tcPr>
          <w:p w14:paraId="340BF53D" w14:textId="77777777" w:rsidR="00890015" w:rsidRPr="006B3D55" w:rsidRDefault="00890015" w:rsidP="008A1603">
            <w:pPr>
              <w:pStyle w:val="ListParagraph"/>
              <w:numPr>
                <w:ilvl w:val="0"/>
                <w:numId w:val="3"/>
              </w:numPr>
              <w:jc w:val="both"/>
              <w:rPr>
                <w:rFonts w:ascii="Times New Roman" w:hAnsi="Times New Roman" w:cs="Times New Roman"/>
              </w:rPr>
            </w:pPr>
            <w:r>
              <w:rPr>
                <w:rFonts w:ascii="Times New Roman" w:hAnsi="Times New Roman" w:cs="Times New Roman"/>
              </w:rPr>
              <w:t>2002</w:t>
            </w:r>
          </w:p>
        </w:tc>
        <w:tc>
          <w:tcPr>
            <w:tcW w:w="4675" w:type="dxa"/>
          </w:tcPr>
          <w:p w14:paraId="49CBEE5D" w14:textId="77777777" w:rsidR="00890015" w:rsidRPr="006B3D55" w:rsidRDefault="00890015" w:rsidP="008A1603">
            <w:pPr>
              <w:pStyle w:val="ListParagraph"/>
              <w:numPr>
                <w:ilvl w:val="0"/>
                <w:numId w:val="3"/>
              </w:numPr>
              <w:jc w:val="both"/>
              <w:rPr>
                <w:rFonts w:ascii="Times New Roman" w:hAnsi="Times New Roman" w:cs="Times New Roman"/>
              </w:rPr>
            </w:pPr>
            <w:r>
              <w:rPr>
                <w:rFonts w:ascii="Times New Roman" w:hAnsi="Times New Roman" w:cs="Times New Roman"/>
              </w:rPr>
              <w:t>2022</w:t>
            </w:r>
          </w:p>
        </w:tc>
      </w:tr>
      <w:tr w:rsidR="00890015" w14:paraId="13FDB9C9" w14:textId="77777777" w:rsidTr="008A1603">
        <w:trPr>
          <w:trHeight w:val="4283"/>
        </w:trPr>
        <w:tc>
          <w:tcPr>
            <w:tcW w:w="4675" w:type="dxa"/>
          </w:tcPr>
          <w:p w14:paraId="0232F027" w14:textId="1804B8AF" w:rsidR="00890015" w:rsidRDefault="00217CF7" w:rsidP="008A1603">
            <w:pPr>
              <w:pStyle w:val="ListParagraph"/>
              <w:rPr>
                <w:rFonts w:ascii="Times New Roman" w:hAnsi="Times New Roman" w:cs="Times New Roman"/>
              </w:rPr>
            </w:pPr>
            <w:r w:rsidRPr="00217CF7">
              <w:rPr>
                <w:rFonts w:ascii="Times New Roman" w:hAnsi="Times New Roman" w:cs="Times New Roman"/>
              </w:rPr>
              <w:drawing>
                <wp:anchor distT="0" distB="0" distL="114300" distR="114300" simplePos="0" relativeHeight="251661312" behindDoc="0" locked="0" layoutInCell="1" allowOverlap="1" wp14:anchorId="082DC341" wp14:editId="649833FD">
                  <wp:simplePos x="0" y="0"/>
                  <wp:positionH relativeFrom="column">
                    <wp:posOffset>153752</wp:posOffset>
                  </wp:positionH>
                  <wp:positionV relativeFrom="paragraph">
                    <wp:posOffset>143</wp:posOffset>
                  </wp:positionV>
                  <wp:extent cx="2743200" cy="2743200"/>
                  <wp:effectExtent l="0" t="0" r="0" b="0"/>
                  <wp:wrapSquare wrapText="bothSides"/>
                  <wp:docPr id="27" name="Picture 26" descr="A graph with numbers and dots&#10;&#10;Description automatically generated">
                    <a:extLst xmlns:a="http://schemas.openxmlformats.org/drawingml/2006/main">
                      <a:ext uri="{FF2B5EF4-FFF2-40B4-BE49-F238E27FC236}">
                        <a16:creationId xmlns:a16="http://schemas.microsoft.com/office/drawing/2014/main" id="{6368B531-BE32-2470-1FD8-EB34C59DD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 graph with numbers and dots&#10;&#10;Description automatically generated">
                            <a:extLst>
                              <a:ext uri="{FF2B5EF4-FFF2-40B4-BE49-F238E27FC236}">
                                <a16:creationId xmlns:a16="http://schemas.microsoft.com/office/drawing/2014/main" id="{6368B531-BE32-2470-1FD8-EB34C59DDDB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p>
        </w:tc>
        <w:tc>
          <w:tcPr>
            <w:tcW w:w="4675" w:type="dxa"/>
          </w:tcPr>
          <w:p w14:paraId="7733A995" w14:textId="79210264" w:rsidR="00890015" w:rsidRPr="00DE66FB" w:rsidRDefault="00506F96" w:rsidP="008A1603">
            <w:pPr>
              <w:jc w:val="both"/>
              <w:rPr>
                <w:rFonts w:ascii="Times New Roman" w:hAnsi="Times New Roman" w:cs="Times New Roman"/>
              </w:rPr>
            </w:pPr>
            <w:r w:rsidRPr="00506F96">
              <w:rPr>
                <w:rFonts w:ascii="Times New Roman" w:hAnsi="Times New Roman" w:cs="Times New Roman"/>
              </w:rPr>
              <w:drawing>
                <wp:inline distT="0" distB="0" distL="0" distR="0" wp14:anchorId="0265ABF8" wp14:editId="3C5F7588">
                  <wp:extent cx="2743200" cy="2743200"/>
                  <wp:effectExtent l="0" t="0" r="0" b="0"/>
                  <wp:docPr id="13" name="Content Placeholder 8" descr="A graph with numbers and dots&#10;&#10;Description automatically generated">
                    <a:extLst xmlns:a="http://schemas.openxmlformats.org/drawingml/2006/main">
                      <a:ext uri="{FF2B5EF4-FFF2-40B4-BE49-F238E27FC236}">
                        <a16:creationId xmlns:a16="http://schemas.microsoft.com/office/drawing/2014/main" id="{7FDD461D-418A-10E8-4F75-E9631EBB9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8" descr="A graph with numbers and dots&#10;&#10;Description automatically generated">
                            <a:extLst>
                              <a:ext uri="{FF2B5EF4-FFF2-40B4-BE49-F238E27FC236}">
                                <a16:creationId xmlns:a16="http://schemas.microsoft.com/office/drawing/2014/main" id="{7FDD461D-418A-10E8-4F75-E9631EBB9E9C}"/>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r>
    </w:tbl>
    <w:p w14:paraId="6B6A9C07" w14:textId="4F92E4A2" w:rsidR="006F4A89" w:rsidRDefault="006F4A89" w:rsidP="006F4A89">
      <w:pPr>
        <w:jc w:val="both"/>
        <w:rPr>
          <w:rFonts w:ascii="Times New Roman" w:hAnsi="Times New Roman" w:cs="Times New Roman"/>
          <w:sz w:val="20"/>
          <w:szCs w:val="20"/>
        </w:rPr>
      </w:pPr>
      <w:r w:rsidRPr="00530B7D">
        <w:rPr>
          <w:rFonts w:ascii="Times New Roman" w:hAnsi="Times New Roman" w:cs="Times New Roman"/>
          <w:sz w:val="20"/>
          <w:szCs w:val="20"/>
        </w:rPr>
        <w:t xml:space="preserve">Source: elaborated by the authors using data from the Brazilian Ministry of Industry and Commerce (MDIC), the Brazilian NSO (IBGE) and the Federal Reserve </w:t>
      </w:r>
      <w:r>
        <w:rPr>
          <w:rFonts w:ascii="Times New Roman" w:hAnsi="Times New Roman" w:cs="Times New Roman"/>
          <w:sz w:val="20"/>
          <w:szCs w:val="20"/>
        </w:rPr>
        <w:t>Economic Data (FRED)</w:t>
      </w:r>
      <w:r w:rsidRPr="00530B7D">
        <w:rPr>
          <w:rFonts w:ascii="Times New Roman" w:hAnsi="Times New Roman" w:cs="Times New Roman"/>
          <w:sz w:val="20"/>
          <w:szCs w:val="20"/>
        </w:rPr>
        <w:t xml:space="preserve">. Notes: </w:t>
      </w:r>
      <w:r w:rsidR="000A27D8">
        <w:rPr>
          <w:rFonts w:ascii="Times New Roman" w:hAnsi="Times New Roman" w:cs="Times New Roman"/>
          <w:sz w:val="20"/>
          <w:szCs w:val="20"/>
        </w:rPr>
        <w:t>v</w:t>
      </w:r>
      <w:r w:rsidR="000A27D8">
        <w:rPr>
          <w:rFonts w:ascii="Times New Roman" w:hAnsi="Times New Roman" w:cs="Times New Roman"/>
          <w:sz w:val="20"/>
          <w:szCs w:val="20"/>
        </w:rPr>
        <w:t>alues are denominated in U.S. dollars at 2022 prices.</w:t>
      </w:r>
      <w:r w:rsidR="000A27D8">
        <w:rPr>
          <w:rFonts w:ascii="Times New Roman" w:hAnsi="Times New Roman" w:cs="Times New Roman"/>
          <w:sz w:val="20"/>
          <w:szCs w:val="20"/>
        </w:rPr>
        <w:t xml:space="preserve"> M</w:t>
      </w:r>
      <w:r>
        <w:rPr>
          <w:rFonts w:ascii="Times New Roman" w:hAnsi="Times New Roman" w:cs="Times New Roman"/>
          <w:sz w:val="20"/>
          <w:szCs w:val="20"/>
        </w:rPr>
        <w:t xml:space="preserve">unicipality-level population data comes from the official estimates relative to the year </w:t>
      </w:r>
      <w:commentRangeStart w:id="4"/>
      <w:r>
        <w:rPr>
          <w:rFonts w:ascii="Times New Roman" w:hAnsi="Times New Roman" w:cs="Times New Roman"/>
          <w:sz w:val="20"/>
          <w:szCs w:val="20"/>
        </w:rPr>
        <w:t xml:space="preserve">of </w:t>
      </w:r>
      <w:r w:rsidRPr="002F6B35">
        <w:rPr>
          <w:rFonts w:ascii="Times New Roman" w:hAnsi="Times New Roman" w:cs="Times New Roman"/>
          <w:sz w:val="20"/>
          <w:szCs w:val="20"/>
          <w:highlight w:val="yellow"/>
        </w:rPr>
        <w:t>2022.</w:t>
      </w:r>
      <w:commentRangeEnd w:id="4"/>
      <w:r>
        <w:rPr>
          <w:rStyle w:val="CommentReference"/>
        </w:rPr>
        <w:commentReference w:id="4"/>
      </w:r>
      <w:r w:rsidR="000A27D8">
        <w:rPr>
          <w:rFonts w:ascii="Times New Roman" w:hAnsi="Times New Roman" w:cs="Times New Roman"/>
          <w:sz w:val="20"/>
          <w:szCs w:val="20"/>
        </w:rPr>
        <w:t xml:space="preserve"> </w:t>
      </w:r>
      <w:r w:rsidR="00506F96">
        <w:rPr>
          <w:rFonts w:ascii="Times New Roman" w:hAnsi="Times New Roman" w:cs="Times New Roman"/>
          <w:sz w:val="20"/>
          <w:szCs w:val="20"/>
        </w:rPr>
        <w:t xml:space="preserve">Bubbles are proportional </w:t>
      </w:r>
      <w:r w:rsidR="000A27D8">
        <w:rPr>
          <w:rFonts w:ascii="Times New Roman" w:hAnsi="Times New Roman" w:cs="Times New Roman"/>
          <w:sz w:val="20"/>
          <w:szCs w:val="20"/>
        </w:rPr>
        <w:t xml:space="preserve">to total municipal exports and the vertical axis is truncated at USD 1,000. </w:t>
      </w:r>
    </w:p>
    <w:p w14:paraId="18DCB4F3" w14:textId="77777777" w:rsidR="003C6B9F" w:rsidRDefault="003C6B9F" w:rsidP="006F4A89">
      <w:pPr>
        <w:jc w:val="both"/>
        <w:rPr>
          <w:rFonts w:ascii="Times New Roman" w:hAnsi="Times New Roman" w:cs="Times New Roman"/>
          <w:sz w:val="20"/>
          <w:szCs w:val="20"/>
        </w:rPr>
      </w:pPr>
    </w:p>
    <w:p w14:paraId="079F44BF" w14:textId="46B9DFC6" w:rsidR="003C6B9F" w:rsidRDefault="003C6B9F" w:rsidP="006F4A89">
      <w:pPr>
        <w:jc w:val="both"/>
        <w:rPr>
          <w:rFonts w:ascii="Times New Roman" w:hAnsi="Times New Roman" w:cs="Times New Roman"/>
          <w:sz w:val="20"/>
          <w:szCs w:val="20"/>
        </w:rPr>
      </w:pPr>
      <w:r w:rsidRPr="003C6B9F">
        <w:rPr>
          <w:rFonts w:ascii="Times New Roman" w:hAnsi="Times New Roman" w:cs="Times New Roman"/>
          <w:sz w:val="20"/>
          <w:szCs w:val="20"/>
        </w:rPr>
        <mc:AlternateContent>
          <mc:Choice Requires="wps">
            <w:drawing>
              <wp:anchor distT="0" distB="0" distL="114300" distR="114300" simplePos="0" relativeHeight="251664384" behindDoc="0" locked="0" layoutInCell="1" allowOverlap="1" wp14:anchorId="128FE4D8" wp14:editId="63CA94FB">
                <wp:simplePos x="0" y="0"/>
                <wp:positionH relativeFrom="column">
                  <wp:posOffset>4304030</wp:posOffset>
                </wp:positionH>
                <wp:positionV relativeFrom="paragraph">
                  <wp:posOffset>3616325</wp:posOffset>
                </wp:positionV>
                <wp:extent cx="768159" cy="2743200"/>
                <wp:effectExtent l="0" t="0" r="0" b="0"/>
                <wp:wrapNone/>
                <wp:docPr id="33" name="TextBox 32">
                  <a:extLst xmlns:a="http://schemas.openxmlformats.org/drawingml/2006/main">
                    <a:ext uri="{FF2B5EF4-FFF2-40B4-BE49-F238E27FC236}">
                      <a16:creationId xmlns:a16="http://schemas.microsoft.com/office/drawing/2014/main" id="{AEE9F131-91E5-B3C9-4D06-43A9F03537F7}"/>
                    </a:ext>
                  </a:extLst>
                </wp:docPr>
                <wp:cNvGraphicFramePr/>
                <a:graphic xmlns:a="http://schemas.openxmlformats.org/drawingml/2006/main">
                  <a:graphicData uri="http://schemas.microsoft.com/office/word/2010/wordprocessingShape">
                    <wps:wsp>
                      <wps:cNvSpPr txBox="1"/>
                      <wps:spPr>
                        <a:xfrm>
                          <a:off x="0" y="0"/>
                          <a:ext cx="768159" cy="2743200"/>
                        </a:xfrm>
                        <a:prstGeom prst="rect">
                          <a:avLst/>
                        </a:prstGeom>
                        <a:noFill/>
                      </wps:spPr>
                      <wps:txbx>
                        <w:txbxContent>
                          <w:p w14:paraId="29F62049"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Triunfo, RS</w:t>
                            </w:r>
                          </w:p>
                        </w:txbxContent>
                      </wps:txbx>
                      <wps:bodyPr wrap="none" rtlCol="0">
                        <a:noAutofit/>
                      </wps:bodyPr>
                    </wps:wsp>
                  </a:graphicData>
                </a:graphic>
                <wp14:sizeRelV relativeFrom="margin">
                  <wp14:pctHeight>0</wp14:pctHeight>
                </wp14:sizeRelV>
              </wp:anchor>
            </w:drawing>
          </mc:Choice>
          <mc:Fallback>
            <w:pict>
              <v:shapetype w14:anchorId="128FE4D8" id="_x0000_t202" coordsize="21600,21600" o:spt="202" path="m,l,21600r21600,l21600,xe">
                <v:stroke joinstyle="miter"/>
                <v:path gradientshapeok="t" o:connecttype="rect"/>
              </v:shapetype>
              <v:shape id="TextBox 32" o:spid="_x0000_s1026" type="#_x0000_t202" style="position:absolute;left:0;text-align:left;margin-left:338.9pt;margin-top:284.75pt;width:60.5pt;height:3in;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" filled="f" stroked="f">
                <v:textbox>
                  <w:txbxContent>
                    <w:p w14:paraId="29F62049"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Triunfo, RS</w:t>
                      </w:r>
                    </w:p>
                  </w:txbxContent>
                </v:textbox>
              </v:shape>
            </w:pict>
          </mc:Fallback>
        </mc:AlternateContent>
      </w:r>
      <w:r w:rsidRPr="003C6B9F">
        <w:rPr>
          <w:rFonts w:ascii="Times New Roman" w:hAnsi="Times New Roman" w:cs="Times New Roman"/>
          <w:sz w:val="20"/>
          <w:szCs w:val="20"/>
        </w:rPr>
        <mc:AlternateContent>
          <mc:Choice Requires="wps">
            <w:drawing>
              <wp:anchor distT="0" distB="0" distL="114300" distR="114300" simplePos="0" relativeHeight="251665408" behindDoc="0" locked="0" layoutInCell="1" allowOverlap="1" wp14:anchorId="162A9DAA" wp14:editId="7DC8BC41">
                <wp:simplePos x="0" y="0"/>
                <wp:positionH relativeFrom="column">
                  <wp:posOffset>4243070</wp:posOffset>
                </wp:positionH>
                <wp:positionV relativeFrom="paragraph">
                  <wp:posOffset>3775710</wp:posOffset>
                </wp:positionV>
                <wp:extent cx="851515" cy="2743200"/>
                <wp:effectExtent l="0" t="0" r="0" b="0"/>
                <wp:wrapNone/>
                <wp:docPr id="34" name="TextBox 33">
                  <a:extLst xmlns:a="http://schemas.openxmlformats.org/drawingml/2006/main">
                    <a:ext uri="{FF2B5EF4-FFF2-40B4-BE49-F238E27FC236}">
                      <a16:creationId xmlns:a16="http://schemas.microsoft.com/office/drawing/2014/main" id="{A6A74AB0-BC21-5F22-C74F-14787F23A02D}"/>
                    </a:ext>
                  </a:extLst>
                </wp:docPr>
                <wp:cNvGraphicFramePr/>
                <a:graphic xmlns:a="http://schemas.openxmlformats.org/drawingml/2006/main">
                  <a:graphicData uri="http://schemas.microsoft.com/office/word/2010/wordprocessingShape">
                    <wps:wsp>
                      <wps:cNvSpPr txBox="1"/>
                      <wps:spPr>
                        <a:xfrm>
                          <a:off x="0" y="0"/>
                          <a:ext cx="851515" cy="2743200"/>
                        </a:xfrm>
                        <a:prstGeom prst="rect">
                          <a:avLst/>
                        </a:prstGeom>
                        <a:noFill/>
                      </wps:spPr>
                      <wps:txbx>
                        <w:txbxContent>
                          <w:p w14:paraId="0243E0FA"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Anchieta, ES</w:t>
                            </w:r>
                          </w:p>
                        </w:txbxContent>
                      </wps:txbx>
                      <wps:bodyPr wrap="none" rtlCol="0">
                        <a:noAutofit/>
                      </wps:bodyPr>
                    </wps:wsp>
                  </a:graphicData>
                </a:graphic>
                <wp14:sizeRelV relativeFrom="margin">
                  <wp14:pctHeight>0</wp14:pctHeight>
                </wp14:sizeRelV>
              </wp:anchor>
            </w:drawing>
          </mc:Choice>
          <mc:Fallback>
            <w:pict>
              <v:shape w14:anchorId="162A9DAA" id="TextBox 33" o:spid="_x0000_s1027" type="#_x0000_t202" style="position:absolute;left:0;text-align:left;margin-left:334.1pt;margin-top:297.3pt;width:67.05pt;height:3in;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" filled="f" stroked="f">
                <v:textbox>
                  <w:txbxContent>
                    <w:p w14:paraId="0243E0FA"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Anchieta, ES</w:t>
                      </w:r>
                    </w:p>
                  </w:txbxContent>
                </v:textbox>
              </v:shape>
            </w:pict>
          </mc:Fallback>
        </mc:AlternateContent>
      </w:r>
      <w:r w:rsidRPr="003C6B9F">
        <w:rPr>
          <w:rFonts w:ascii="Times New Roman" w:hAnsi="Times New Roman" w:cs="Times New Roman"/>
          <w:sz w:val="20"/>
          <w:szCs w:val="20"/>
        </w:rPr>
        <mc:AlternateContent>
          <mc:Choice Requires="wps">
            <w:drawing>
              <wp:anchor distT="0" distB="0" distL="114300" distR="114300" simplePos="0" relativeHeight="251666432" behindDoc="0" locked="0" layoutInCell="1" allowOverlap="1" wp14:anchorId="26506752" wp14:editId="5CA87386">
                <wp:simplePos x="0" y="0"/>
                <wp:positionH relativeFrom="column">
                  <wp:posOffset>3996055</wp:posOffset>
                </wp:positionH>
                <wp:positionV relativeFrom="paragraph">
                  <wp:posOffset>3903345</wp:posOffset>
                </wp:positionV>
                <wp:extent cx="1075936" cy="2743200"/>
                <wp:effectExtent l="0" t="0" r="0" b="0"/>
                <wp:wrapNone/>
                <wp:docPr id="35" name="TextBox 34">
                  <a:extLst xmlns:a="http://schemas.openxmlformats.org/drawingml/2006/main">
                    <a:ext uri="{FF2B5EF4-FFF2-40B4-BE49-F238E27FC236}">
                      <a16:creationId xmlns:a16="http://schemas.microsoft.com/office/drawing/2014/main" id="{9D4500DB-483B-C22A-A5A9-4E530F13869D}"/>
                    </a:ext>
                  </a:extLst>
                </wp:docPr>
                <wp:cNvGraphicFramePr/>
                <a:graphic xmlns:a="http://schemas.openxmlformats.org/drawingml/2006/main">
                  <a:graphicData uri="http://schemas.microsoft.com/office/word/2010/wordprocessingShape">
                    <wps:wsp>
                      <wps:cNvSpPr txBox="1"/>
                      <wps:spPr>
                        <a:xfrm>
                          <a:off x="0" y="0"/>
                          <a:ext cx="1075936" cy="2743200"/>
                        </a:xfrm>
                        <a:prstGeom prst="rect">
                          <a:avLst/>
                        </a:prstGeom>
                        <a:noFill/>
                      </wps:spPr>
                      <wps:txbx>
                        <w:txbxContent>
                          <w:p w14:paraId="736EC950"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Belo Oriente, MG</w:t>
                            </w:r>
                          </w:p>
                        </w:txbxContent>
                      </wps:txbx>
                      <wps:bodyPr wrap="none" rtlCol="0">
                        <a:noAutofit/>
                      </wps:bodyPr>
                    </wps:wsp>
                  </a:graphicData>
                </a:graphic>
                <wp14:sizeRelV relativeFrom="margin">
                  <wp14:pctHeight>0</wp14:pctHeight>
                </wp14:sizeRelV>
              </wp:anchor>
            </w:drawing>
          </mc:Choice>
          <mc:Fallback>
            <w:pict>
              <v:shape w14:anchorId="26506752" id="TextBox 34" o:spid="_x0000_s1028" type="#_x0000_t202" style="position:absolute;left:0;text-align:left;margin-left:314.65pt;margin-top:307.35pt;width:84.7pt;height:3in;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" filled="f" stroked="f">
                <v:textbox>
                  <w:txbxContent>
                    <w:p w14:paraId="736EC950"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Belo Oriente, MG</w:t>
                      </w:r>
                    </w:p>
                  </w:txbxContent>
                </v:textbox>
              </v:shape>
            </w:pict>
          </mc:Fallback>
        </mc:AlternateContent>
      </w:r>
      <w:r w:rsidRPr="003C6B9F">
        <w:rPr>
          <w:rFonts w:ascii="Times New Roman" w:hAnsi="Times New Roman" w:cs="Times New Roman"/>
          <w:sz w:val="20"/>
          <w:szCs w:val="20"/>
        </w:rPr>
        <mc:AlternateContent>
          <mc:Choice Requires="wps">
            <w:drawing>
              <wp:anchor distT="0" distB="0" distL="114300" distR="114300" simplePos="0" relativeHeight="251667456" behindDoc="0" locked="0" layoutInCell="1" allowOverlap="1" wp14:anchorId="749F7675" wp14:editId="7F820DB6">
                <wp:simplePos x="0" y="0"/>
                <wp:positionH relativeFrom="column">
                  <wp:posOffset>3409315</wp:posOffset>
                </wp:positionH>
                <wp:positionV relativeFrom="paragraph">
                  <wp:posOffset>4036060</wp:posOffset>
                </wp:positionV>
                <wp:extent cx="1672253" cy="2743200"/>
                <wp:effectExtent l="0" t="0" r="0" b="0"/>
                <wp:wrapNone/>
                <wp:docPr id="36" name="TextBox 35">
                  <a:extLst xmlns:a="http://schemas.openxmlformats.org/drawingml/2006/main">
                    <a:ext uri="{FF2B5EF4-FFF2-40B4-BE49-F238E27FC236}">
                      <a16:creationId xmlns:a16="http://schemas.microsoft.com/office/drawing/2014/main" id="{8A5AE23D-5081-41D7-0148-82C3502EB227}"/>
                    </a:ext>
                  </a:extLst>
                </wp:docPr>
                <wp:cNvGraphicFramePr/>
                <a:graphic xmlns:a="http://schemas.openxmlformats.org/drawingml/2006/main">
                  <a:graphicData uri="http://schemas.microsoft.com/office/word/2010/wordprocessingShape">
                    <wps:wsp>
                      <wps:cNvSpPr txBox="1"/>
                      <wps:spPr>
                        <a:xfrm>
                          <a:off x="0" y="0"/>
                          <a:ext cx="1672253" cy="2743200"/>
                        </a:xfrm>
                        <a:prstGeom prst="rect">
                          <a:avLst/>
                        </a:prstGeom>
                        <a:noFill/>
                      </wps:spPr>
                      <wps:txbx>
                        <w:txbxContent>
                          <w:p w14:paraId="0C0563E4"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São Francisco do Conde, BA</w:t>
                            </w:r>
                          </w:p>
                        </w:txbxContent>
                      </wps:txbx>
                      <wps:bodyPr wrap="none" rtlCol="0">
                        <a:noAutofit/>
                      </wps:bodyPr>
                    </wps:wsp>
                  </a:graphicData>
                </a:graphic>
                <wp14:sizeRelV relativeFrom="margin">
                  <wp14:pctHeight>0</wp14:pctHeight>
                </wp14:sizeRelV>
              </wp:anchor>
            </w:drawing>
          </mc:Choice>
          <mc:Fallback>
            <w:pict>
              <v:shape w14:anchorId="749F7675" id="TextBox 35" o:spid="_x0000_s1029" type="#_x0000_t202" style="position:absolute;left:0;text-align:left;margin-left:268.45pt;margin-top:317.8pt;width:131.65pt;height:3in;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" filled="f" stroked="f">
                <v:textbox>
                  <w:txbxContent>
                    <w:p w14:paraId="0C0563E4" w14:textId="77777777" w:rsidR="003C6B9F" w:rsidRDefault="003C6B9F" w:rsidP="003C6B9F">
                      <w:pPr>
                        <w:rPr>
                          <w:rFonts w:ascii="Helvetica" w:hAnsi="Helvetica" w:cs="Helvetica"/>
                          <w:color w:val="000000" w:themeColor="text1"/>
                          <w:kern w:val="24"/>
                          <w:sz w:val="18"/>
                          <w:szCs w:val="18"/>
                          <w:lang w:val="pt-BR"/>
                          <w14:ligatures w14:val="none"/>
                        </w:rPr>
                      </w:pPr>
                      <w:r>
                        <w:rPr>
                          <w:rFonts w:ascii="Helvetica" w:hAnsi="Helvetica" w:cs="Helvetica"/>
                          <w:color w:val="000000" w:themeColor="text1"/>
                          <w:kern w:val="24"/>
                          <w:sz w:val="18"/>
                          <w:szCs w:val="18"/>
                          <w:lang w:val="pt-BR"/>
                        </w:rPr>
                        <w:t>São Francisco do Conde, BA</w:t>
                      </w:r>
                    </w:p>
                  </w:txbxContent>
                </v:textbox>
              </v:shape>
            </w:pict>
          </mc:Fallback>
        </mc:AlternateContent>
      </w:r>
    </w:p>
    <w:p w14:paraId="4EBFD96A" w14:textId="77777777" w:rsidR="006F4A89" w:rsidRDefault="006F4A89" w:rsidP="00DA12E2">
      <w:pPr>
        <w:jc w:val="both"/>
        <w:rPr>
          <w:rFonts w:ascii="Times New Roman" w:hAnsi="Times New Roman" w:cs="Times New Roman"/>
          <w:sz w:val="20"/>
          <w:szCs w:val="20"/>
        </w:rPr>
      </w:pPr>
    </w:p>
    <w:p w14:paraId="65EA5033" w14:textId="77777777" w:rsidR="00E158AC" w:rsidRPr="00530B7D" w:rsidRDefault="00E158AC" w:rsidP="00530B7D">
      <w:pPr>
        <w:jc w:val="both"/>
        <w:rPr>
          <w:rFonts w:ascii="Times New Roman" w:hAnsi="Times New Roman" w:cs="Times New Roman"/>
        </w:rPr>
      </w:pPr>
    </w:p>
    <w:p w14:paraId="450247EB" w14:textId="77777777" w:rsidR="005F2EE5" w:rsidRPr="00530B7D" w:rsidRDefault="005F2EE5" w:rsidP="00530B7D">
      <w:pPr>
        <w:jc w:val="both"/>
        <w:rPr>
          <w:rFonts w:ascii="Times New Roman" w:hAnsi="Times New Roman" w:cs="Times New Roman"/>
        </w:rPr>
      </w:pPr>
    </w:p>
    <w:p w14:paraId="5063870C" w14:textId="4C090204" w:rsidR="00E158AC" w:rsidRPr="00530B7D" w:rsidRDefault="00E158AC" w:rsidP="00530B7D">
      <w:pPr>
        <w:jc w:val="both"/>
        <w:rPr>
          <w:rFonts w:ascii="Times New Roman" w:hAnsi="Times New Roman" w:cs="Times New Roman"/>
        </w:rPr>
      </w:pPr>
    </w:p>
    <w:p w14:paraId="3647EC0C" w14:textId="77777777" w:rsidR="00AB3C15" w:rsidRPr="00530B7D" w:rsidRDefault="00AB3C15" w:rsidP="00530B7D">
      <w:pPr>
        <w:jc w:val="both"/>
        <w:rPr>
          <w:rFonts w:ascii="Times New Roman" w:hAnsi="Times New Roman" w:cs="Times New Roman"/>
        </w:rPr>
      </w:pPr>
    </w:p>
    <w:p w14:paraId="77099504" w14:textId="531890E8" w:rsidR="009B243F" w:rsidRPr="00530B7D" w:rsidRDefault="009B243F"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t>A brief review of the literature</w:t>
      </w:r>
    </w:p>
    <w:p w14:paraId="139DD2F4" w14:textId="516E4952" w:rsidR="00555A04" w:rsidRPr="00530B7D" w:rsidRDefault="00CC2FC7" w:rsidP="00530B7D">
      <w:pPr>
        <w:pStyle w:val="BodyText"/>
        <w:rPr>
          <w:rFonts w:ascii="Times New Roman" w:hAnsi="Times New Roman"/>
          <w:sz w:val="22"/>
          <w:szCs w:val="22"/>
        </w:rPr>
      </w:pPr>
      <w:r w:rsidRPr="00530B7D">
        <w:rPr>
          <w:rFonts w:ascii="Times New Roman" w:hAnsi="Times New Roman"/>
          <w:sz w:val="22"/>
          <w:szCs w:val="22"/>
        </w:rPr>
        <w:t>Understanding the link between trade policy and trade outcomes (increasing trade) and its connection with the labor market has motivated many empirical studies. The findings that come out of the academic literature strongly suggest that the relationship is very strong. In most cases trade agreements increase trade and, in general, lowering trade costs by reducing trade barriers and tariffs and quotas and non-tariff barriers tend to increase trade to differing degrees. </w:t>
      </w:r>
      <w:r w:rsidR="002356F6" w:rsidRPr="00530B7D">
        <w:rPr>
          <w:rFonts w:ascii="Times New Roman" w:hAnsi="Times New Roman"/>
          <w:sz w:val="22"/>
          <w:szCs w:val="22"/>
        </w:rPr>
        <w:t>However, there is still</w:t>
      </w:r>
      <w:r w:rsidR="00C22C15" w:rsidRPr="00530B7D">
        <w:rPr>
          <w:rFonts w:ascii="Times New Roman" w:hAnsi="Times New Roman"/>
          <w:sz w:val="22"/>
          <w:szCs w:val="22"/>
        </w:rPr>
        <w:t xml:space="preserve"> limited knowledge of the channels through </w:t>
      </w:r>
      <w:r w:rsidR="00C22C15" w:rsidRPr="00530B7D">
        <w:rPr>
          <w:rFonts w:ascii="Times New Roman" w:hAnsi="Times New Roman"/>
          <w:sz w:val="22"/>
          <w:szCs w:val="22"/>
        </w:rPr>
        <w:lastRenderedPageBreak/>
        <w:t xml:space="preserve">which trade affects </w:t>
      </w:r>
      <w:r w:rsidR="007B475F" w:rsidRPr="00530B7D">
        <w:rPr>
          <w:rFonts w:ascii="Times New Roman" w:hAnsi="Times New Roman"/>
          <w:sz w:val="22"/>
          <w:szCs w:val="22"/>
        </w:rPr>
        <w:t xml:space="preserve">labor market outcomes particularly for exports and in developing countries. </w:t>
      </w:r>
      <w:r w:rsidR="00BD1C51" w:rsidRPr="00530B7D">
        <w:rPr>
          <w:rFonts w:ascii="Times New Roman" w:hAnsi="Times New Roman"/>
          <w:sz w:val="22"/>
          <w:szCs w:val="22"/>
        </w:rPr>
        <w:t>Our approach builds upon several recent empirical papers.</w:t>
      </w:r>
      <w:r w:rsidR="007B475F" w:rsidRPr="00530B7D">
        <w:rPr>
          <w:rFonts w:ascii="Times New Roman" w:hAnsi="Times New Roman"/>
          <w:sz w:val="22"/>
          <w:szCs w:val="22"/>
        </w:rPr>
        <w:t xml:space="preserve"> </w:t>
      </w:r>
      <w:r w:rsidR="00555A04" w:rsidRPr="00530B7D">
        <w:rPr>
          <w:rFonts w:ascii="Times New Roman" w:hAnsi="Times New Roman"/>
          <w:sz w:val="22"/>
          <w:szCs w:val="22"/>
        </w:rPr>
        <w:t>Pioneering research by Topalova (2010) studies the effects of tariff changes on poverty rates across India’s districts. The author measured the effective changes in tariff rates for districts (zila) by weighting industry-level changes with the number of workers in each district. One of Topalova’s (2010) key contributions was to implement an approach proposed by Bartik (1991). This approach takes advantage of a concentration of production and local labor markets to identify the relationship between globalization and local labor market outcomes. More specifically, Topalova calculates the effective change in import protection for Indian districts after the 1991 trade reform. The variation in the author’s sample comes from differences among districts in their industry and import compositions. The districts with a larger share of import-competing sectors and sectors with larger tariff reductions are exposed more severely to the trade liberalization shocks. Topalova</w:t>
      </w:r>
      <w:r w:rsidR="00555A04" w:rsidRPr="00530B7D" w:rsidDel="00FB556F">
        <w:rPr>
          <w:rFonts w:ascii="Times New Roman" w:hAnsi="Times New Roman"/>
          <w:sz w:val="22"/>
          <w:szCs w:val="22"/>
        </w:rPr>
        <w:t xml:space="preserve"> </w:t>
      </w:r>
      <w:r w:rsidR="00555A04" w:rsidRPr="00530B7D">
        <w:rPr>
          <w:rFonts w:ascii="Times New Roman" w:hAnsi="Times New Roman"/>
          <w:sz w:val="22"/>
          <w:szCs w:val="22"/>
        </w:rPr>
        <w:t xml:space="preserve">assumes that tariff reductions are exogenous to the </w:t>
      </w:r>
      <w:r w:rsidR="007613D9" w:rsidRPr="00530B7D">
        <w:rPr>
          <w:rFonts w:ascii="Times New Roman" w:hAnsi="Times New Roman"/>
          <w:sz w:val="22"/>
          <w:szCs w:val="22"/>
        </w:rPr>
        <w:t>districts since</w:t>
      </w:r>
      <w:r w:rsidR="00555A04" w:rsidRPr="00530B7D">
        <w:rPr>
          <w:rFonts w:ascii="Times New Roman" w:hAnsi="Times New Roman"/>
          <w:sz w:val="22"/>
          <w:szCs w:val="22"/>
        </w:rPr>
        <w:t xml:space="preserve"> they were planned by the central government through international agreements. </w:t>
      </w:r>
    </w:p>
    <w:p w14:paraId="28B2989C" w14:textId="77777777" w:rsidR="00555A04" w:rsidRPr="00530B7D" w:rsidRDefault="00555A04" w:rsidP="00530B7D">
      <w:pPr>
        <w:pStyle w:val="BodyText"/>
        <w:rPr>
          <w:rFonts w:ascii="Times New Roman" w:hAnsi="Times New Roman"/>
          <w:spacing w:val="-2"/>
          <w:sz w:val="22"/>
          <w:szCs w:val="22"/>
        </w:rPr>
      </w:pPr>
      <w:r w:rsidRPr="00530B7D">
        <w:rPr>
          <w:rFonts w:ascii="Times New Roman" w:hAnsi="Times New Roman"/>
          <w:sz w:val="22"/>
          <w:szCs w:val="22"/>
        </w:rPr>
        <w:t xml:space="preserve">Several studies have used variations of this approach but have reached different conclusions. Topalova (2010) shows that poverty rates increased (or decreased more slowly) in districts that were more exposed to the trade shocks. One concern about the Topolova (2010) study, however, is that the study assumes zero tariffs for nontraded sectors such as services, and includes those </w:t>
      </w:r>
      <w:r w:rsidRPr="00530B7D">
        <w:rPr>
          <w:rFonts w:ascii="Times New Roman" w:hAnsi="Times New Roman"/>
          <w:spacing w:val="-2"/>
          <w:sz w:val="22"/>
          <w:szCs w:val="22"/>
        </w:rPr>
        <w:t>sectors in the analysis. In reality, however, nontraded sectors face trade costs that are prohibitive, which is more consistent conceptually with infinite tariffs than with zero tariffs. Hasa, Mitra, and Ural</w:t>
      </w:r>
      <w:r w:rsidRPr="00530B7D" w:rsidDel="00336241">
        <w:rPr>
          <w:rFonts w:ascii="Times New Roman" w:hAnsi="Times New Roman"/>
          <w:spacing w:val="-2"/>
          <w:sz w:val="22"/>
          <w:szCs w:val="22"/>
        </w:rPr>
        <w:t xml:space="preserve"> </w:t>
      </w:r>
      <w:r w:rsidRPr="00530B7D">
        <w:rPr>
          <w:rFonts w:ascii="Times New Roman" w:hAnsi="Times New Roman"/>
          <w:spacing w:val="-2"/>
          <w:sz w:val="22"/>
          <w:szCs w:val="22"/>
        </w:rPr>
        <w:t xml:space="preserve">(2007) argue that changing the zero tariffs to prohibitive levels generates results that suggest that trade shocks potentially reduced poverty in India. Although their results contrast with Topalova (2010), they use a similar Bartik (1991)-based instrument in their research. </w:t>
      </w:r>
    </w:p>
    <w:p w14:paraId="66955476" w14:textId="77777777" w:rsidR="00555A04" w:rsidRPr="00530B7D" w:rsidRDefault="00555A04" w:rsidP="00530B7D">
      <w:pPr>
        <w:pStyle w:val="BodyText"/>
        <w:rPr>
          <w:rFonts w:ascii="Times New Roman" w:hAnsi="Times New Roman"/>
          <w:sz w:val="22"/>
          <w:szCs w:val="22"/>
        </w:rPr>
      </w:pPr>
      <w:r w:rsidRPr="00530B7D">
        <w:rPr>
          <w:rFonts w:ascii="Times New Roman" w:hAnsi="Times New Roman"/>
          <w:sz w:val="22"/>
          <w:szCs w:val="22"/>
        </w:rPr>
        <w:t xml:space="preserve">Using an empirical approach suggested by Hasan, Mitra, and Ramasmawy (2007), Krishna, Mitra, and Sundaram (2010) show that the positive impact of trade liberalization on poverty reduction is less significant in lagging regions in India, Sri Lanka, Bangladesh, Pakistan, and Nepal. In a related study, Hasan et al. (2012) show that trade protection is negatively correlated with state-level unemployment; this correlation is especially strong for states that have high employment in exporting industries. </w:t>
      </w:r>
    </w:p>
    <w:p w14:paraId="09D63120" w14:textId="025C4A00" w:rsidR="00555A04" w:rsidRPr="00530B7D" w:rsidRDefault="00555A04" w:rsidP="00530B7D">
      <w:pPr>
        <w:pStyle w:val="BodyText"/>
        <w:rPr>
          <w:rFonts w:ascii="Times New Roman" w:hAnsi="Times New Roman"/>
          <w:sz w:val="22"/>
          <w:szCs w:val="22"/>
        </w:rPr>
      </w:pPr>
      <w:r w:rsidRPr="00530B7D">
        <w:rPr>
          <w:rFonts w:ascii="Times New Roman" w:hAnsi="Times New Roman"/>
          <w:sz w:val="22"/>
          <w:szCs w:val="22"/>
        </w:rPr>
        <w:t xml:space="preserve">In Brazil, Menezes-Filho and Muendler (2011) find that low tariffs on intermediate inputs were associated with a lower likelihood of unemployment and higher formal sector employment. Kovak (2013) uses an instrument based on tariff changes, </w:t>
      </w:r>
      <w:r w:rsidR="007613D9" w:rsidRPr="00530B7D">
        <w:rPr>
          <w:rFonts w:ascii="Times New Roman" w:hAnsi="Times New Roman"/>
          <w:sz w:val="22"/>
          <w:szCs w:val="22"/>
        </w:rPr>
        <w:t>like</w:t>
      </w:r>
      <w:r w:rsidRPr="00530B7D">
        <w:rPr>
          <w:rFonts w:ascii="Times New Roman" w:hAnsi="Times New Roman"/>
          <w:sz w:val="22"/>
          <w:szCs w:val="22"/>
        </w:rPr>
        <w:t xml:space="preserve"> Topalova (2010), to analyze the impact of trade liberalization on Brazil’s labor markets. Unlike the previous research, the study uses a semi-structural approach based on a general theoretical model. Kovak shows the exact specification for the instrument that is consistent with the economic theory. The author argues that the effects of trade shocks on local labor markets are larger when localities are more exposed to trade through higher producer prices, larger employment shares in import-competing sectors, and higher elasticities of labor demand. Dix-Carneiro and Kovak (2017) find that, lower tariffs had the opposite effect, result</w:t>
      </w:r>
      <w:r w:rsidRPr="00530B7D">
        <w:rPr>
          <w:rFonts w:ascii="Times New Roman" w:hAnsi="Times New Roman"/>
          <w:sz w:val="22"/>
          <w:szCs w:val="22"/>
        </w:rPr>
        <w:softHyphen/>
        <w:t>ing in higher informality in Brazilian micro-regions that were more exposed to tariff reductions, even 20 years after the trade reform. Similarly, after examining annual vari</w:t>
      </w:r>
      <w:r w:rsidRPr="00530B7D">
        <w:rPr>
          <w:rFonts w:ascii="Times New Roman" w:hAnsi="Times New Roman"/>
          <w:sz w:val="22"/>
          <w:szCs w:val="22"/>
        </w:rPr>
        <w:softHyphen/>
        <w:t xml:space="preserve">ations in tariffs between 1993 and 2001, Sarra and Bombarda (2018) find that regional exposure to Mexican tariff reductions boosted the probability of formal employment in tradable sectors, especially for men. This may have been driven by the fact that export-oriented sectors benefited from the fall in Mexican tariffs as intermediate inputs became cheaper.   </w:t>
      </w:r>
    </w:p>
    <w:p w14:paraId="5B29CE0D" w14:textId="7B18582D" w:rsidR="000376BB" w:rsidRPr="00530B7D" w:rsidRDefault="000376BB" w:rsidP="00530B7D">
      <w:pPr>
        <w:pStyle w:val="Pa20"/>
        <w:spacing w:after="140"/>
        <w:jc w:val="both"/>
        <w:rPr>
          <w:rFonts w:ascii="Times New Roman" w:hAnsi="Times New Roman" w:cs="Times New Roman"/>
          <w:sz w:val="22"/>
          <w:szCs w:val="22"/>
        </w:rPr>
      </w:pPr>
      <w:r w:rsidRPr="00530B7D">
        <w:rPr>
          <w:rFonts w:ascii="Times New Roman" w:hAnsi="Times New Roman" w:cs="Times New Roman"/>
          <w:sz w:val="22"/>
          <w:szCs w:val="22"/>
        </w:rPr>
        <w:t>For Brazilian workers, empirical evidence shows that the dynamic process of adjust</w:t>
      </w:r>
      <w:r w:rsidRPr="00530B7D">
        <w:rPr>
          <w:rFonts w:ascii="Times New Roman" w:hAnsi="Times New Roman" w:cs="Times New Roman"/>
          <w:sz w:val="22"/>
          <w:szCs w:val="22"/>
        </w:rPr>
        <w:softHyphen/>
        <w:t>ment to trade liberalization reforms has been painful, bringing bigger declines in wages and lower employment over time. Between 1991 and 2002, Kovak (2013) finds that microregions in Brazil facing liberalization-induced price declines greater than 10 percent experience 4 percent more declines in wages. Building upon this work, Dix-Carneiro and Kovak (2017) show that microregions facing larger tariff cuts experience prolonged declines in for</w:t>
      </w:r>
      <w:r w:rsidRPr="00530B7D">
        <w:rPr>
          <w:rFonts w:ascii="Times New Roman" w:hAnsi="Times New Roman" w:cs="Times New Roman"/>
          <w:sz w:val="22"/>
          <w:szCs w:val="22"/>
        </w:rPr>
        <w:softHyphen/>
        <w:t xml:space="preserve">mal sector employment and earnings relative to other microregions: the impact of tariff changes on regional earnings 20 years after liberalization is three times the effect after 10 years Workers </w:t>
      </w:r>
      <w:r w:rsidRPr="00530B7D">
        <w:rPr>
          <w:rFonts w:ascii="Times New Roman" w:hAnsi="Times New Roman" w:cs="Times New Roman"/>
          <w:sz w:val="22"/>
          <w:szCs w:val="22"/>
        </w:rPr>
        <w:lastRenderedPageBreak/>
        <w:t xml:space="preserve">initially working in tradable sectors are more likely to locally transition to </w:t>
      </w:r>
      <w:r w:rsidR="00D1631C" w:rsidRPr="00530B7D">
        <w:rPr>
          <w:rFonts w:ascii="Times New Roman" w:hAnsi="Times New Roman" w:cs="Times New Roman"/>
          <w:sz w:val="22"/>
          <w:szCs w:val="22"/>
        </w:rPr>
        <w:t>non-tradable</w:t>
      </w:r>
      <w:r w:rsidRPr="00530B7D">
        <w:rPr>
          <w:rFonts w:ascii="Times New Roman" w:hAnsi="Times New Roman" w:cs="Times New Roman"/>
          <w:sz w:val="22"/>
          <w:szCs w:val="22"/>
        </w:rPr>
        <w:t xml:space="preserve"> sectors, but this response is not enough to offset the strong declines in formal employment in tradable sectors. Workers in non</w:t>
      </w:r>
      <w:r w:rsidR="00D1631C" w:rsidRPr="00530B7D">
        <w:rPr>
          <w:rFonts w:ascii="Times New Roman" w:hAnsi="Times New Roman" w:cs="Times New Roman"/>
          <w:sz w:val="22"/>
          <w:szCs w:val="22"/>
        </w:rPr>
        <w:t>-</w:t>
      </w:r>
      <w:r w:rsidRPr="00530B7D">
        <w:rPr>
          <w:rFonts w:ascii="Times New Roman" w:hAnsi="Times New Roman" w:cs="Times New Roman"/>
          <w:sz w:val="22"/>
          <w:szCs w:val="22"/>
        </w:rPr>
        <w:t>tradable sectors in harder-hit areas are similarly affected, indicating large spillovers from tradable to non</w:t>
      </w:r>
      <w:r w:rsidR="00D1631C" w:rsidRPr="00530B7D">
        <w:rPr>
          <w:rFonts w:ascii="Times New Roman" w:hAnsi="Times New Roman" w:cs="Times New Roman"/>
          <w:sz w:val="22"/>
          <w:szCs w:val="22"/>
        </w:rPr>
        <w:t>-</w:t>
      </w:r>
      <w:r w:rsidRPr="00530B7D">
        <w:rPr>
          <w:rFonts w:ascii="Times New Roman" w:hAnsi="Times New Roman" w:cs="Times New Roman"/>
          <w:sz w:val="22"/>
          <w:szCs w:val="22"/>
        </w:rPr>
        <w:t xml:space="preserve">tradable sectors. Why does this occur? The authors suggest there is a mechanism involving imperfect interregional labor mobility and dynamics in labor demand, driven by slow capital adjustment and agglomeration economies. These unfavorable results are consistent with conclusions by Góes et al. (2019), who deviate from the reduced-form methodology employed by these earlier studies and instead use a general-equilibrium model that aggregates information on production, employment, wages, prices, imports, and exports in 57 economic sectors in Brazil. </w:t>
      </w:r>
    </w:p>
    <w:p w14:paraId="6DD29F1D" w14:textId="77777777" w:rsidR="000376BB" w:rsidRPr="00530B7D" w:rsidRDefault="000376BB" w:rsidP="00530B7D">
      <w:pPr>
        <w:pStyle w:val="Pa21"/>
        <w:spacing w:after="140"/>
        <w:jc w:val="both"/>
        <w:rPr>
          <w:rFonts w:ascii="Times New Roman" w:hAnsi="Times New Roman" w:cs="Times New Roman"/>
          <w:sz w:val="22"/>
          <w:szCs w:val="22"/>
        </w:rPr>
      </w:pPr>
      <w:r w:rsidRPr="00530B7D">
        <w:rPr>
          <w:rFonts w:ascii="Times New Roman" w:hAnsi="Times New Roman" w:cs="Times New Roman"/>
          <w:sz w:val="22"/>
          <w:szCs w:val="22"/>
        </w:rPr>
        <w:t>Most of the adjustment in Brazil takes place through the informal sector, which acts as a buffer for trade-displaced workers. Dix-Carneiro and Kovak (2017) show that, after Brazil’s trade liberalization in the 1990s, microregions more exposed to foreign competition faced higher unemployment in the medium term relative to the national average. In the long run, however, foreign competition had no effect on unemployment, but there was a significant positive effect on informal employ</w:t>
      </w:r>
      <w:r w:rsidRPr="00530B7D">
        <w:rPr>
          <w:rFonts w:ascii="Times New Roman" w:hAnsi="Times New Roman" w:cs="Times New Roman"/>
          <w:sz w:val="22"/>
          <w:szCs w:val="22"/>
        </w:rPr>
        <w:softHyphen/>
        <w:t>ment at the local level. This view of the informal sector serving as a buffer is cor</w:t>
      </w:r>
      <w:r w:rsidRPr="00530B7D">
        <w:rPr>
          <w:rFonts w:ascii="Times New Roman" w:hAnsi="Times New Roman" w:cs="Times New Roman"/>
          <w:sz w:val="22"/>
          <w:szCs w:val="22"/>
        </w:rPr>
        <w:softHyphen/>
        <w:t>roborated by Ponczek and Ulyssea (2018), who show that the medium-term effect of liberalization-induced foreign competition on unemployment was larger in microregions where labor market regulations were more strictly enforced, making labor shifts harder. The role of the informal sector as an important margin of labor market adjustment to trade has gained prominence in the literature in last two decades.</w:t>
      </w:r>
    </w:p>
    <w:p w14:paraId="442F05EF" w14:textId="77777777" w:rsidR="000376BB" w:rsidRPr="00530B7D" w:rsidRDefault="000376BB" w:rsidP="00530B7D">
      <w:pPr>
        <w:pStyle w:val="Pa21"/>
        <w:spacing w:after="140"/>
        <w:jc w:val="both"/>
        <w:rPr>
          <w:rFonts w:ascii="Times New Roman" w:hAnsi="Times New Roman" w:cs="Times New Roman"/>
          <w:sz w:val="22"/>
          <w:szCs w:val="22"/>
        </w:rPr>
      </w:pPr>
      <w:r w:rsidRPr="00530B7D">
        <w:rPr>
          <w:rFonts w:ascii="Times New Roman" w:hAnsi="Times New Roman" w:cs="Times New Roman"/>
          <w:sz w:val="22"/>
          <w:szCs w:val="22"/>
        </w:rPr>
        <w:t>What about the effects of an import and export shock on migration across microre</w:t>
      </w:r>
      <w:r w:rsidRPr="00530B7D">
        <w:rPr>
          <w:rFonts w:ascii="Times New Roman" w:hAnsi="Times New Roman" w:cs="Times New Roman"/>
          <w:sz w:val="22"/>
          <w:szCs w:val="22"/>
        </w:rPr>
        <w:softHyphen/>
        <w:t>gions and labor reallocation from the formal sector to nonemployment within these regions? Using an instrumental-variable approach, Brummund and Connolly (2019) examine Brazil’s unique trade relationship with China to analyze this question. They find that export exposure reduces the movement of workers from the traded sec</w:t>
      </w:r>
      <w:r w:rsidRPr="00530B7D">
        <w:rPr>
          <w:rFonts w:ascii="Times New Roman" w:hAnsi="Times New Roman" w:cs="Times New Roman"/>
          <w:sz w:val="22"/>
          <w:szCs w:val="22"/>
        </w:rPr>
        <w:softHyphen/>
        <w:t>tor to nonemployment and increases the movement of workers from nonemployment to the nontraded sector. These movements are primarily driven by the manufacturing sector. This is in stark contrast to the negative impacts on microregions that are more exposed to imports, which show more reallocation from manufacturing to nonem</w:t>
      </w:r>
      <w:r w:rsidRPr="00530B7D">
        <w:rPr>
          <w:rFonts w:ascii="Times New Roman" w:hAnsi="Times New Roman" w:cs="Times New Roman"/>
          <w:sz w:val="22"/>
          <w:szCs w:val="22"/>
        </w:rPr>
        <w:softHyphen/>
        <w:t xml:space="preserve">ployment, and less movement from the traded sector to the nontraded sector. It thus seems that Brazilian labor markets responded more dynamically to the China shock than they did to the 1990s trade reforms. </w:t>
      </w:r>
    </w:p>
    <w:p w14:paraId="2F447F16" w14:textId="77777777" w:rsidR="000376BB" w:rsidRPr="00530B7D" w:rsidRDefault="000376BB" w:rsidP="00530B7D">
      <w:pPr>
        <w:pStyle w:val="Pa21"/>
        <w:spacing w:after="140"/>
        <w:jc w:val="both"/>
        <w:rPr>
          <w:rFonts w:ascii="Times New Roman" w:hAnsi="Times New Roman" w:cs="Times New Roman"/>
          <w:sz w:val="22"/>
          <w:szCs w:val="22"/>
        </w:rPr>
      </w:pPr>
      <w:r w:rsidRPr="00530B7D">
        <w:rPr>
          <w:rFonts w:ascii="Times New Roman" w:hAnsi="Times New Roman" w:cs="Times New Roman"/>
          <w:sz w:val="22"/>
          <w:szCs w:val="22"/>
        </w:rPr>
        <w:t>Trade liberalization has had mixed effects on poverty in Brazil. While some studies show that trade has contributed to poverty reduction by lowering the cost of goods and creating new job opportunities, others highlight that the benefits are unevenly distributed, often favoring those who are already better off. Consequently, while some individuals have moved out of poverty, others have seen little change or even worsening conditions due to job displacement or wage reduction in vulnerable sectors.</w:t>
      </w:r>
    </w:p>
    <w:p w14:paraId="2750A07E" w14:textId="77777777" w:rsidR="000376BB" w:rsidRPr="00530B7D" w:rsidRDefault="000376BB" w:rsidP="00530B7D">
      <w:pPr>
        <w:jc w:val="both"/>
        <w:rPr>
          <w:rFonts w:ascii="Times New Roman" w:hAnsi="Times New Roman" w:cs="Times New Roman"/>
        </w:rPr>
      </w:pPr>
    </w:p>
    <w:p w14:paraId="26C402AE" w14:textId="08681E27" w:rsidR="009B243F" w:rsidRPr="00530B7D" w:rsidRDefault="009B243F"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t>Data</w:t>
      </w:r>
    </w:p>
    <w:p w14:paraId="7353D407" w14:textId="4FCD2373" w:rsidR="008F2497" w:rsidRPr="00530B7D" w:rsidRDefault="008F2497" w:rsidP="00530B7D">
      <w:pPr>
        <w:pStyle w:val="Heading2"/>
        <w:jc w:val="both"/>
        <w:rPr>
          <w:rFonts w:ascii="Times New Roman" w:hAnsi="Times New Roman" w:cs="Times New Roman"/>
        </w:rPr>
      </w:pPr>
    </w:p>
    <w:p w14:paraId="2D5DF4C2" w14:textId="7FE332FB" w:rsidR="008F2497" w:rsidRPr="00530B7D" w:rsidRDefault="00981AC6" w:rsidP="00530B7D">
      <w:pPr>
        <w:pStyle w:val="Heading2"/>
        <w:jc w:val="both"/>
        <w:rPr>
          <w:rFonts w:ascii="Times New Roman" w:hAnsi="Times New Roman" w:cs="Times New Roman"/>
        </w:rPr>
      </w:pPr>
      <w:r w:rsidRPr="00530B7D">
        <w:rPr>
          <w:rFonts w:ascii="Times New Roman" w:hAnsi="Times New Roman" w:cs="Times New Roman"/>
        </w:rPr>
        <w:t>Formal employment</w:t>
      </w:r>
    </w:p>
    <w:p w14:paraId="10319CF2" w14:textId="77777777" w:rsidR="00981AC6" w:rsidRPr="00530B7D" w:rsidRDefault="00981AC6" w:rsidP="00530B7D">
      <w:pPr>
        <w:jc w:val="both"/>
        <w:rPr>
          <w:rFonts w:ascii="Times New Roman" w:hAnsi="Times New Roman" w:cs="Times New Roman"/>
        </w:rPr>
      </w:pPr>
    </w:p>
    <w:p w14:paraId="0C6E037C" w14:textId="2383E6ED" w:rsidR="00BD4CA0" w:rsidRPr="00530B7D" w:rsidRDefault="00BD4CA0" w:rsidP="00530B7D">
      <w:pPr>
        <w:jc w:val="both"/>
        <w:rPr>
          <w:rFonts w:ascii="Times New Roman" w:hAnsi="Times New Roman" w:cs="Times New Roman"/>
        </w:rPr>
      </w:pPr>
      <w:r w:rsidRPr="00530B7D">
        <w:rPr>
          <w:rFonts w:ascii="Times New Roman" w:hAnsi="Times New Roman" w:cs="Times New Roman"/>
        </w:rPr>
        <w:t>To obtain information about the formal labor market in Brazil, we use the Brazilian matched employer-employee data set called RAIS (</w:t>
      </w:r>
      <w:r w:rsidRPr="00530B7D">
        <w:rPr>
          <w:rFonts w:ascii="Times New Roman" w:hAnsi="Times New Roman" w:cs="Times New Roman"/>
          <w:i/>
          <w:iCs/>
        </w:rPr>
        <w:t>Relação Anual de Informações Sociais</w:t>
      </w:r>
      <w:r w:rsidRPr="00530B7D">
        <w:rPr>
          <w:rFonts w:ascii="Times New Roman" w:hAnsi="Times New Roman" w:cs="Times New Roman"/>
        </w:rPr>
        <w:t xml:space="preserve">), which is an annual census of formal workers in the country. RAIS is an administrative data set administered by the Brazilian Ministry of Labor and that has detailed information about all formal workers in the country. Every year firms must submit information about their employees and are subject to fines if they do not comply with the submission </w:t>
      </w:r>
      <w:r w:rsidRPr="00530B7D">
        <w:rPr>
          <w:rFonts w:ascii="Times New Roman" w:hAnsi="Times New Roman" w:cs="Times New Roman"/>
        </w:rPr>
        <w:lastRenderedPageBreak/>
        <w:t>deadlines. For the main analyses, we use the yearly RAIS data sets for the 1995-2021 period and the sectoral classification based on CNAE 95 at the 5-digit level.</w:t>
      </w:r>
      <w:r w:rsidRPr="00530B7D">
        <w:rPr>
          <w:rStyle w:val="FootnoteReference"/>
          <w:rFonts w:ascii="Times New Roman" w:hAnsi="Times New Roman" w:cs="Times New Roman"/>
        </w:rPr>
        <w:footnoteReference w:id="1"/>
      </w:r>
      <w:r w:rsidRPr="00530B7D">
        <w:rPr>
          <w:rStyle w:val="FootnoteReference"/>
          <w:rFonts w:ascii="Times New Roman" w:hAnsi="Times New Roman" w:cs="Times New Roman"/>
        </w:rPr>
        <w:footnoteReference w:id="2"/>
      </w:r>
    </w:p>
    <w:p w14:paraId="5EEC6DE7" w14:textId="05AFCD02" w:rsidR="00382713" w:rsidRPr="00530B7D" w:rsidRDefault="00382713" w:rsidP="00530B7D">
      <w:pPr>
        <w:pStyle w:val="Heading2"/>
        <w:jc w:val="both"/>
        <w:rPr>
          <w:rFonts w:ascii="Times New Roman" w:hAnsi="Times New Roman" w:cs="Times New Roman"/>
        </w:rPr>
      </w:pPr>
      <w:r w:rsidRPr="00530B7D">
        <w:rPr>
          <w:rFonts w:ascii="Times New Roman" w:hAnsi="Times New Roman" w:cs="Times New Roman"/>
        </w:rPr>
        <w:t xml:space="preserve">Population </w:t>
      </w:r>
      <w:r w:rsidR="008F2497" w:rsidRPr="00530B7D">
        <w:rPr>
          <w:rFonts w:ascii="Times New Roman" w:hAnsi="Times New Roman" w:cs="Times New Roman"/>
        </w:rPr>
        <w:t xml:space="preserve">Census </w:t>
      </w:r>
    </w:p>
    <w:p w14:paraId="7E38A7C5" w14:textId="77777777" w:rsidR="00981AC6" w:rsidRPr="00530B7D" w:rsidRDefault="00981AC6" w:rsidP="00530B7D">
      <w:pPr>
        <w:jc w:val="both"/>
        <w:rPr>
          <w:rFonts w:ascii="Times New Roman" w:hAnsi="Times New Roman" w:cs="Times New Roman"/>
        </w:rPr>
      </w:pPr>
    </w:p>
    <w:p w14:paraId="1B1B9C08" w14:textId="77777777" w:rsidR="00161CB6" w:rsidRPr="00530B7D" w:rsidRDefault="00161CB6" w:rsidP="00530B7D">
      <w:pPr>
        <w:jc w:val="both"/>
        <w:rPr>
          <w:rFonts w:ascii="Times New Roman" w:hAnsi="Times New Roman" w:cs="Times New Roman"/>
        </w:rPr>
      </w:pPr>
      <w:r w:rsidRPr="00530B7D">
        <w:rPr>
          <w:rFonts w:ascii="Times New Roman" w:hAnsi="Times New Roman" w:cs="Times New Roman"/>
        </w:rPr>
        <w:t>We use the Brazilian Population censuses data for 2000 and 2010 to analyze both the formal and informal labor markets at the microregion-sector level considering the 5-digit CNAE 95 categorization. The latest census data available refers to 2010 and the oldest one dates from 1960. Since the interest of our analysis is on the most recent period of exports expansion in Brazil, we restrict the analysis to the 2000 and 2010 census. The specific reason for not using the 1991 census is that the sectoral classification used in RAIS data is CNAE 95, which is was created after the 1991 census was fielded, and the Brazilian NSO does not publish a concordance from the 1991 census-specific categorization to CNAE 95. Therefore, one would need to make several assumptions in an ad-hoc concordance to produce such a mapping, and the quality of the resultant concordance is unknown, what could bring additional noise to the analysis. The definition of formal labor market is based on either having a formal job contract (i.e., “carteira assinada”) or whether the worker contributes to social security.</w:t>
      </w:r>
      <w:r w:rsidRPr="00530B7D">
        <w:rPr>
          <w:rStyle w:val="FootnoteReference"/>
          <w:rFonts w:ascii="Times New Roman" w:hAnsi="Times New Roman" w:cs="Times New Roman"/>
        </w:rPr>
        <w:footnoteReference w:id="3"/>
      </w:r>
      <w:r w:rsidRPr="00530B7D">
        <w:rPr>
          <w:rFonts w:ascii="Times New Roman" w:hAnsi="Times New Roman" w:cs="Times New Roman"/>
        </w:rPr>
        <w:t xml:space="preserve"> </w:t>
      </w:r>
    </w:p>
    <w:p w14:paraId="672DD64D" w14:textId="77777777" w:rsidR="00161CB6" w:rsidRPr="00530B7D" w:rsidRDefault="00161CB6" w:rsidP="00530B7D">
      <w:pPr>
        <w:jc w:val="both"/>
        <w:rPr>
          <w:rFonts w:ascii="Times New Roman" w:hAnsi="Times New Roman" w:cs="Times New Roman"/>
        </w:rPr>
      </w:pPr>
    </w:p>
    <w:p w14:paraId="71B62B68" w14:textId="5E8925AE" w:rsidR="00382713" w:rsidRPr="00530B7D" w:rsidRDefault="00382713" w:rsidP="00530B7D">
      <w:pPr>
        <w:pStyle w:val="Heading2"/>
        <w:jc w:val="both"/>
        <w:rPr>
          <w:rFonts w:ascii="Times New Roman" w:hAnsi="Times New Roman" w:cs="Times New Roman"/>
        </w:rPr>
      </w:pPr>
      <w:r w:rsidRPr="00530B7D">
        <w:rPr>
          <w:rFonts w:ascii="Times New Roman" w:hAnsi="Times New Roman" w:cs="Times New Roman"/>
        </w:rPr>
        <w:t>Export</w:t>
      </w:r>
      <w:r w:rsidR="00981AC6" w:rsidRPr="00530B7D">
        <w:rPr>
          <w:rFonts w:ascii="Times New Roman" w:hAnsi="Times New Roman" w:cs="Times New Roman"/>
        </w:rPr>
        <w:t>s</w:t>
      </w:r>
      <w:r w:rsidRPr="00530B7D">
        <w:rPr>
          <w:rFonts w:ascii="Times New Roman" w:hAnsi="Times New Roman" w:cs="Times New Roman"/>
        </w:rPr>
        <w:t xml:space="preserve"> data</w:t>
      </w:r>
    </w:p>
    <w:p w14:paraId="346508D5" w14:textId="77777777" w:rsidR="00382713" w:rsidRPr="00530B7D" w:rsidRDefault="00382713" w:rsidP="00530B7D">
      <w:pPr>
        <w:jc w:val="both"/>
        <w:rPr>
          <w:rFonts w:ascii="Times New Roman" w:hAnsi="Times New Roman" w:cs="Times New Roman"/>
        </w:rPr>
      </w:pPr>
    </w:p>
    <w:p w14:paraId="6CDCA6AF" w14:textId="68CFFD3E" w:rsidR="1D30E994" w:rsidRPr="00530B7D" w:rsidRDefault="1D30E994" w:rsidP="00530B7D">
      <w:pPr>
        <w:jc w:val="both"/>
        <w:rPr>
          <w:rFonts w:ascii="Times New Roman" w:hAnsi="Times New Roman" w:cs="Times New Roman"/>
        </w:rPr>
      </w:pPr>
      <w:r w:rsidRPr="00530B7D">
        <w:rPr>
          <w:rFonts w:ascii="Times New Roman" w:hAnsi="Times New Roman" w:cs="Times New Roman"/>
        </w:rPr>
        <w:t>&lt;Carlos to fill in&gt;</w:t>
      </w:r>
    </w:p>
    <w:p w14:paraId="6A1D8535" w14:textId="1A199306" w:rsidR="04EBFAF2" w:rsidRPr="00530B7D" w:rsidRDefault="04EBFAF2" w:rsidP="00530B7D">
      <w:pPr>
        <w:jc w:val="both"/>
        <w:rPr>
          <w:rFonts w:ascii="Times New Roman" w:hAnsi="Times New Roman" w:cs="Times New Roman"/>
        </w:rPr>
      </w:pPr>
    </w:p>
    <w:p w14:paraId="51F1AD98" w14:textId="291193D6" w:rsidR="00382713" w:rsidRPr="00530B7D" w:rsidRDefault="00382713" w:rsidP="00530B7D">
      <w:pPr>
        <w:pStyle w:val="Heading2"/>
        <w:jc w:val="both"/>
        <w:rPr>
          <w:rFonts w:ascii="Times New Roman" w:hAnsi="Times New Roman" w:cs="Times New Roman"/>
        </w:rPr>
      </w:pPr>
      <w:r w:rsidRPr="00530B7D">
        <w:rPr>
          <w:rFonts w:ascii="Times New Roman" w:hAnsi="Times New Roman" w:cs="Times New Roman"/>
        </w:rPr>
        <w:t>Emissions data</w:t>
      </w:r>
    </w:p>
    <w:p w14:paraId="7EAD20C8" w14:textId="77777777" w:rsidR="00CB21D1" w:rsidRPr="00530B7D" w:rsidRDefault="00CB21D1" w:rsidP="00530B7D">
      <w:pPr>
        <w:jc w:val="both"/>
        <w:rPr>
          <w:rFonts w:ascii="Times New Roman" w:hAnsi="Times New Roman" w:cs="Times New Roman"/>
        </w:rPr>
      </w:pPr>
    </w:p>
    <w:p w14:paraId="29FAE1F1" w14:textId="10DD3B8D" w:rsidR="00CB21D1" w:rsidRPr="00530B7D" w:rsidRDefault="00CB21D1" w:rsidP="00530B7D">
      <w:pPr>
        <w:jc w:val="both"/>
        <w:rPr>
          <w:rFonts w:ascii="Times New Roman" w:hAnsi="Times New Roman" w:cs="Times New Roman"/>
        </w:rPr>
      </w:pPr>
      <w:r w:rsidRPr="00530B7D">
        <w:rPr>
          <w:rFonts w:ascii="Times New Roman" w:hAnsi="Times New Roman" w:cs="Times New Roman"/>
        </w:rPr>
        <w:t>The information on GHG emissions by sector uses the dataset developed by Cirera and Martins-Neto (2021), which compiled this information at the 3-digit CNAE 95 level based on the Brazilian Initial National Communication to the United Nations Convention about Global Climate Change for the 1994 reference year. The unit of measure is tons of emissions and to use the same level sector classification from RAIS and census data, we converted the 3-digit CNAE 95 data into 5-digit CNAE 95 data.</w:t>
      </w:r>
    </w:p>
    <w:p w14:paraId="525D556C" w14:textId="77777777" w:rsidR="00246876" w:rsidRPr="00530B7D" w:rsidRDefault="00246876" w:rsidP="00530B7D">
      <w:pPr>
        <w:jc w:val="both"/>
        <w:rPr>
          <w:rFonts w:ascii="Times New Roman" w:hAnsi="Times New Roman" w:cs="Times New Roman"/>
        </w:rPr>
      </w:pPr>
    </w:p>
    <w:p w14:paraId="45928331" w14:textId="52193670" w:rsidR="00246876" w:rsidRPr="00530B7D" w:rsidRDefault="00246876" w:rsidP="00530B7D">
      <w:pPr>
        <w:pStyle w:val="Heading2"/>
        <w:jc w:val="both"/>
        <w:rPr>
          <w:rFonts w:ascii="Times New Roman" w:hAnsi="Times New Roman" w:cs="Times New Roman"/>
        </w:rPr>
      </w:pPr>
      <w:r w:rsidRPr="00530B7D">
        <w:rPr>
          <w:rFonts w:ascii="Times New Roman" w:hAnsi="Times New Roman" w:cs="Times New Roman"/>
        </w:rPr>
        <w:lastRenderedPageBreak/>
        <w:t>CNAE correspondances</w:t>
      </w:r>
    </w:p>
    <w:p w14:paraId="5DDDE7C2" w14:textId="28A12B28" w:rsidR="009B243F" w:rsidRPr="00530B7D" w:rsidRDefault="009B243F"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t>Methodology</w:t>
      </w:r>
    </w:p>
    <w:p w14:paraId="53C2B77E" w14:textId="77777777" w:rsidR="003553F5" w:rsidRPr="00530B7D" w:rsidRDefault="003553F5" w:rsidP="00530B7D">
      <w:pPr>
        <w:jc w:val="both"/>
        <w:rPr>
          <w:rFonts w:ascii="Times New Roman" w:hAnsi="Times New Roman" w:cs="Times New Roman"/>
        </w:rPr>
      </w:pPr>
    </w:p>
    <w:p w14:paraId="38A0BFC3" w14:textId="01AD9211" w:rsidR="003553F5" w:rsidRPr="00530B7D" w:rsidRDefault="003553F5" w:rsidP="00530B7D">
      <w:pPr>
        <w:pStyle w:val="ListParagraph"/>
        <w:numPr>
          <w:ilvl w:val="1"/>
          <w:numId w:val="2"/>
        </w:numPr>
        <w:jc w:val="both"/>
        <w:rPr>
          <w:rFonts w:ascii="Times New Roman" w:hAnsi="Times New Roman" w:cs="Times New Roman"/>
        </w:rPr>
      </w:pPr>
      <w:r w:rsidRPr="00530B7D">
        <w:rPr>
          <w:rFonts w:ascii="Times New Roman" w:hAnsi="Times New Roman" w:cs="Times New Roman"/>
        </w:rPr>
        <w:t>Relevance of the instrument</w:t>
      </w:r>
    </w:p>
    <w:p w14:paraId="531E54E1" w14:textId="2312DB8F" w:rsidR="006C787B" w:rsidRPr="00530B7D" w:rsidRDefault="0086599E" w:rsidP="00530B7D">
      <w:pPr>
        <w:jc w:val="both"/>
        <w:rPr>
          <w:rFonts w:ascii="Times New Roman" w:hAnsi="Times New Roman" w:cs="Times New Roman"/>
        </w:rPr>
      </w:pPr>
      <w:r w:rsidRPr="00530B7D">
        <w:rPr>
          <w:rFonts w:ascii="Times New Roman" w:hAnsi="Times New Roman" w:cs="Times New Roman"/>
        </w:rPr>
        <w:t xml:space="preserve">One assumption </w:t>
      </w:r>
      <w:r w:rsidR="004D05B5" w:rsidRPr="00530B7D">
        <w:rPr>
          <w:rFonts w:ascii="Times New Roman" w:hAnsi="Times New Roman" w:cs="Times New Roman"/>
        </w:rPr>
        <w:t>of the proposed methodology is that the variable used to instrument the observed growth in exports by region is relevant</w:t>
      </w:r>
      <w:r w:rsidR="006D7BCC" w:rsidRPr="00530B7D">
        <w:rPr>
          <w:rFonts w:ascii="Times New Roman" w:hAnsi="Times New Roman" w:cs="Times New Roman"/>
        </w:rPr>
        <w:t xml:space="preserve"> in the sense that they are strongly correlated. The usual way of </w:t>
      </w:r>
      <w:r w:rsidR="00995D91" w:rsidRPr="00530B7D">
        <w:rPr>
          <w:rFonts w:ascii="Times New Roman" w:hAnsi="Times New Roman" w:cs="Times New Roman"/>
        </w:rPr>
        <w:t xml:space="preserve">testing the relevance of the instrument is by checking the F-statistic of a statistical test </w:t>
      </w:r>
      <w:r w:rsidR="001D7FB3" w:rsidRPr="00530B7D">
        <w:rPr>
          <w:rFonts w:ascii="Times New Roman" w:hAnsi="Times New Roman" w:cs="Times New Roman"/>
        </w:rPr>
        <w:t xml:space="preserve">on </w:t>
      </w:r>
      <w:r w:rsidR="00995D91" w:rsidRPr="00530B7D">
        <w:rPr>
          <w:rFonts w:ascii="Times New Roman" w:hAnsi="Times New Roman" w:cs="Times New Roman"/>
        </w:rPr>
        <w:t>w</w:t>
      </w:r>
      <w:r w:rsidR="0029213C" w:rsidRPr="00530B7D">
        <w:rPr>
          <w:rFonts w:ascii="Times New Roman" w:hAnsi="Times New Roman" w:cs="Times New Roman"/>
        </w:rPr>
        <w:t xml:space="preserve">hether the instrument is significantly different from zero. </w:t>
      </w:r>
      <w:r w:rsidR="007F70B2" w:rsidRPr="00530B7D">
        <w:rPr>
          <w:rFonts w:ascii="Times New Roman" w:hAnsi="Times New Roman" w:cs="Times New Roman"/>
        </w:rPr>
        <w:t xml:space="preserve">Reassuringly, the F-statistic of the proposed instrument in the first-stage regression is greater than 280, which is remarkably high </w:t>
      </w:r>
      <w:r w:rsidR="006D1E08" w:rsidRPr="00530B7D">
        <w:rPr>
          <w:rFonts w:ascii="Times New Roman" w:hAnsi="Times New Roman" w:cs="Times New Roman"/>
        </w:rPr>
        <w:t xml:space="preserve">and suggests a </w:t>
      </w:r>
      <w:r w:rsidR="001D7FB3" w:rsidRPr="00530B7D">
        <w:rPr>
          <w:rFonts w:ascii="Times New Roman" w:hAnsi="Times New Roman" w:cs="Times New Roman"/>
        </w:rPr>
        <w:t>nonnegligible</w:t>
      </w:r>
      <w:r w:rsidR="006D1E08" w:rsidRPr="00530B7D">
        <w:rPr>
          <w:rFonts w:ascii="Times New Roman" w:hAnsi="Times New Roman" w:cs="Times New Roman"/>
        </w:rPr>
        <w:t xml:space="preserve"> correlation. To further </w:t>
      </w:r>
      <w:r w:rsidR="00BB0715" w:rsidRPr="00530B7D">
        <w:rPr>
          <w:rFonts w:ascii="Times New Roman" w:hAnsi="Times New Roman" w:cs="Times New Roman"/>
        </w:rPr>
        <w:t xml:space="preserve">inspect the relevance of the instrument, </w:t>
      </w:r>
      <w:r w:rsidR="00BB0715" w:rsidRPr="00530B7D">
        <w:rPr>
          <w:rFonts w:ascii="Times New Roman" w:hAnsi="Times New Roman" w:cs="Times New Roman"/>
          <w:highlight w:val="yellow"/>
        </w:rPr>
        <w:t>Figure XXXX</w:t>
      </w:r>
      <w:r w:rsidR="00BB0715" w:rsidRPr="00530B7D">
        <w:rPr>
          <w:rFonts w:ascii="Times New Roman" w:hAnsi="Times New Roman" w:cs="Times New Roman"/>
        </w:rPr>
        <w:t xml:space="preserve"> depicts a binscatter where the instrument is presented in the horizontal axis</w:t>
      </w:r>
      <w:r w:rsidR="00D934F8" w:rsidRPr="00530B7D">
        <w:rPr>
          <w:rFonts w:ascii="Times New Roman" w:hAnsi="Times New Roman" w:cs="Times New Roman"/>
        </w:rPr>
        <w:t>, while</w:t>
      </w:r>
      <w:r w:rsidR="00BB0715" w:rsidRPr="00530B7D">
        <w:rPr>
          <w:rFonts w:ascii="Times New Roman" w:hAnsi="Times New Roman" w:cs="Times New Roman"/>
        </w:rPr>
        <w:t xml:space="preserve"> the endogenous variable</w:t>
      </w:r>
      <w:r w:rsidR="00D934F8" w:rsidRPr="00530B7D">
        <w:rPr>
          <w:rFonts w:ascii="Times New Roman" w:hAnsi="Times New Roman" w:cs="Times New Roman"/>
        </w:rPr>
        <w:t xml:space="preserve"> is shown in the vertical axis using municipality-level data. As can been seen, there is </w:t>
      </w:r>
      <w:r w:rsidR="0090134D" w:rsidRPr="00530B7D">
        <w:rPr>
          <w:rFonts w:ascii="Times New Roman" w:hAnsi="Times New Roman" w:cs="Times New Roman"/>
        </w:rPr>
        <w:t>an unequivocal</w:t>
      </w:r>
      <w:r w:rsidR="001D7FB3" w:rsidRPr="00530B7D">
        <w:rPr>
          <w:rFonts w:ascii="Times New Roman" w:hAnsi="Times New Roman" w:cs="Times New Roman"/>
        </w:rPr>
        <w:t>ly strong</w:t>
      </w:r>
      <w:r w:rsidR="0090134D" w:rsidRPr="00530B7D">
        <w:rPr>
          <w:rFonts w:ascii="Times New Roman" w:hAnsi="Times New Roman" w:cs="Times New Roman"/>
        </w:rPr>
        <w:t xml:space="preserve"> </w:t>
      </w:r>
      <w:r w:rsidR="00C3515F" w:rsidRPr="00530B7D">
        <w:rPr>
          <w:rFonts w:ascii="Times New Roman" w:hAnsi="Times New Roman" w:cs="Times New Roman"/>
        </w:rPr>
        <w:t xml:space="preserve">and positive </w:t>
      </w:r>
      <w:r w:rsidR="00D934F8" w:rsidRPr="00530B7D">
        <w:rPr>
          <w:rFonts w:ascii="Times New Roman" w:hAnsi="Times New Roman" w:cs="Times New Roman"/>
        </w:rPr>
        <w:t>relationship between those variables</w:t>
      </w:r>
      <w:r w:rsidR="00C3515F" w:rsidRPr="00530B7D">
        <w:rPr>
          <w:rFonts w:ascii="Times New Roman" w:hAnsi="Times New Roman" w:cs="Times New Roman"/>
        </w:rPr>
        <w:t xml:space="preserve"> and a relatively low dispersion of observations around the fitted line.</w:t>
      </w:r>
    </w:p>
    <w:p w14:paraId="3D374241" w14:textId="77777777" w:rsidR="003553F5" w:rsidRPr="00530B7D" w:rsidRDefault="003553F5" w:rsidP="00530B7D">
      <w:pPr>
        <w:jc w:val="both"/>
        <w:rPr>
          <w:rFonts w:ascii="Times New Roman" w:hAnsi="Times New Roman" w:cs="Times New Roman"/>
        </w:rPr>
      </w:pPr>
    </w:p>
    <w:p w14:paraId="2E0A661C" w14:textId="7B510561" w:rsidR="003553F5" w:rsidRPr="00530B7D" w:rsidRDefault="003553F5" w:rsidP="00530B7D">
      <w:pPr>
        <w:jc w:val="both"/>
        <w:rPr>
          <w:rFonts w:ascii="Times New Roman" w:hAnsi="Times New Roman" w:cs="Times New Roman"/>
        </w:rPr>
      </w:pPr>
      <w:r w:rsidRPr="00530B7D">
        <w:rPr>
          <w:rFonts w:ascii="Times New Roman" w:hAnsi="Times New Roman" w:cs="Times New Roman"/>
        </w:rPr>
        <w:t xml:space="preserve">Figure </w:t>
      </w:r>
      <w:r w:rsidRPr="00530B7D">
        <w:rPr>
          <w:rFonts w:ascii="Times New Roman" w:hAnsi="Times New Roman" w:cs="Times New Roman"/>
          <w:highlight w:val="yellow"/>
        </w:rPr>
        <w:t>XXXX</w:t>
      </w:r>
      <w:r w:rsidRPr="00530B7D">
        <w:rPr>
          <w:rFonts w:ascii="Times New Roman" w:hAnsi="Times New Roman" w:cs="Times New Roman"/>
        </w:rPr>
        <w:t xml:space="preserve">. </w:t>
      </w:r>
      <w:r w:rsidR="0086599E" w:rsidRPr="00530B7D">
        <w:rPr>
          <w:rFonts w:ascii="Times New Roman" w:hAnsi="Times New Roman" w:cs="Times New Roman"/>
        </w:rPr>
        <w:t>Relevance of the instrumental variable</w:t>
      </w:r>
    </w:p>
    <w:p w14:paraId="66474768" w14:textId="59957E12" w:rsidR="003553F5" w:rsidRPr="00530B7D" w:rsidRDefault="003553F5" w:rsidP="00530B7D">
      <w:pPr>
        <w:jc w:val="both"/>
        <w:rPr>
          <w:rFonts w:ascii="Times New Roman" w:hAnsi="Times New Roman" w:cs="Times New Roman"/>
        </w:rPr>
      </w:pPr>
      <w:r w:rsidRPr="00530B7D">
        <w:rPr>
          <w:rFonts w:ascii="Times New Roman" w:hAnsi="Times New Roman" w:cs="Times New Roman"/>
        </w:rPr>
        <w:drawing>
          <wp:inline distT="0" distB="0" distL="0" distR="0" wp14:anchorId="5712541A" wp14:editId="4AABA075">
            <wp:extent cx="5588000" cy="3725333"/>
            <wp:effectExtent l="0" t="0" r="0" b="8890"/>
            <wp:docPr id="6" name="Content Placeholder 5">
              <a:extLst xmlns:a="http://schemas.openxmlformats.org/drawingml/2006/main">
                <a:ext uri="{FF2B5EF4-FFF2-40B4-BE49-F238E27FC236}">
                  <a16:creationId xmlns:a16="http://schemas.microsoft.com/office/drawing/2014/main" id="{4BCFF120-BA32-8723-4997-66EEA53C1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BCFF120-BA32-8723-4997-66EEA53C1B9E}"/>
                        </a:ext>
                      </a:extLst>
                    </pic:cNvPr>
                    <pic:cNvPicPr>
                      <a:picLocks noGrp="1" noChangeAspect="1"/>
                    </pic:cNvPicPr>
                  </pic:nvPicPr>
                  <pic:blipFill>
                    <a:blip r:embed="rId16" cstate="print">
                      <a:extLst>
                        <a:ext uri="{28A0092B-C50C-407E-A947-70E740481C1C}">
                          <a14:useLocalDpi xmlns:a14="http://schemas.microsoft.com/office/drawing/2010/main" val="0"/>
                        </a:ext>
                      </a:extLst>
                    </a:blip>
                    <a:srcRect/>
                    <a:stretch/>
                  </pic:blipFill>
                  <pic:spPr>
                    <a:xfrm>
                      <a:off x="0" y="0"/>
                      <a:ext cx="5592642" cy="3728427"/>
                    </a:xfrm>
                    <a:prstGeom prst="rect">
                      <a:avLst/>
                    </a:prstGeom>
                  </pic:spPr>
                </pic:pic>
              </a:graphicData>
            </a:graphic>
          </wp:inline>
        </w:drawing>
      </w:r>
    </w:p>
    <w:p w14:paraId="3D56C1A5" w14:textId="66C854B0" w:rsidR="003553F5" w:rsidRPr="00530B7D" w:rsidRDefault="0086599E" w:rsidP="00530B7D">
      <w:pPr>
        <w:jc w:val="both"/>
        <w:rPr>
          <w:rFonts w:ascii="Times New Roman" w:hAnsi="Times New Roman" w:cs="Times New Roman"/>
          <w:sz w:val="20"/>
          <w:szCs w:val="20"/>
        </w:rPr>
      </w:pPr>
      <w:r w:rsidRPr="00530B7D">
        <w:rPr>
          <w:rFonts w:ascii="Times New Roman" w:hAnsi="Times New Roman" w:cs="Times New Roman"/>
          <w:sz w:val="20"/>
          <w:szCs w:val="20"/>
        </w:rPr>
        <w:t xml:space="preserve">Notes: </w:t>
      </w:r>
      <w:r w:rsidR="00607022" w:rsidRPr="00530B7D">
        <w:rPr>
          <w:rFonts w:ascii="Times New Roman" w:hAnsi="Times New Roman" w:cs="Times New Roman"/>
          <w:sz w:val="20"/>
          <w:szCs w:val="20"/>
        </w:rPr>
        <w:t xml:space="preserve">this </w:t>
      </w:r>
      <w:r w:rsidR="009E6815" w:rsidRPr="00530B7D">
        <w:rPr>
          <w:rFonts w:ascii="Times New Roman" w:hAnsi="Times New Roman" w:cs="Times New Roman"/>
          <w:sz w:val="20"/>
          <w:szCs w:val="20"/>
        </w:rPr>
        <w:t xml:space="preserve">binscatter reproduces the slope of regressing the observed growth in exports on the instrument. The underlying regression has N=34,670, </w:t>
      </w:r>
      <w:r w:rsidR="00317698" w:rsidRPr="00530B7D">
        <w:rPr>
          <w:rFonts w:ascii="Times New Roman" w:hAnsi="Times New Roman" w:cs="Times New Roman"/>
          <w:sz w:val="20"/>
          <w:szCs w:val="20"/>
        </w:rPr>
        <w:t>Beta = 2.25 and t-stat=16.76.</w:t>
      </w:r>
      <w:r w:rsidRPr="00530B7D">
        <w:rPr>
          <w:rFonts w:ascii="Times New Roman" w:hAnsi="Times New Roman" w:cs="Times New Roman"/>
          <w:sz w:val="20"/>
          <w:szCs w:val="20"/>
        </w:rPr>
        <w:t xml:space="preserve"> </w:t>
      </w:r>
    </w:p>
    <w:p w14:paraId="4020FB9F" w14:textId="77777777" w:rsidR="003553F5" w:rsidRPr="00530B7D" w:rsidRDefault="003553F5" w:rsidP="00530B7D">
      <w:pPr>
        <w:jc w:val="both"/>
        <w:rPr>
          <w:rFonts w:ascii="Times New Roman" w:hAnsi="Times New Roman" w:cs="Times New Roman"/>
        </w:rPr>
      </w:pPr>
    </w:p>
    <w:p w14:paraId="03AF7F34" w14:textId="19D04CE9" w:rsidR="00624539" w:rsidRPr="00530B7D" w:rsidRDefault="00624539" w:rsidP="00530B7D">
      <w:pPr>
        <w:pStyle w:val="ListParagraph"/>
        <w:numPr>
          <w:ilvl w:val="1"/>
          <w:numId w:val="2"/>
        </w:numPr>
        <w:jc w:val="both"/>
        <w:rPr>
          <w:rFonts w:ascii="Times New Roman" w:hAnsi="Times New Roman" w:cs="Times New Roman"/>
        </w:rPr>
      </w:pPr>
      <w:r w:rsidRPr="00530B7D">
        <w:rPr>
          <w:rFonts w:ascii="Times New Roman" w:hAnsi="Times New Roman" w:cs="Times New Roman"/>
        </w:rPr>
        <w:t>Exclusion restriction</w:t>
      </w:r>
    </w:p>
    <w:p w14:paraId="4893294C" w14:textId="4EE54FE8" w:rsidR="00624539" w:rsidRPr="00530B7D" w:rsidRDefault="008B09F5" w:rsidP="00530B7D">
      <w:pPr>
        <w:jc w:val="both"/>
        <w:rPr>
          <w:rFonts w:ascii="Times New Roman" w:hAnsi="Times New Roman" w:cs="Times New Roman"/>
        </w:rPr>
      </w:pPr>
      <w:r w:rsidRPr="00530B7D">
        <w:rPr>
          <w:rFonts w:ascii="Times New Roman" w:hAnsi="Times New Roman" w:cs="Times New Roman"/>
        </w:rPr>
        <w:lastRenderedPageBreak/>
        <w:t xml:space="preserve">Another assumption of the proposed methodology is that the instrument used </w:t>
      </w:r>
      <w:r w:rsidR="003E7B9B" w:rsidRPr="00530B7D">
        <w:rPr>
          <w:rFonts w:ascii="Times New Roman" w:hAnsi="Times New Roman" w:cs="Times New Roman"/>
        </w:rPr>
        <w:t xml:space="preserve">only affects the outcomes variables through its impacts on the endogenous variable. This assumption is known as the exclusion restriction and in our context requires that changes in the foreign demand are uncorrelated with the distribution of unobserved factors that drive changes </w:t>
      </w:r>
      <w:r w:rsidR="00916BC4" w:rsidRPr="00530B7D">
        <w:rPr>
          <w:rFonts w:ascii="Times New Roman" w:hAnsi="Times New Roman" w:cs="Times New Roman"/>
        </w:rPr>
        <w:t xml:space="preserve">in the local labor markets analyzed. </w:t>
      </w:r>
    </w:p>
    <w:p w14:paraId="6C0F1C32" w14:textId="77777777" w:rsidR="009B243F" w:rsidRPr="00530B7D" w:rsidRDefault="009B243F" w:rsidP="00530B7D">
      <w:pPr>
        <w:jc w:val="both"/>
        <w:rPr>
          <w:rFonts w:ascii="Times New Roman" w:hAnsi="Times New Roman" w:cs="Times New Roman"/>
        </w:rPr>
      </w:pPr>
    </w:p>
    <w:p w14:paraId="3C08E761" w14:textId="0B912A97" w:rsidR="009B243F" w:rsidRPr="00530B7D" w:rsidRDefault="009B243F"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t>Results</w:t>
      </w:r>
    </w:p>
    <w:p w14:paraId="268A3720" w14:textId="77777777" w:rsidR="005A1117" w:rsidRPr="00530B7D" w:rsidRDefault="005A1117" w:rsidP="00530B7D">
      <w:pPr>
        <w:jc w:val="both"/>
        <w:rPr>
          <w:rFonts w:ascii="Times New Roman" w:hAnsi="Times New Roman" w:cs="Times New Roman"/>
        </w:rPr>
      </w:pPr>
    </w:p>
    <w:p w14:paraId="5729F076" w14:textId="1E529A1D" w:rsidR="005A215F" w:rsidRPr="00530B7D" w:rsidRDefault="0048653F" w:rsidP="00530B7D">
      <w:pPr>
        <w:jc w:val="both"/>
        <w:rPr>
          <w:rFonts w:ascii="Times New Roman" w:hAnsi="Times New Roman" w:cs="Times New Roman"/>
        </w:rPr>
      </w:pPr>
      <w:r w:rsidRPr="00530B7D">
        <w:rPr>
          <w:rFonts w:ascii="Times New Roman" w:hAnsi="Times New Roman" w:cs="Times New Roman"/>
        </w:rPr>
        <w:t xml:space="preserve">To shed light </w:t>
      </w:r>
      <w:r w:rsidR="009E71A8" w:rsidRPr="00530B7D">
        <w:rPr>
          <w:rFonts w:ascii="Times New Roman" w:hAnsi="Times New Roman" w:cs="Times New Roman"/>
        </w:rPr>
        <w:t xml:space="preserve">on the impacts of foreign demand shocks on formal employment, </w:t>
      </w:r>
      <w:r w:rsidR="005A215F" w:rsidRPr="00530B7D">
        <w:rPr>
          <w:rFonts w:ascii="Times New Roman" w:hAnsi="Times New Roman" w:cs="Times New Roman"/>
          <w:highlight w:val="yellow"/>
        </w:rPr>
        <w:t>Figure XXXXX</w:t>
      </w:r>
      <w:r w:rsidRPr="00530B7D">
        <w:rPr>
          <w:rFonts w:ascii="Times New Roman" w:hAnsi="Times New Roman" w:cs="Times New Roman"/>
        </w:rPr>
        <w:t xml:space="preserve"> shows the dynamics of </w:t>
      </w:r>
      <w:r w:rsidR="00304215" w:rsidRPr="00530B7D">
        <w:rPr>
          <w:rFonts w:ascii="Times New Roman" w:hAnsi="Times New Roman" w:cs="Times New Roman"/>
        </w:rPr>
        <w:t>the stock of formal workers</w:t>
      </w:r>
      <w:r w:rsidR="009E71A8" w:rsidRPr="00530B7D">
        <w:rPr>
          <w:rFonts w:ascii="Times New Roman" w:hAnsi="Times New Roman" w:cs="Times New Roman"/>
        </w:rPr>
        <w:t xml:space="preserve"> in Brazil</w:t>
      </w:r>
      <w:r w:rsidRPr="00530B7D">
        <w:rPr>
          <w:rFonts w:ascii="Times New Roman" w:hAnsi="Times New Roman" w:cs="Times New Roman"/>
        </w:rPr>
        <w:t xml:space="preserve"> before and after</w:t>
      </w:r>
      <w:r w:rsidR="009E71A8" w:rsidRPr="00530B7D">
        <w:rPr>
          <w:rFonts w:ascii="Times New Roman" w:hAnsi="Times New Roman" w:cs="Times New Roman"/>
        </w:rPr>
        <w:t xml:space="preserve"> the exports growth </w:t>
      </w:r>
      <w:r w:rsidR="00663AB7" w:rsidRPr="00530B7D">
        <w:rPr>
          <w:rFonts w:ascii="Times New Roman" w:hAnsi="Times New Roman" w:cs="Times New Roman"/>
        </w:rPr>
        <w:t xml:space="preserve">in the 1995-2021 period by comparing </w:t>
      </w:r>
      <w:r w:rsidR="006651FE" w:rsidRPr="00530B7D">
        <w:rPr>
          <w:rFonts w:ascii="Times New Roman" w:hAnsi="Times New Roman" w:cs="Times New Roman"/>
        </w:rPr>
        <w:t>more exposed with less exposed regions.</w:t>
      </w:r>
      <w:r w:rsidR="00663AB7" w:rsidRPr="00530B7D">
        <w:rPr>
          <w:rFonts w:ascii="Times New Roman" w:hAnsi="Times New Roman" w:cs="Times New Roman"/>
        </w:rPr>
        <w:t xml:space="preserve"> </w:t>
      </w:r>
      <w:r w:rsidR="006651FE" w:rsidRPr="00530B7D">
        <w:rPr>
          <w:rFonts w:ascii="Times New Roman" w:hAnsi="Times New Roman" w:cs="Times New Roman"/>
        </w:rPr>
        <w:t>We</w:t>
      </w:r>
      <w:r w:rsidR="00663AB7" w:rsidRPr="00530B7D">
        <w:rPr>
          <w:rFonts w:ascii="Times New Roman" w:hAnsi="Times New Roman" w:cs="Times New Roman"/>
        </w:rPr>
        <w:t xml:space="preserve"> observe that </w:t>
      </w:r>
      <w:r w:rsidR="00ED3FF9" w:rsidRPr="00530B7D">
        <w:rPr>
          <w:rFonts w:ascii="Times New Roman" w:hAnsi="Times New Roman" w:cs="Times New Roman"/>
        </w:rPr>
        <w:t xml:space="preserve">in the five years </w:t>
      </w:r>
      <w:r w:rsidR="006651FE" w:rsidRPr="00530B7D">
        <w:rPr>
          <w:rFonts w:ascii="Times New Roman" w:hAnsi="Times New Roman" w:cs="Times New Roman"/>
        </w:rPr>
        <w:t>leading up to the shock, there are no siza</w:t>
      </w:r>
      <w:r w:rsidR="00483890" w:rsidRPr="00530B7D">
        <w:rPr>
          <w:rFonts w:ascii="Times New Roman" w:hAnsi="Times New Roman" w:cs="Times New Roman"/>
        </w:rPr>
        <w:t>ble differences among them, suggesting that th</w:t>
      </w:r>
      <w:r w:rsidR="00D47D83" w:rsidRPr="00530B7D">
        <w:rPr>
          <w:rFonts w:ascii="Times New Roman" w:hAnsi="Times New Roman" w:cs="Times New Roman"/>
        </w:rPr>
        <w:t xml:space="preserve">eir evolution </w:t>
      </w:r>
      <w:r w:rsidR="000930AD" w:rsidRPr="00530B7D">
        <w:rPr>
          <w:rFonts w:ascii="Times New Roman" w:hAnsi="Times New Roman" w:cs="Times New Roman"/>
        </w:rPr>
        <w:t xml:space="preserve">in the number of formal workers was similar. </w:t>
      </w:r>
      <w:r w:rsidR="00E833D0" w:rsidRPr="00530B7D">
        <w:rPr>
          <w:rFonts w:ascii="Times New Roman" w:hAnsi="Times New Roman" w:cs="Times New Roman"/>
        </w:rPr>
        <w:t xml:space="preserve">However, </w:t>
      </w:r>
      <w:r w:rsidR="007E0413" w:rsidRPr="00530B7D">
        <w:rPr>
          <w:rFonts w:ascii="Times New Roman" w:hAnsi="Times New Roman" w:cs="Times New Roman"/>
        </w:rPr>
        <w:t xml:space="preserve">precisely </w:t>
      </w:r>
      <w:r w:rsidR="007634DD" w:rsidRPr="00530B7D">
        <w:rPr>
          <w:rFonts w:ascii="Times New Roman" w:hAnsi="Times New Roman" w:cs="Times New Roman"/>
        </w:rPr>
        <w:t>when</w:t>
      </w:r>
      <w:r w:rsidR="007E0413" w:rsidRPr="00530B7D">
        <w:rPr>
          <w:rFonts w:ascii="Times New Roman" w:hAnsi="Times New Roman" w:cs="Times New Roman"/>
        </w:rPr>
        <w:t xml:space="preserve"> the shock</w:t>
      </w:r>
      <w:r w:rsidR="007634DD" w:rsidRPr="00530B7D">
        <w:rPr>
          <w:rFonts w:ascii="Times New Roman" w:hAnsi="Times New Roman" w:cs="Times New Roman"/>
        </w:rPr>
        <w:t xml:space="preserve"> hits</w:t>
      </w:r>
      <w:r w:rsidR="007E0413" w:rsidRPr="00530B7D">
        <w:rPr>
          <w:rFonts w:ascii="Times New Roman" w:hAnsi="Times New Roman" w:cs="Times New Roman"/>
        </w:rPr>
        <w:t xml:space="preserve">, </w:t>
      </w:r>
      <w:r w:rsidR="009B5088" w:rsidRPr="00530B7D">
        <w:rPr>
          <w:rFonts w:ascii="Times New Roman" w:hAnsi="Times New Roman" w:cs="Times New Roman"/>
        </w:rPr>
        <w:t>an 1-percent exogenous increase in growth exports is associated with a</w:t>
      </w:r>
      <w:r w:rsidR="00E65531" w:rsidRPr="00530B7D">
        <w:rPr>
          <w:rFonts w:ascii="Times New Roman" w:hAnsi="Times New Roman" w:cs="Times New Roman"/>
        </w:rPr>
        <w:t>n average</w:t>
      </w:r>
      <w:r w:rsidR="009B5088" w:rsidRPr="00530B7D">
        <w:rPr>
          <w:rFonts w:ascii="Times New Roman" w:hAnsi="Times New Roman" w:cs="Times New Roman"/>
        </w:rPr>
        <w:t xml:space="preserve"> </w:t>
      </w:r>
      <w:r w:rsidR="007264AB" w:rsidRPr="00530B7D">
        <w:rPr>
          <w:rFonts w:ascii="Times New Roman" w:hAnsi="Times New Roman" w:cs="Times New Roman"/>
        </w:rPr>
        <w:t xml:space="preserve">formal employment </w:t>
      </w:r>
      <w:r w:rsidR="007634DD" w:rsidRPr="00530B7D">
        <w:rPr>
          <w:rFonts w:ascii="Times New Roman" w:hAnsi="Times New Roman" w:cs="Times New Roman"/>
        </w:rPr>
        <w:t>rise</w:t>
      </w:r>
      <w:r w:rsidR="009B5088" w:rsidRPr="00530B7D">
        <w:rPr>
          <w:rFonts w:ascii="Times New Roman" w:hAnsi="Times New Roman" w:cs="Times New Roman"/>
        </w:rPr>
        <w:t xml:space="preserve"> of </w:t>
      </w:r>
      <w:r w:rsidR="003513B6" w:rsidRPr="00530B7D">
        <w:rPr>
          <w:rFonts w:ascii="Times New Roman" w:hAnsi="Times New Roman" w:cs="Times New Roman"/>
        </w:rPr>
        <w:t>approximately</w:t>
      </w:r>
      <w:r w:rsidR="007634DD" w:rsidRPr="00530B7D">
        <w:rPr>
          <w:rFonts w:ascii="Times New Roman" w:hAnsi="Times New Roman" w:cs="Times New Roman"/>
        </w:rPr>
        <w:t xml:space="preserve"> 0.25 percent</w:t>
      </w:r>
      <w:r w:rsidR="003513B6" w:rsidRPr="00530B7D">
        <w:rPr>
          <w:rFonts w:ascii="Times New Roman" w:hAnsi="Times New Roman" w:cs="Times New Roman"/>
        </w:rPr>
        <w:t xml:space="preserve"> </w:t>
      </w:r>
      <w:r w:rsidR="007634DD" w:rsidRPr="00530B7D">
        <w:rPr>
          <w:rFonts w:ascii="Times New Roman" w:hAnsi="Times New Roman" w:cs="Times New Roman"/>
        </w:rPr>
        <w:t xml:space="preserve">and a persistent effect of </w:t>
      </w:r>
      <w:r w:rsidR="001766F3" w:rsidRPr="00530B7D">
        <w:rPr>
          <w:rFonts w:ascii="Times New Roman" w:hAnsi="Times New Roman" w:cs="Times New Roman"/>
        </w:rPr>
        <w:t xml:space="preserve">approximately 0.15 percent in </w:t>
      </w:r>
      <w:r w:rsidR="006A5ED4" w:rsidRPr="00530B7D">
        <w:rPr>
          <w:rFonts w:ascii="Times New Roman" w:hAnsi="Times New Roman" w:cs="Times New Roman"/>
        </w:rPr>
        <w:t>the next</w:t>
      </w:r>
      <w:r w:rsidR="001766F3" w:rsidRPr="00530B7D">
        <w:rPr>
          <w:rFonts w:ascii="Times New Roman" w:hAnsi="Times New Roman" w:cs="Times New Roman"/>
        </w:rPr>
        <w:t xml:space="preserve"> year. In the third and fourth year</w:t>
      </w:r>
      <w:r w:rsidR="00E65531" w:rsidRPr="00530B7D">
        <w:rPr>
          <w:rFonts w:ascii="Times New Roman" w:hAnsi="Times New Roman" w:cs="Times New Roman"/>
        </w:rPr>
        <w:t xml:space="preserve">, these estimates are still statistically different zero </w:t>
      </w:r>
      <w:r w:rsidR="008061D6" w:rsidRPr="00530B7D">
        <w:rPr>
          <w:rFonts w:ascii="Times New Roman" w:hAnsi="Times New Roman" w:cs="Times New Roman"/>
        </w:rPr>
        <w:t xml:space="preserve">and greater than 0.1 percent. </w:t>
      </w:r>
      <w:r w:rsidR="00931A70" w:rsidRPr="00530B7D">
        <w:rPr>
          <w:rFonts w:ascii="Times New Roman" w:hAnsi="Times New Roman" w:cs="Times New Roman"/>
        </w:rPr>
        <w:t xml:space="preserve">Finally, the estimated coefficient declines to </w:t>
      </w:r>
      <w:r w:rsidR="006A5ED4" w:rsidRPr="00530B7D">
        <w:rPr>
          <w:rFonts w:ascii="Times New Roman" w:hAnsi="Times New Roman" w:cs="Times New Roman"/>
        </w:rPr>
        <w:t xml:space="preserve">around </w:t>
      </w:r>
      <w:r w:rsidR="00931A70" w:rsidRPr="00530B7D">
        <w:rPr>
          <w:rFonts w:ascii="Times New Roman" w:hAnsi="Times New Roman" w:cs="Times New Roman"/>
        </w:rPr>
        <w:t xml:space="preserve">0.5 percent </w:t>
      </w:r>
      <w:r w:rsidR="006A5ED4" w:rsidRPr="00530B7D">
        <w:rPr>
          <w:rFonts w:ascii="Times New Roman" w:hAnsi="Times New Roman" w:cs="Times New Roman"/>
        </w:rPr>
        <w:t>around the fifth and sixth year following the shock.</w:t>
      </w:r>
      <w:r w:rsidR="00931A70" w:rsidRPr="00530B7D">
        <w:rPr>
          <w:rFonts w:ascii="Times New Roman" w:hAnsi="Times New Roman" w:cs="Times New Roman"/>
        </w:rPr>
        <w:t xml:space="preserve"> </w:t>
      </w:r>
      <w:r w:rsidR="00E65531" w:rsidRPr="00530B7D">
        <w:rPr>
          <w:rFonts w:ascii="Times New Roman" w:hAnsi="Times New Roman" w:cs="Times New Roman"/>
        </w:rPr>
        <w:t xml:space="preserve"> </w:t>
      </w:r>
      <w:r w:rsidR="003D70D0" w:rsidRPr="00530B7D">
        <w:rPr>
          <w:rFonts w:ascii="Times New Roman" w:hAnsi="Times New Roman" w:cs="Times New Roman"/>
        </w:rPr>
        <w:t xml:space="preserve">These results suggest that even though effects on formal employment reduce over time they are persistently positive in a six-year horizon.  </w:t>
      </w:r>
    </w:p>
    <w:p w14:paraId="76C8A42D" w14:textId="7F06D286" w:rsidR="005A215F" w:rsidRPr="00530B7D" w:rsidRDefault="005A215F" w:rsidP="00530B7D">
      <w:pPr>
        <w:jc w:val="both"/>
        <w:rPr>
          <w:rFonts w:ascii="Times New Roman" w:hAnsi="Times New Roman" w:cs="Times New Roman"/>
        </w:rPr>
      </w:pPr>
      <w:r w:rsidRPr="00530B7D">
        <w:rPr>
          <w:rFonts w:ascii="Times New Roman" w:hAnsi="Times New Roman" w:cs="Times New Roman"/>
          <w:highlight w:val="yellow"/>
        </w:rPr>
        <w:t>Figure XXXXX</w:t>
      </w:r>
      <w:r w:rsidR="00663AB7" w:rsidRPr="00530B7D">
        <w:rPr>
          <w:rFonts w:ascii="Times New Roman" w:hAnsi="Times New Roman" w:cs="Times New Roman"/>
        </w:rPr>
        <w:t>. Impacts on formal employment</w:t>
      </w:r>
    </w:p>
    <w:p w14:paraId="10A8C833" w14:textId="1FB65DC4" w:rsidR="005A215F" w:rsidRPr="00530B7D" w:rsidRDefault="005A215F" w:rsidP="00530B7D">
      <w:pPr>
        <w:jc w:val="both"/>
        <w:rPr>
          <w:rFonts w:ascii="Times New Roman" w:hAnsi="Times New Roman" w:cs="Times New Roman"/>
        </w:rPr>
      </w:pPr>
      <w:r w:rsidRPr="00530B7D">
        <w:rPr>
          <w:rFonts w:ascii="Times New Roman" w:hAnsi="Times New Roman" w:cs="Times New Roman"/>
        </w:rPr>
        <w:drawing>
          <wp:inline distT="0" distB="0" distL="0" distR="0" wp14:anchorId="3237E439" wp14:editId="42B2FAE3">
            <wp:extent cx="5943600" cy="3962400"/>
            <wp:effectExtent l="0" t="0" r="0" b="0"/>
            <wp:docPr id="20" name="Picture 19">
              <a:extLst xmlns:a="http://schemas.openxmlformats.org/drawingml/2006/main">
                <a:ext uri="{FF2B5EF4-FFF2-40B4-BE49-F238E27FC236}">
                  <a16:creationId xmlns:a16="http://schemas.microsoft.com/office/drawing/2014/main" id="{FF0F5B2B-858E-5F15-3CCB-0A40178A3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FF0F5B2B-858E-5F15-3CCB-0A40178A3727}"/>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2265F5E5" w14:textId="576E56DC" w:rsidR="005A215F" w:rsidRPr="00530B7D" w:rsidRDefault="00935A1C" w:rsidP="00530B7D">
      <w:pPr>
        <w:jc w:val="both"/>
        <w:rPr>
          <w:rFonts w:ascii="Times New Roman" w:hAnsi="Times New Roman" w:cs="Times New Roman"/>
          <w:sz w:val="20"/>
          <w:szCs w:val="20"/>
        </w:rPr>
      </w:pPr>
      <w:r w:rsidRPr="00530B7D">
        <w:rPr>
          <w:rFonts w:ascii="Times New Roman" w:hAnsi="Times New Roman" w:cs="Times New Roman"/>
          <w:sz w:val="20"/>
          <w:szCs w:val="20"/>
        </w:rPr>
        <w:t xml:space="preserve">Source: elaborated by the authors using RAIS data for the 1995-2021 period. </w:t>
      </w:r>
      <w:r w:rsidR="005A215F" w:rsidRPr="00530B7D">
        <w:rPr>
          <w:rFonts w:ascii="Times New Roman" w:hAnsi="Times New Roman" w:cs="Times New Roman"/>
          <w:sz w:val="20"/>
          <w:szCs w:val="20"/>
        </w:rPr>
        <w:t xml:space="preserve">Notes: </w:t>
      </w:r>
      <w:r w:rsidR="0048653F" w:rsidRPr="00530B7D">
        <w:rPr>
          <w:rFonts w:ascii="Times New Roman" w:hAnsi="Times New Roman" w:cs="Times New Roman"/>
          <w:sz w:val="20"/>
          <w:szCs w:val="20"/>
        </w:rPr>
        <w:t>xxxxxxxx</w:t>
      </w:r>
    </w:p>
    <w:p w14:paraId="5F9E8BC2" w14:textId="1AA21748" w:rsidR="009B243F" w:rsidRPr="00530B7D" w:rsidRDefault="009A6A9E" w:rsidP="00530B7D">
      <w:pPr>
        <w:jc w:val="both"/>
        <w:rPr>
          <w:rFonts w:ascii="Times New Roman" w:hAnsi="Times New Roman" w:cs="Times New Roman"/>
        </w:rPr>
      </w:pPr>
      <w:r w:rsidRPr="00530B7D">
        <w:rPr>
          <w:rFonts w:ascii="Times New Roman" w:hAnsi="Times New Roman" w:cs="Times New Roman"/>
        </w:rPr>
        <w:lastRenderedPageBreak/>
        <w:t xml:space="preserve">When it comes to real average wages, </w:t>
      </w:r>
      <w:r w:rsidRPr="00530B7D">
        <w:rPr>
          <w:rFonts w:ascii="Times New Roman" w:hAnsi="Times New Roman" w:cs="Times New Roman"/>
          <w:highlight w:val="yellow"/>
        </w:rPr>
        <w:t>F</w:t>
      </w:r>
      <w:r w:rsidR="007D6586" w:rsidRPr="00530B7D">
        <w:rPr>
          <w:rFonts w:ascii="Times New Roman" w:hAnsi="Times New Roman" w:cs="Times New Roman"/>
          <w:highlight w:val="yellow"/>
        </w:rPr>
        <w:t>igure XXXX</w:t>
      </w:r>
      <w:r w:rsidR="007D6586" w:rsidRPr="00530B7D">
        <w:rPr>
          <w:rFonts w:ascii="Times New Roman" w:hAnsi="Times New Roman" w:cs="Times New Roman"/>
        </w:rPr>
        <w:t xml:space="preserve"> replicates the same analysis by showing </w:t>
      </w:r>
      <w:r w:rsidR="0001041A" w:rsidRPr="00530B7D">
        <w:rPr>
          <w:rFonts w:ascii="Times New Roman" w:hAnsi="Times New Roman" w:cs="Times New Roman"/>
        </w:rPr>
        <w:t>both the pre- and post-shock periods</w:t>
      </w:r>
      <w:r w:rsidR="00935A1C" w:rsidRPr="00530B7D">
        <w:rPr>
          <w:rFonts w:ascii="Times New Roman" w:hAnsi="Times New Roman" w:cs="Times New Roman"/>
        </w:rPr>
        <w:t xml:space="preserve">. </w:t>
      </w:r>
      <w:r w:rsidR="000A4968" w:rsidRPr="00530B7D">
        <w:rPr>
          <w:rFonts w:ascii="Times New Roman" w:hAnsi="Times New Roman" w:cs="Times New Roman"/>
        </w:rPr>
        <w:t xml:space="preserve">One may think that </w:t>
      </w:r>
      <w:r w:rsidR="00031E9A" w:rsidRPr="00530B7D">
        <w:rPr>
          <w:rFonts w:ascii="Times New Roman" w:hAnsi="Times New Roman" w:cs="Times New Roman"/>
        </w:rPr>
        <w:t xml:space="preserve">formal employment is boosted by the </w:t>
      </w:r>
      <w:r w:rsidR="00F90EBC" w:rsidRPr="00530B7D">
        <w:rPr>
          <w:rFonts w:ascii="Times New Roman" w:hAnsi="Times New Roman" w:cs="Times New Roman"/>
        </w:rPr>
        <w:t>exports</w:t>
      </w:r>
      <w:r w:rsidR="00031E9A" w:rsidRPr="00530B7D">
        <w:rPr>
          <w:rFonts w:ascii="Times New Roman" w:hAnsi="Times New Roman" w:cs="Times New Roman"/>
        </w:rPr>
        <w:t xml:space="preserve"> </w:t>
      </w:r>
      <w:r w:rsidR="008E1975" w:rsidRPr="00530B7D">
        <w:rPr>
          <w:rFonts w:ascii="Times New Roman" w:hAnsi="Times New Roman" w:cs="Times New Roman"/>
        </w:rPr>
        <w:t>rise to</w:t>
      </w:r>
      <w:r w:rsidR="00F90EBC" w:rsidRPr="00530B7D">
        <w:rPr>
          <w:rFonts w:ascii="Times New Roman" w:hAnsi="Times New Roman" w:cs="Times New Roman"/>
        </w:rPr>
        <w:t xml:space="preserve"> meet the increased demand and that no effects </w:t>
      </w:r>
      <w:r w:rsidR="0001041A" w:rsidRPr="00530B7D">
        <w:rPr>
          <w:rFonts w:ascii="Times New Roman" w:hAnsi="Times New Roman" w:cs="Times New Roman"/>
        </w:rPr>
        <w:t>would be observed in terms of average wages</w:t>
      </w:r>
      <w:r w:rsidR="00F8106A" w:rsidRPr="00530B7D">
        <w:rPr>
          <w:rFonts w:ascii="Times New Roman" w:hAnsi="Times New Roman" w:cs="Times New Roman"/>
        </w:rPr>
        <w:t xml:space="preserve"> and wage mass</w:t>
      </w:r>
      <w:r w:rsidR="00200518" w:rsidRPr="00530B7D">
        <w:rPr>
          <w:rFonts w:ascii="Times New Roman" w:hAnsi="Times New Roman" w:cs="Times New Roman"/>
        </w:rPr>
        <w:t xml:space="preserve"> because exporting firms </w:t>
      </w:r>
      <w:r w:rsidR="001A5F22" w:rsidRPr="00530B7D">
        <w:rPr>
          <w:rFonts w:ascii="Times New Roman" w:hAnsi="Times New Roman" w:cs="Times New Roman"/>
        </w:rPr>
        <w:t xml:space="preserve">in more exposed regions </w:t>
      </w:r>
      <w:r w:rsidR="00200518" w:rsidRPr="00530B7D">
        <w:rPr>
          <w:rFonts w:ascii="Times New Roman" w:hAnsi="Times New Roman" w:cs="Times New Roman"/>
        </w:rPr>
        <w:t xml:space="preserve">are </w:t>
      </w:r>
      <w:r w:rsidR="00096312" w:rsidRPr="00530B7D">
        <w:rPr>
          <w:rFonts w:ascii="Times New Roman" w:hAnsi="Times New Roman" w:cs="Times New Roman"/>
        </w:rPr>
        <w:t xml:space="preserve">probably </w:t>
      </w:r>
      <w:r w:rsidR="00200518" w:rsidRPr="00530B7D">
        <w:rPr>
          <w:rFonts w:ascii="Times New Roman" w:hAnsi="Times New Roman" w:cs="Times New Roman"/>
        </w:rPr>
        <w:t>not required to raise salaries in order to expand their wor</w:t>
      </w:r>
      <w:r w:rsidR="00701AFC" w:rsidRPr="00530B7D">
        <w:rPr>
          <w:rFonts w:ascii="Times New Roman" w:hAnsi="Times New Roman" w:cs="Times New Roman"/>
        </w:rPr>
        <w:t>k</w:t>
      </w:r>
      <w:r w:rsidR="00200518" w:rsidRPr="00530B7D">
        <w:rPr>
          <w:rFonts w:ascii="Times New Roman" w:hAnsi="Times New Roman" w:cs="Times New Roman"/>
        </w:rPr>
        <w:t>force.</w:t>
      </w:r>
      <w:r w:rsidR="00701AFC" w:rsidRPr="00530B7D">
        <w:rPr>
          <w:rFonts w:ascii="Times New Roman" w:hAnsi="Times New Roman" w:cs="Times New Roman"/>
        </w:rPr>
        <w:t xml:space="preserve"> </w:t>
      </w:r>
      <w:r w:rsidR="002E1E1E" w:rsidRPr="00530B7D">
        <w:rPr>
          <w:rFonts w:ascii="Times New Roman" w:hAnsi="Times New Roman" w:cs="Times New Roman"/>
        </w:rPr>
        <w:t xml:space="preserve">Although this argument is </w:t>
      </w:r>
      <w:r w:rsidR="00096312" w:rsidRPr="00530B7D">
        <w:rPr>
          <w:rFonts w:ascii="Times New Roman" w:hAnsi="Times New Roman" w:cs="Times New Roman"/>
        </w:rPr>
        <w:t>reasonable</w:t>
      </w:r>
      <w:r w:rsidR="002E1E1E" w:rsidRPr="00530B7D">
        <w:rPr>
          <w:rFonts w:ascii="Times New Roman" w:hAnsi="Times New Roman" w:cs="Times New Roman"/>
        </w:rPr>
        <w:t xml:space="preserve">, </w:t>
      </w:r>
      <w:r w:rsidR="0062124A" w:rsidRPr="00530B7D">
        <w:rPr>
          <w:rFonts w:ascii="Times New Roman" w:hAnsi="Times New Roman" w:cs="Times New Roman"/>
        </w:rPr>
        <w:t>the p</w:t>
      </w:r>
      <w:r w:rsidR="00096312" w:rsidRPr="00530B7D">
        <w:rPr>
          <w:rFonts w:ascii="Times New Roman" w:hAnsi="Times New Roman" w:cs="Times New Roman"/>
        </w:rPr>
        <w:t>attern</w:t>
      </w:r>
      <w:r w:rsidR="0062124A" w:rsidRPr="00530B7D">
        <w:rPr>
          <w:rFonts w:ascii="Times New Roman" w:hAnsi="Times New Roman" w:cs="Times New Roman"/>
        </w:rPr>
        <w:t xml:space="preserve"> observed in </w:t>
      </w:r>
      <w:r w:rsidR="0062124A" w:rsidRPr="00530B7D">
        <w:rPr>
          <w:rFonts w:ascii="Times New Roman" w:hAnsi="Times New Roman" w:cs="Times New Roman"/>
          <w:highlight w:val="yellow"/>
        </w:rPr>
        <w:t>Figure XXXXX</w:t>
      </w:r>
      <w:r w:rsidR="0062124A" w:rsidRPr="00530B7D">
        <w:rPr>
          <w:rFonts w:ascii="Times New Roman" w:hAnsi="Times New Roman" w:cs="Times New Roman"/>
        </w:rPr>
        <w:t xml:space="preserve"> point</w:t>
      </w:r>
      <w:r w:rsidR="00096312" w:rsidRPr="00530B7D">
        <w:rPr>
          <w:rFonts w:ascii="Times New Roman" w:hAnsi="Times New Roman" w:cs="Times New Roman"/>
        </w:rPr>
        <w:t>s</w:t>
      </w:r>
      <w:r w:rsidR="0062124A" w:rsidRPr="00530B7D">
        <w:rPr>
          <w:rFonts w:ascii="Times New Roman" w:hAnsi="Times New Roman" w:cs="Times New Roman"/>
        </w:rPr>
        <w:t xml:space="preserve"> to a different story, as </w:t>
      </w:r>
      <w:r w:rsidR="005878A7" w:rsidRPr="00530B7D">
        <w:rPr>
          <w:rFonts w:ascii="Times New Roman" w:hAnsi="Times New Roman" w:cs="Times New Roman"/>
        </w:rPr>
        <w:t>the impacts on average real wages are statistically significant in at least four of the six post-shock years</w:t>
      </w:r>
      <w:r w:rsidR="00096312" w:rsidRPr="00530B7D">
        <w:rPr>
          <w:rFonts w:ascii="Times New Roman" w:hAnsi="Times New Roman" w:cs="Times New Roman"/>
        </w:rPr>
        <w:t xml:space="preserve">. Moreover, rather than vanishing over time, the effects </w:t>
      </w:r>
      <w:r w:rsidR="0080306D" w:rsidRPr="00530B7D">
        <w:rPr>
          <w:rFonts w:ascii="Times New Roman" w:hAnsi="Times New Roman" w:cs="Times New Roman"/>
        </w:rPr>
        <w:t>are larger six years after the shock than in the ve</w:t>
      </w:r>
      <w:r w:rsidR="0026696E" w:rsidRPr="00530B7D">
        <w:rPr>
          <w:rFonts w:ascii="Times New Roman" w:hAnsi="Times New Roman" w:cs="Times New Roman"/>
        </w:rPr>
        <w:t>ry first period, suggesting that wages</w:t>
      </w:r>
      <w:r w:rsidR="004435D1" w:rsidRPr="00530B7D">
        <w:rPr>
          <w:rFonts w:ascii="Times New Roman" w:hAnsi="Times New Roman" w:cs="Times New Roman"/>
        </w:rPr>
        <w:t xml:space="preserve"> are likely sticky in the short run and need</w:t>
      </w:r>
      <w:r w:rsidR="0026696E" w:rsidRPr="00530B7D">
        <w:rPr>
          <w:rFonts w:ascii="Times New Roman" w:hAnsi="Times New Roman" w:cs="Times New Roman"/>
        </w:rPr>
        <w:t xml:space="preserve"> </w:t>
      </w:r>
      <w:r w:rsidR="004435D1" w:rsidRPr="00530B7D">
        <w:rPr>
          <w:rFonts w:ascii="Times New Roman" w:hAnsi="Times New Roman" w:cs="Times New Roman"/>
        </w:rPr>
        <w:t>some time to adjust</w:t>
      </w:r>
      <w:r w:rsidR="00C06381" w:rsidRPr="00530B7D">
        <w:rPr>
          <w:rFonts w:ascii="Times New Roman" w:hAnsi="Times New Roman" w:cs="Times New Roman"/>
        </w:rPr>
        <w:t xml:space="preserve">. One year after the foreign demand rise, </w:t>
      </w:r>
      <w:r w:rsidR="0029365B" w:rsidRPr="00530B7D">
        <w:rPr>
          <w:rFonts w:ascii="Times New Roman" w:hAnsi="Times New Roman" w:cs="Times New Roman"/>
        </w:rPr>
        <w:t>average wages go up by 0.</w:t>
      </w:r>
      <w:r w:rsidR="009574E5" w:rsidRPr="00530B7D">
        <w:rPr>
          <w:rFonts w:ascii="Times New Roman" w:hAnsi="Times New Roman" w:cs="Times New Roman"/>
        </w:rPr>
        <w:t>1</w:t>
      </w:r>
      <w:r w:rsidR="0029365B" w:rsidRPr="00530B7D">
        <w:rPr>
          <w:rFonts w:ascii="Times New Roman" w:hAnsi="Times New Roman" w:cs="Times New Roman"/>
        </w:rPr>
        <w:t xml:space="preserve"> percent, on average, for every </w:t>
      </w:r>
      <w:r w:rsidR="00C06381" w:rsidRPr="00530B7D">
        <w:rPr>
          <w:rFonts w:ascii="Times New Roman" w:hAnsi="Times New Roman" w:cs="Times New Roman"/>
        </w:rPr>
        <w:t>1-percent</w:t>
      </w:r>
      <w:r w:rsidR="0029365B" w:rsidRPr="00530B7D">
        <w:rPr>
          <w:rFonts w:ascii="Times New Roman" w:hAnsi="Times New Roman" w:cs="Times New Roman"/>
        </w:rPr>
        <w:t xml:space="preserve"> exogenous increase </w:t>
      </w:r>
      <w:r w:rsidR="00C132D7" w:rsidRPr="00530B7D">
        <w:rPr>
          <w:rFonts w:ascii="Times New Roman" w:hAnsi="Times New Roman" w:cs="Times New Roman"/>
        </w:rPr>
        <w:t>in exports.</w:t>
      </w:r>
      <w:r w:rsidR="003517AF" w:rsidRPr="00530B7D">
        <w:rPr>
          <w:rFonts w:ascii="Times New Roman" w:hAnsi="Times New Roman" w:cs="Times New Roman"/>
        </w:rPr>
        <w:t xml:space="preserve"> Five years later, </w:t>
      </w:r>
      <w:r w:rsidR="004C7986" w:rsidRPr="00530B7D">
        <w:rPr>
          <w:rFonts w:ascii="Times New Roman" w:hAnsi="Times New Roman" w:cs="Times New Roman"/>
        </w:rPr>
        <w:t xml:space="preserve">the </w:t>
      </w:r>
      <w:r w:rsidR="00162E62" w:rsidRPr="00530B7D">
        <w:rPr>
          <w:rFonts w:ascii="Times New Roman" w:hAnsi="Times New Roman" w:cs="Times New Roman"/>
        </w:rPr>
        <w:t>estimated coefficient</w:t>
      </w:r>
      <w:r w:rsidR="004C7986" w:rsidRPr="00530B7D">
        <w:rPr>
          <w:rFonts w:ascii="Times New Roman" w:hAnsi="Times New Roman" w:cs="Times New Roman"/>
        </w:rPr>
        <w:t xml:space="preserve"> almost doubles, reaching approximately </w:t>
      </w:r>
      <w:r w:rsidR="009574E5" w:rsidRPr="00530B7D">
        <w:rPr>
          <w:rFonts w:ascii="Times New Roman" w:hAnsi="Times New Roman" w:cs="Times New Roman"/>
        </w:rPr>
        <w:t>0.</w:t>
      </w:r>
      <w:r w:rsidR="004C7986" w:rsidRPr="00530B7D">
        <w:rPr>
          <w:rFonts w:ascii="Times New Roman" w:hAnsi="Times New Roman" w:cs="Times New Roman"/>
        </w:rPr>
        <w:t>2 percent</w:t>
      </w:r>
      <w:r w:rsidR="009574E5" w:rsidRPr="00530B7D">
        <w:rPr>
          <w:rFonts w:ascii="Times New Roman" w:hAnsi="Times New Roman" w:cs="Times New Roman"/>
        </w:rPr>
        <w:t>.</w:t>
      </w:r>
      <w:r w:rsidR="004C7986" w:rsidRPr="00530B7D">
        <w:rPr>
          <w:rFonts w:ascii="Times New Roman" w:hAnsi="Times New Roman" w:cs="Times New Roman"/>
        </w:rPr>
        <w:t xml:space="preserve"> </w:t>
      </w:r>
      <w:r w:rsidR="00F8106A" w:rsidRPr="00530B7D">
        <w:rPr>
          <w:rFonts w:ascii="Times New Roman" w:hAnsi="Times New Roman" w:cs="Times New Roman"/>
        </w:rPr>
        <w:t xml:space="preserve"> </w:t>
      </w:r>
      <w:r w:rsidR="00F90EBC" w:rsidRPr="00530B7D">
        <w:rPr>
          <w:rFonts w:ascii="Times New Roman" w:hAnsi="Times New Roman" w:cs="Times New Roman"/>
        </w:rPr>
        <w:t xml:space="preserve"> </w:t>
      </w:r>
      <w:r w:rsidR="00031E9A" w:rsidRPr="00530B7D">
        <w:rPr>
          <w:rFonts w:ascii="Times New Roman" w:hAnsi="Times New Roman" w:cs="Times New Roman"/>
        </w:rPr>
        <w:t xml:space="preserve"> </w:t>
      </w:r>
    </w:p>
    <w:p w14:paraId="3956D8F4" w14:textId="23FA598F" w:rsidR="009A6A9E" w:rsidRPr="00530B7D" w:rsidRDefault="00935A1C" w:rsidP="00530B7D">
      <w:pPr>
        <w:jc w:val="both"/>
        <w:rPr>
          <w:rFonts w:ascii="Times New Roman" w:hAnsi="Times New Roman" w:cs="Times New Roman"/>
        </w:rPr>
      </w:pPr>
      <w:r w:rsidRPr="00530B7D">
        <w:rPr>
          <w:rFonts w:ascii="Times New Roman" w:hAnsi="Times New Roman" w:cs="Times New Roman"/>
        </w:rPr>
        <w:t>Figure XXXXX. Impacts on real average wages</w:t>
      </w:r>
    </w:p>
    <w:p w14:paraId="202E383D" w14:textId="0357AD93" w:rsidR="00935A1C" w:rsidRPr="00530B7D" w:rsidRDefault="00935A1C" w:rsidP="00530B7D">
      <w:pPr>
        <w:jc w:val="both"/>
        <w:rPr>
          <w:rFonts w:ascii="Times New Roman" w:hAnsi="Times New Roman" w:cs="Times New Roman"/>
        </w:rPr>
      </w:pPr>
      <w:r w:rsidRPr="00530B7D">
        <w:rPr>
          <w:rFonts w:ascii="Times New Roman" w:hAnsi="Times New Roman" w:cs="Times New Roman"/>
        </w:rPr>
        <w:drawing>
          <wp:inline distT="0" distB="0" distL="0" distR="0" wp14:anchorId="55AA97D9" wp14:editId="24C01F9F">
            <wp:extent cx="5943600" cy="3962400"/>
            <wp:effectExtent l="0" t="0" r="0" b="0"/>
            <wp:docPr id="8" name="Content Placeholder 15">
              <a:extLst xmlns:a="http://schemas.openxmlformats.org/drawingml/2006/main">
                <a:ext uri="{FF2B5EF4-FFF2-40B4-BE49-F238E27FC236}">
                  <a16:creationId xmlns:a16="http://schemas.microsoft.com/office/drawing/2014/main" id="{9E298C8E-671C-D965-3C8E-1FEE0C6FB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5">
                      <a:extLst>
                        <a:ext uri="{FF2B5EF4-FFF2-40B4-BE49-F238E27FC236}">
                          <a16:creationId xmlns:a16="http://schemas.microsoft.com/office/drawing/2014/main" id="{9E298C8E-671C-D965-3C8E-1FEE0C6FBD3C}"/>
                        </a:ext>
                      </a:extLst>
                    </pic:cNvPr>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4366C417" w14:textId="648BD875" w:rsidR="00F8106A" w:rsidRPr="00530B7D" w:rsidRDefault="00935A1C" w:rsidP="00530B7D">
      <w:pPr>
        <w:jc w:val="both"/>
        <w:rPr>
          <w:rFonts w:ascii="Times New Roman" w:hAnsi="Times New Roman" w:cs="Times New Roman"/>
          <w:sz w:val="20"/>
          <w:szCs w:val="20"/>
        </w:rPr>
      </w:pPr>
      <w:r w:rsidRPr="00530B7D">
        <w:rPr>
          <w:rFonts w:ascii="Times New Roman" w:hAnsi="Times New Roman" w:cs="Times New Roman"/>
          <w:sz w:val="20"/>
          <w:szCs w:val="20"/>
        </w:rPr>
        <w:t xml:space="preserve">Source: elaborated by the authors using RAIS data for the 1995-2021 period. Notes: </w:t>
      </w:r>
      <w:r w:rsidR="00067D36" w:rsidRPr="00530B7D">
        <w:rPr>
          <w:rFonts w:ascii="Times New Roman" w:hAnsi="Times New Roman" w:cs="Times New Roman"/>
          <w:sz w:val="20"/>
          <w:szCs w:val="20"/>
        </w:rPr>
        <w:t xml:space="preserve">average wages were deflated using </w:t>
      </w:r>
      <w:r w:rsidR="000E5DD6" w:rsidRPr="00530B7D">
        <w:rPr>
          <w:rFonts w:ascii="Times New Roman" w:hAnsi="Times New Roman" w:cs="Times New Roman"/>
          <w:sz w:val="20"/>
          <w:szCs w:val="20"/>
        </w:rPr>
        <w:t xml:space="preserve">the yearly average deflator from </w:t>
      </w:r>
      <w:r w:rsidR="00067D36" w:rsidRPr="00530B7D">
        <w:rPr>
          <w:rFonts w:ascii="Times New Roman" w:hAnsi="Times New Roman" w:cs="Times New Roman"/>
          <w:sz w:val="20"/>
          <w:szCs w:val="20"/>
        </w:rPr>
        <w:t>IPCA</w:t>
      </w:r>
      <w:r w:rsidR="00A150AF" w:rsidRPr="00530B7D">
        <w:rPr>
          <w:rFonts w:ascii="Times New Roman" w:hAnsi="Times New Roman" w:cs="Times New Roman"/>
          <w:sz w:val="20"/>
          <w:szCs w:val="20"/>
        </w:rPr>
        <w:t xml:space="preserve">, the Brazilian official CPI, </w:t>
      </w:r>
      <w:r w:rsidR="000E5DD6" w:rsidRPr="00530B7D">
        <w:rPr>
          <w:rFonts w:ascii="Times New Roman" w:hAnsi="Times New Roman" w:cs="Times New Roman"/>
          <w:sz w:val="20"/>
          <w:szCs w:val="20"/>
        </w:rPr>
        <w:t xml:space="preserve">at 2010 prices. </w:t>
      </w:r>
    </w:p>
    <w:p w14:paraId="5FE2CFDC" w14:textId="28DDB11F" w:rsidR="00F8106A" w:rsidRPr="00530B7D" w:rsidRDefault="00F8106A" w:rsidP="00530B7D">
      <w:pPr>
        <w:jc w:val="both"/>
        <w:rPr>
          <w:rFonts w:ascii="Times New Roman" w:hAnsi="Times New Roman" w:cs="Times New Roman"/>
          <w:sz w:val="20"/>
          <w:szCs w:val="20"/>
        </w:rPr>
      </w:pPr>
      <w:r w:rsidRPr="00530B7D">
        <w:rPr>
          <w:rFonts w:ascii="Times New Roman" w:hAnsi="Times New Roman" w:cs="Times New Roman"/>
          <w:sz w:val="20"/>
          <w:szCs w:val="20"/>
          <w:highlight w:val="yellow"/>
        </w:rPr>
        <w:t>&lt;Add result on the wage mass&gt;</w:t>
      </w:r>
    </w:p>
    <w:p w14:paraId="1CC13976" w14:textId="6E56C754" w:rsidR="00AB3498" w:rsidRPr="00530B7D" w:rsidRDefault="00AB3498" w:rsidP="00530B7D">
      <w:pPr>
        <w:jc w:val="both"/>
        <w:rPr>
          <w:rFonts w:ascii="Times New Roman" w:hAnsi="Times New Roman" w:cs="Times New Roman"/>
          <w:sz w:val="20"/>
          <w:szCs w:val="20"/>
        </w:rPr>
      </w:pPr>
      <w:r w:rsidRPr="00530B7D">
        <w:rPr>
          <w:rFonts w:ascii="Times New Roman" w:hAnsi="Times New Roman" w:cs="Times New Roman"/>
          <w:sz w:val="20"/>
          <w:szCs w:val="20"/>
        </w:rPr>
        <w:t xml:space="preserve">Figure </w:t>
      </w:r>
      <w:r w:rsidRPr="00530B7D">
        <w:rPr>
          <w:rFonts w:ascii="Times New Roman" w:hAnsi="Times New Roman" w:cs="Times New Roman"/>
          <w:sz w:val="20"/>
          <w:szCs w:val="20"/>
          <w:highlight w:val="yellow"/>
        </w:rPr>
        <w:t>XXXXX</w:t>
      </w:r>
      <w:r w:rsidRPr="00530B7D">
        <w:rPr>
          <w:rFonts w:ascii="Times New Roman" w:hAnsi="Times New Roman" w:cs="Times New Roman"/>
          <w:sz w:val="20"/>
          <w:szCs w:val="20"/>
        </w:rPr>
        <w:t xml:space="preserve"> complements the analysis </w:t>
      </w:r>
    </w:p>
    <w:p w14:paraId="390D218E" w14:textId="77777777" w:rsidR="00AB3498" w:rsidRPr="00530B7D" w:rsidRDefault="00AB3498" w:rsidP="00530B7D">
      <w:pPr>
        <w:jc w:val="both"/>
        <w:rPr>
          <w:rFonts w:ascii="Times New Roman" w:hAnsi="Times New Roman" w:cs="Times New Roman"/>
          <w:sz w:val="20"/>
          <w:szCs w:val="20"/>
        </w:rPr>
      </w:pPr>
    </w:p>
    <w:p w14:paraId="18908DEF" w14:textId="77777777" w:rsidR="00935A1C" w:rsidRPr="00530B7D" w:rsidRDefault="00935A1C" w:rsidP="00530B7D">
      <w:pPr>
        <w:jc w:val="both"/>
        <w:rPr>
          <w:rFonts w:ascii="Times New Roman" w:hAnsi="Times New Roman" w:cs="Times New Roman"/>
        </w:rPr>
      </w:pPr>
    </w:p>
    <w:p w14:paraId="42BB1539" w14:textId="4DA780FC" w:rsidR="009B243F" w:rsidRPr="00530B7D" w:rsidRDefault="009B243F" w:rsidP="00530B7D">
      <w:pPr>
        <w:pStyle w:val="Heading2"/>
        <w:jc w:val="both"/>
        <w:rPr>
          <w:rFonts w:ascii="Times New Roman" w:hAnsi="Times New Roman" w:cs="Times New Roman"/>
        </w:rPr>
      </w:pPr>
      <w:r w:rsidRPr="00530B7D">
        <w:rPr>
          <w:rFonts w:ascii="Times New Roman" w:hAnsi="Times New Roman" w:cs="Times New Roman"/>
        </w:rPr>
        <w:t>Analyses of green sectors</w:t>
      </w:r>
    </w:p>
    <w:p w14:paraId="0AE84C66" w14:textId="77777777" w:rsidR="009B243F" w:rsidRPr="00530B7D" w:rsidRDefault="009B243F" w:rsidP="00530B7D">
      <w:pPr>
        <w:jc w:val="both"/>
        <w:rPr>
          <w:rFonts w:ascii="Times New Roman" w:hAnsi="Times New Roman" w:cs="Times New Roman"/>
        </w:rPr>
      </w:pPr>
    </w:p>
    <w:p w14:paraId="2700E97B" w14:textId="04DF636F" w:rsidR="009B243F" w:rsidRPr="00530B7D" w:rsidRDefault="009B243F" w:rsidP="00530B7D">
      <w:pPr>
        <w:pStyle w:val="Heading1"/>
        <w:numPr>
          <w:ilvl w:val="0"/>
          <w:numId w:val="2"/>
        </w:numPr>
        <w:ind w:left="360"/>
        <w:jc w:val="both"/>
        <w:rPr>
          <w:rFonts w:ascii="Times New Roman" w:hAnsi="Times New Roman" w:cs="Times New Roman"/>
        </w:rPr>
      </w:pPr>
      <w:r w:rsidRPr="00530B7D">
        <w:rPr>
          <w:rFonts w:ascii="Times New Roman" w:hAnsi="Times New Roman" w:cs="Times New Roman"/>
        </w:rPr>
        <w:lastRenderedPageBreak/>
        <w:t>Conclusions</w:t>
      </w:r>
    </w:p>
    <w:p w14:paraId="5B535EC8" w14:textId="77777777" w:rsidR="009B243F" w:rsidRPr="00530B7D" w:rsidRDefault="009B243F" w:rsidP="00530B7D">
      <w:pPr>
        <w:jc w:val="both"/>
        <w:rPr>
          <w:rFonts w:ascii="Times New Roman" w:hAnsi="Times New Roman" w:cs="Times New Roman"/>
        </w:rPr>
      </w:pPr>
    </w:p>
    <w:p w14:paraId="3C833A75" w14:textId="77777777" w:rsidR="009B243F" w:rsidRPr="00530B7D" w:rsidRDefault="009B243F" w:rsidP="00530B7D">
      <w:pPr>
        <w:jc w:val="both"/>
        <w:rPr>
          <w:rFonts w:ascii="Times New Roman" w:hAnsi="Times New Roman" w:cs="Times New Roman"/>
        </w:rPr>
      </w:pPr>
    </w:p>
    <w:p w14:paraId="229B64DE" w14:textId="3E795950" w:rsidR="009B243F" w:rsidRPr="00530B7D" w:rsidRDefault="009B243F" w:rsidP="00530B7D">
      <w:pPr>
        <w:jc w:val="both"/>
        <w:rPr>
          <w:rFonts w:ascii="Times New Roman" w:hAnsi="Times New Roman" w:cs="Times New Roman"/>
        </w:rPr>
      </w:pPr>
      <w:r w:rsidRPr="00530B7D">
        <w:rPr>
          <w:rFonts w:ascii="Times New Roman" w:hAnsi="Times New Roman" w:cs="Times New Roman"/>
        </w:rPr>
        <w:br w:type="page"/>
      </w:r>
    </w:p>
    <w:p w14:paraId="50642289" w14:textId="6F952C68" w:rsidR="009B243F" w:rsidRPr="00530B7D" w:rsidRDefault="009B243F" w:rsidP="00530B7D">
      <w:pPr>
        <w:pStyle w:val="Heading1"/>
        <w:jc w:val="both"/>
        <w:rPr>
          <w:rFonts w:ascii="Times New Roman" w:hAnsi="Times New Roman" w:cs="Times New Roman"/>
        </w:rPr>
      </w:pPr>
      <w:r w:rsidRPr="00530B7D">
        <w:rPr>
          <w:rFonts w:ascii="Times New Roman" w:hAnsi="Times New Roman" w:cs="Times New Roman"/>
        </w:rPr>
        <w:lastRenderedPageBreak/>
        <w:t>References</w:t>
      </w:r>
    </w:p>
    <w:p w14:paraId="4300D14C" w14:textId="77777777" w:rsidR="009B243F" w:rsidRPr="00530B7D" w:rsidRDefault="009B243F" w:rsidP="00530B7D">
      <w:pPr>
        <w:jc w:val="both"/>
        <w:rPr>
          <w:rFonts w:ascii="Times New Roman" w:hAnsi="Times New Roman" w:cs="Times New Roman"/>
        </w:rPr>
      </w:pPr>
    </w:p>
    <w:p w14:paraId="624A94B2" w14:textId="14B00A3E" w:rsidR="009B243F" w:rsidRDefault="00CB21D1" w:rsidP="00530B7D">
      <w:pPr>
        <w:jc w:val="both"/>
        <w:rPr>
          <w:rFonts w:ascii="Times New Roman" w:hAnsi="Times New Roman" w:cs="Times New Roman"/>
        </w:rPr>
      </w:pPr>
      <w:r w:rsidRPr="00530B7D">
        <w:rPr>
          <w:rFonts w:ascii="Times New Roman" w:hAnsi="Times New Roman" w:cs="Times New Roman"/>
        </w:rPr>
        <w:t>Cirera and Martins-Neto (2021)</w:t>
      </w:r>
    </w:p>
    <w:p w14:paraId="1664C492" w14:textId="77777777" w:rsidR="00890015" w:rsidRDefault="00890015" w:rsidP="00530B7D">
      <w:pPr>
        <w:jc w:val="both"/>
        <w:rPr>
          <w:rFonts w:ascii="Times New Roman" w:hAnsi="Times New Roman" w:cs="Times New Roman"/>
        </w:rPr>
      </w:pPr>
    </w:p>
    <w:p w14:paraId="39D0E5C2" w14:textId="7309D928" w:rsidR="00890015" w:rsidRPr="00530B7D" w:rsidRDefault="00890015" w:rsidP="00890015">
      <w:pPr>
        <w:pStyle w:val="Heading1"/>
        <w:jc w:val="center"/>
        <w:rPr>
          <w:rFonts w:ascii="Times New Roman" w:hAnsi="Times New Roman" w:cs="Times New Roman"/>
        </w:rPr>
      </w:pPr>
      <w:r>
        <w:rPr>
          <w:rFonts w:ascii="Times New Roman" w:hAnsi="Times New Roman" w:cs="Times New Roman"/>
        </w:rPr>
        <w:t>Appendix A</w:t>
      </w:r>
    </w:p>
    <w:p w14:paraId="289EFF33" w14:textId="77777777" w:rsidR="00890015" w:rsidRDefault="00890015" w:rsidP="00890015">
      <w:pPr>
        <w:jc w:val="both"/>
        <w:rPr>
          <w:rFonts w:ascii="Times New Roman" w:hAnsi="Times New Roman" w:cs="Times New Roman"/>
          <w:sz w:val="20"/>
          <w:szCs w:val="20"/>
        </w:rPr>
      </w:pPr>
    </w:p>
    <w:p w14:paraId="76B106FD" w14:textId="6D71CAFC" w:rsidR="00890015" w:rsidRPr="006B3D55" w:rsidRDefault="00890015" w:rsidP="00890015">
      <w:pPr>
        <w:jc w:val="both"/>
        <w:rPr>
          <w:rFonts w:ascii="Times New Roman" w:hAnsi="Times New Roman" w:cs="Times New Roman"/>
        </w:rPr>
      </w:pPr>
      <w:r>
        <w:rPr>
          <w:rFonts w:ascii="Times New Roman" w:hAnsi="Times New Roman" w:cs="Times New Roman"/>
        </w:rPr>
        <w:t xml:space="preserve">Appendix </w:t>
      </w:r>
      <w:r w:rsidRPr="00530B7D">
        <w:rPr>
          <w:rFonts w:ascii="Times New Roman" w:hAnsi="Times New Roman" w:cs="Times New Roman"/>
        </w:rPr>
        <w:t xml:space="preserve">Figure </w:t>
      </w:r>
      <w:r>
        <w:rPr>
          <w:rFonts w:ascii="Times New Roman" w:hAnsi="Times New Roman" w:cs="Times New Roman"/>
        </w:rPr>
        <w:t>A1</w:t>
      </w:r>
      <w:r w:rsidRPr="00530B7D">
        <w:rPr>
          <w:rFonts w:ascii="Times New Roman" w:hAnsi="Times New Roman" w:cs="Times New Roman"/>
        </w:rPr>
        <w:t xml:space="preserve">. </w:t>
      </w:r>
      <w:r>
        <w:rPr>
          <w:rFonts w:ascii="Times New Roman" w:hAnsi="Times New Roman" w:cs="Times New Roman"/>
        </w:rPr>
        <w:t>Distribution of exports per person at the municipality level, selected years</w:t>
      </w:r>
    </w:p>
    <w:tbl>
      <w:tblPr>
        <w:tblStyle w:val="TableGrid"/>
        <w:tblW w:w="0" w:type="auto"/>
        <w:tblLook w:val="04A0" w:firstRow="1" w:lastRow="0" w:firstColumn="1" w:lastColumn="0" w:noHBand="0" w:noVBand="1"/>
      </w:tblPr>
      <w:tblGrid>
        <w:gridCol w:w="4675"/>
        <w:gridCol w:w="4675"/>
      </w:tblGrid>
      <w:tr w:rsidR="00890015" w14:paraId="6945CACE" w14:textId="77777777" w:rsidTr="008A1603">
        <w:tc>
          <w:tcPr>
            <w:tcW w:w="4675" w:type="dxa"/>
          </w:tcPr>
          <w:p w14:paraId="00661259" w14:textId="77777777" w:rsidR="00890015" w:rsidRPr="006B3D55" w:rsidRDefault="00890015" w:rsidP="00890015">
            <w:pPr>
              <w:pStyle w:val="ListParagraph"/>
              <w:numPr>
                <w:ilvl w:val="0"/>
                <w:numId w:val="4"/>
              </w:numPr>
              <w:jc w:val="both"/>
              <w:rPr>
                <w:rFonts w:ascii="Times New Roman" w:hAnsi="Times New Roman" w:cs="Times New Roman"/>
              </w:rPr>
            </w:pPr>
            <w:r>
              <w:rPr>
                <w:rFonts w:ascii="Times New Roman" w:hAnsi="Times New Roman" w:cs="Times New Roman"/>
              </w:rPr>
              <w:t>2002</w:t>
            </w:r>
          </w:p>
        </w:tc>
        <w:tc>
          <w:tcPr>
            <w:tcW w:w="4675" w:type="dxa"/>
          </w:tcPr>
          <w:p w14:paraId="66DA8C50" w14:textId="77777777" w:rsidR="00890015" w:rsidRPr="006B3D55" w:rsidRDefault="00890015" w:rsidP="00890015">
            <w:pPr>
              <w:pStyle w:val="ListParagraph"/>
              <w:numPr>
                <w:ilvl w:val="0"/>
                <w:numId w:val="4"/>
              </w:numPr>
              <w:jc w:val="both"/>
              <w:rPr>
                <w:rFonts w:ascii="Times New Roman" w:hAnsi="Times New Roman" w:cs="Times New Roman"/>
              </w:rPr>
            </w:pPr>
            <w:r>
              <w:rPr>
                <w:rFonts w:ascii="Times New Roman" w:hAnsi="Times New Roman" w:cs="Times New Roman"/>
              </w:rPr>
              <w:t>2022</w:t>
            </w:r>
          </w:p>
        </w:tc>
      </w:tr>
      <w:tr w:rsidR="00890015" w14:paraId="719A8DCD" w14:textId="77777777" w:rsidTr="008A1603">
        <w:trPr>
          <w:trHeight w:val="4283"/>
        </w:trPr>
        <w:tc>
          <w:tcPr>
            <w:tcW w:w="4675" w:type="dxa"/>
          </w:tcPr>
          <w:p w14:paraId="35821EB9" w14:textId="77777777" w:rsidR="00890015" w:rsidRDefault="00890015" w:rsidP="008A1603">
            <w:pPr>
              <w:pStyle w:val="ListParagraph"/>
              <w:rPr>
                <w:rFonts w:ascii="Times New Roman" w:hAnsi="Times New Roman" w:cs="Times New Roman"/>
              </w:rPr>
            </w:pPr>
            <w:r w:rsidRPr="00DE66FB">
              <w:rPr>
                <w:rFonts w:ascii="Times New Roman" w:hAnsi="Times New Roman" w:cs="Times New Roman"/>
              </w:rPr>
              <w:drawing>
                <wp:anchor distT="0" distB="0" distL="114300" distR="114300" simplePos="0" relativeHeight="251659264" behindDoc="0" locked="0" layoutInCell="1" allowOverlap="1" wp14:anchorId="72551F02" wp14:editId="46938FDB">
                  <wp:simplePos x="0" y="0"/>
                  <wp:positionH relativeFrom="column">
                    <wp:posOffset>77470</wp:posOffset>
                  </wp:positionH>
                  <wp:positionV relativeFrom="paragraph">
                    <wp:posOffset>1905</wp:posOffset>
                  </wp:positionV>
                  <wp:extent cx="2743200" cy="2743200"/>
                  <wp:effectExtent l="0" t="0" r="0" b="0"/>
                  <wp:wrapSquare wrapText="bothSides"/>
                  <wp:docPr id="5" name="Picture 4" descr="A map of brazil with a graph&#10;&#10;Description automatically generated">
                    <a:extLst xmlns:a="http://schemas.openxmlformats.org/drawingml/2006/main">
                      <a:ext uri="{FF2B5EF4-FFF2-40B4-BE49-F238E27FC236}">
                        <a16:creationId xmlns:a16="http://schemas.microsoft.com/office/drawing/2014/main" id="{0B13E926-621D-13F9-FB61-B4C322EAE8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map of brazil with a graph&#10;&#10;Description automatically generated">
                            <a:extLst>
                              <a:ext uri="{FF2B5EF4-FFF2-40B4-BE49-F238E27FC236}">
                                <a16:creationId xmlns:a16="http://schemas.microsoft.com/office/drawing/2014/main" id="{0B13E926-621D-13F9-FB61-B4C322EAE8C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5BE16989" w14:textId="77777777" w:rsidR="00890015" w:rsidRPr="00DE66FB" w:rsidRDefault="00890015" w:rsidP="008A1603">
            <w:pPr>
              <w:jc w:val="both"/>
              <w:rPr>
                <w:rFonts w:ascii="Times New Roman" w:hAnsi="Times New Roman" w:cs="Times New Roman"/>
              </w:rPr>
            </w:pPr>
            <w:r w:rsidRPr="00DE66FB">
              <w:drawing>
                <wp:anchor distT="0" distB="0" distL="114300" distR="114300" simplePos="0" relativeHeight="251660288" behindDoc="0" locked="0" layoutInCell="1" allowOverlap="1" wp14:anchorId="26028F6A" wp14:editId="4B449A97">
                  <wp:simplePos x="0" y="0"/>
                  <wp:positionH relativeFrom="column">
                    <wp:posOffset>-65405</wp:posOffset>
                  </wp:positionH>
                  <wp:positionV relativeFrom="paragraph">
                    <wp:posOffset>1905</wp:posOffset>
                  </wp:positionV>
                  <wp:extent cx="2743200" cy="2743200"/>
                  <wp:effectExtent l="0" t="0" r="0" b="0"/>
                  <wp:wrapSquare wrapText="bothSides"/>
                  <wp:docPr id="9" name="Picture 5" descr="A map of brazil with different colored areas&#10;&#10;Description automatically generated">
                    <a:extLst xmlns:a="http://schemas.openxmlformats.org/drawingml/2006/main">
                      <a:ext uri="{FF2B5EF4-FFF2-40B4-BE49-F238E27FC236}">
                        <a16:creationId xmlns:a16="http://schemas.microsoft.com/office/drawing/2014/main" id="{79D7D1CB-4A39-D7D1-BBED-356ECF79A8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map of brazil with different colored areas&#10;&#10;Description automatically generated">
                            <a:extLst>
                              <a:ext uri="{FF2B5EF4-FFF2-40B4-BE49-F238E27FC236}">
                                <a16:creationId xmlns:a16="http://schemas.microsoft.com/office/drawing/2014/main" id="{79D7D1CB-4A39-D7D1-BBED-356ECF79A847}"/>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margin">
                    <wp14:pctWidth>0</wp14:pctWidth>
                  </wp14:sizeRelH>
                  <wp14:sizeRelV relativeFrom="margin">
                    <wp14:pctHeight>0</wp14:pctHeight>
                  </wp14:sizeRelV>
                </wp:anchor>
              </w:drawing>
            </w:r>
          </w:p>
        </w:tc>
      </w:tr>
    </w:tbl>
    <w:p w14:paraId="513ED3ED" w14:textId="77777777" w:rsidR="00890015" w:rsidRDefault="00890015" w:rsidP="00890015">
      <w:pPr>
        <w:jc w:val="both"/>
        <w:rPr>
          <w:rFonts w:ascii="Times New Roman" w:hAnsi="Times New Roman" w:cs="Times New Roman"/>
          <w:sz w:val="20"/>
          <w:szCs w:val="20"/>
        </w:rPr>
      </w:pPr>
      <w:r w:rsidRPr="00530B7D">
        <w:rPr>
          <w:rFonts w:ascii="Times New Roman" w:hAnsi="Times New Roman" w:cs="Times New Roman"/>
          <w:sz w:val="20"/>
          <w:szCs w:val="20"/>
        </w:rPr>
        <w:t xml:space="preserve">Source: elaborated by the authors using data from the Brazilian Ministry of Industry and Commerce (MDIC), the Brazilian NSO (IBGE) and the Federal Reserve </w:t>
      </w:r>
      <w:r>
        <w:rPr>
          <w:rFonts w:ascii="Times New Roman" w:hAnsi="Times New Roman" w:cs="Times New Roman"/>
          <w:sz w:val="20"/>
          <w:szCs w:val="20"/>
        </w:rPr>
        <w:t>Economic Data (FRED)</w:t>
      </w:r>
      <w:r w:rsidRPr="00530B7D">
        <w:rPr>
          <w:rFonts w:ascii="Times New Roman" w:hAnsi="Times New Roman" w:cs="Times New Roman"/>
          <w:sz w:val="20"/>
          <w:szCs w:val="20"/>
        </w:rPr>
        <w:t xml:space="preserve">. Notes: </w:t>
      </w:r>
      <w:r>
        <w:rPr>
          <w:rFonts w:ascii="Times New Roman" w:hAnsi="Times New Roman" w:cs="Times New Roman"/>
          <w:sz w:val="20"/>
          <w:szCs w:val="20"/>
        </w:rPr>
        <w:t xml:space="preserve">values are denominated </w:t>
      </w:r>
      <w:commentRangeStart w:id="5"/>
      <w:r>
        <w:rPr>
          <w:rFonts w:ascii="Times New Roman" w:hAnsi="Times New Roman" w:cs="Times New Roman"/>
          <w:sz w:val="20"/>
          <w:szCs w:val="20"/>
        </w:rPr>
        <w:t xml:space="preserve">in U.S. dollars </w:t>
      </w:r>
      <w:commentRangeEnd w:id="5"/>
      <w:r>
        <w:rPr>
          <w:rStyle w:val="CommentReference"/>
        </w:rPr>
        <w:commentReference w:id="5"/>
      </w:r>
      <w:r>
        <w:rPr>
          <w:rFonts w:ascii="Times New Roman" w:hAnsi="Times New Roman" w:cs="Times New Roman"/>
          <w:sz w:val="20"/>
          <w:szCs w:val="20"/>
        </w:rPr>
        <w:t xml:space="preserve">at 2022 prices. To improve the visualization, distribution was </w:t>
      </w:r>
      <w:commentRangeStart w:id="6"/>
      <w:r>
        <w:rPr>
          <w:rFonts w:ascii="Times New Roman" w:hAnsi="Times New Roman" w:cs="Times New Roman"/>
          <w:sz w:val="20"/>
          <w:szCs w:val="20"/>
        </w:rPr>
        <w:t>truncated at USD 2,500+.</w:t>
      </w:r>
      <w:commentRangeEnd w:id="6"/>
      <w:r>
        <w:rPr>
          <w:rStyle w:val="CommentReference"/>
        </w:rPr>
        <w:commentReference w:id="6"/>
      </w:r>
    </w:p>
    <w:p w14:paraId="05FF949D" w14:textId="77777777" w:rsidR="00890015" w:rsidRDefault="00890015" w:rsidP="00530B7D">
      <w:pPr>
        <w:jc w:val="both"/>
        <w:rPr>
          <w:rFonts w:ascii="Times New Roman" w:hAnsi="Times New Roman" w:cs="Times New Roman"/>
        </w:rPr>
      </w:pPr>
    </w:p>
    <w:p w14:paraId="3B0C6BCE" w14:textId="70CF6773" w:rsidR="00890015" w:rsidRPr="00530B7D" w:rsidRDefault="00890015" w:rsidP="00890015">
      <w:pPr>
        <w:pStyle w:val="Heading1"/>
        <w:jc w:val="center"/>
        <w:rPr>
          <w:rFonts w:ascii="Times New Roman" w:hAnsi="Times New Roman" w:cs="Times New Roman"/>
        </w:rPr>
      </w:pPr>
      <w:r>
        <w:rPr>
          <w:rFonts w:ascii="Times New Roman" w:hAnsi="Times New Roman" w:cs="Times New Roman"/>
        </w:rPr>
        <w:t xml:space="preserve">Appendix </w:t>
      </w:r>
      <w:r>
        <w:rPr>
          <w:rFonts w:ascii="Times New Roman" w:hAnsi="Times New Roman" w:cs="Times New Roman"/>
        </w:rPr>
        <w:t>B</w:t>
      </w:r>
    </w:p>
    <w:p w14:paraId="3660CFB0" w14:textId="77777777" w:rsidR="00890015" w:rsidRPr="00530B7D" w:rsidRDefault="00890015" w:rsidP="00530B7D">
      <w:pPr>
        <w:jc w:val="both"/>
        <w:rPr>
          <w:rFonts w:ascii="Times New Roman" w:hAnsi="Times New Roman" w:cs="Times New Roman"/>
        </w:rPr>
      </w:pPr>
    </w:p>
    <w:sectPr w:rsidR="00890015" w:rsidRPr="00530B7D" w:rsidSect="009B243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tavio Canozzi Conceicao" w:date="2024-08-02T11:18:00Z" w:initials="OCC">
    <w:p w14:paraId="431F06C7" w14:textId="77777777" w:rsidR="00B86051" w:rsidRDefault="00B86051" w:rsidP="00B86051">
      <w:pPr>
        <w:pStyle w:val="CommentText"/>
      </w:pPr>
      <w:r>
        <w:rPr>
          <w:rStyle w:val="CommentReference"/>
        </w:rPr>
        <w:annotationRef/>
      </w:r>
      <w:r>
        <w:t>Maybe here we could have a statement about the relative position of Brazil in the ranking of countries with the highest increase in exports in the same period. Not sure if this ranking is available.</w:t>
      </w:r>
    </w:p>
  </w:comment>
  <w:comment w:id="1" w:author="Otavio Canozzi Conceicao" w:date="2024-08-02T14:46:00Z" w:initials="OCC">
    <w:p w14:paraId="42A1F78C" w14:textId="77777777" w:rsidR="00AC45E3" w:rsidRDefault="00104E08" w:rsidP="00AC45E3">
      <w:pPr>
        <w:pStyle w:val="CommentText"/>
      </w:pPr>
      <w:r>
        <w:rPr>
          <w:rStyle w:val="CommentReference"/>
        </w:rPr>
        <w:annotationRef/>
      </w:r>
      <w:r w:rsidR="00AC45E3">
        <w:t>I downloaded exports data from WDI (NE.EXP.GNFS.KD - Exports of goods and services (constant 2015 US$) and compared Brazil with other 191 countries using info for 1994 and 2019 and it seems that exports of good and services increased by a factor of 5.3 in Brazil while the global average increased by a factor of 4.6</w:t>
      </w:r>
      <w:r w:rsidR="00AC45E3">
        <w:br/>
      </w:r>
      <w:hyperlink r:id="rId1" w:history="1">
        <w:r w:rsidR="00AC45E3" w:rsidRPr="00BC7B7E">
          <w:rPr>
            <w:rStyle w:val="Hyperlink"/>
          </w:rPr>
          <w:t>https://data.worldbank.org/indicator/NE.EXP.GNFS.KD?end=2023&amp;start=1960&amp;type=shaded&amp;view=chart</w:t>
        </w:r>
      </w:hyperlink>
      <w:r w:rsidR="00AC45E3">
        <w:br/>
      </w:r>
      <w:r w:rsidR="00AC45E3">
        <w:br/>
        <w:t>So my question is: in the statement highlighted, what kind of exports are we considering? Only exports of goods?</w:t>
      </w:r>
    </w:p>
  </w:comment>
  <w:comment w:id="2" w:author="Otavio Canozzi Conceicao" w:date="2024-08-02T14:57:00Z" w:initials="OCC">
    <w:p w14:paraId="6A41174D" w14:textId="77777777" w:rsidR="00D336C8" w:rsidRDefault="00D336C8" w:rsidP="00D336C8">
      <w:pPr>
        <w:pStyle w:val="CommentText"/>
      </w:pPr>
      <w:r>
        <w:rPr>
          <w:rStyle w:val="CommentReference"/>
        </w:rPr>
        <w:annotationRef/>
      </w:r>
      <w:r>
        <w:t>I assume we are considering only goods, right? Because in the graph there is no mention to services?</w:t>
      </w:r>
    </w:p>
  </w:comment>
  <w:comment w:id="3" w:author="Otavio Canozzi Conceicao" w:date="2024-08-02T15:16:00Z" w:initials="OCC">
    <w:p w14:paraId="72725374" w14:textId="77777777" w:rsidR="00FF4B28" w:rsidRDefault="00FF4B28" w:rsidP="00FF4B28">
      <w:pPr>
        <w:pStyle w:val="CommentText"/>
      </w:pPr>
      <w:r>
        <w:rPr>
          <w:rStyle w:val="CommentReference"/>
        </w:rPr>
        <w:annotationRef/>
      </w:r>
      <w:r>
        <w:t>Confirm whether this is exports of goods only</w:t>
      </w:r>
    </w:p>
  </w:comment>
  <w:comment w:id="4" w:author="Otavio Canozzi Conceicao" w:date="2024-08-02T15:08:00Z" w:initials="OCC">
    <w:p w14:paraId="7514310D" w14:textId="19ACDAB2" w:rsidR="006F4A89" w:rsidRDefault="006F4A89" w:rsidP="006F4A89">
      <w:pPr>
        <w:pStyle w:val="CommentText"/>
      </w:pPr>
      <w:r>
        <w:rPr>
          <w:rStyle w:val="CommentReference"/>
        </w:rPr>
        <w:annotationRef/>
      </w:r>
      <w:r>
        <w:t>Confirm whether 2022 is the reference year for the municipalities’ population estimates in this graph</w:t>
      </w:r>
    </w:p>
  </w:comment>
  <w:comment w:id="5" w:author="Otavio Canozzi Conceicao" w:date="2024-08-02T15:14:00Z" w:initials="OCC">
    <w:p w14:paraId="21EB7ED4" w14:textId="77777777" w:rsidR="00890015" w:rsidRDefault="00890015" w:rsidP="00890015">
      <w:pPr>
        <w:pStyle w:val="CommentText"/>
      </w:pPr>
      <w:r>
        <w:rPr>
          <w:rStyle w:val="CommentReference"/>
        </w:rPr>
        <w:annotationRef/>
      </w:r>
      <w:r>
        <w:t>In U.S. dollars or millions of U.S. dollars?</w:t>
      </w:r>
    </w:p>
  </w:comment>
  <w:comment w:id="6" w:author="Otavio Canozzi Conceicao" w:date="2024-08-02T15:15:00Z" w:initials="OCC">
    <w:p w14:paraId="626D5B0A" w14:textId="77777777" w:rsidR="00890015" w:rsidRDefault="00890015" w:rsidP="00890015">
      <w:pPr>
        <w:pStyle w:val="CommentText"/>
      </w:pPr>
      <w:r>
        <w:rPr>
          <w:rStyle w:val="CommentReference"/>
        </w:rPr>
        <w:annotationRef/>
      </w:r>
      <w:r>
        <w:t>This was in the label/legend of the figure in the PPT,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1F06C7" w15:done="0"/>
  <w15:commentEx w15:paraId="42A1F78C" w15:done="0"/>
  <w15:commentEx w15:paraId="6A41174D" w15:paraIdParent="42A1F78C" w15:done="0"/>
  <w15:commentEx w15:paraId="72725374" w15:done="0"/>
  <w15:commentEx w15:paraId="7514310D" w15:done="0"/>
  <w15:commentEx w15:paraId="21EB7ED4" w15:done="0"/>
  <w15:commentEx w15:paraId="626D5B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73F06" w16cex:dateUtc="2024-08-02T14:18:00Z"/>
  <w16cex:commentExtensible w16cex:durableId="2A576FD7" w16cex:dateUtc="2024-08-02T17:46:00Z"/>
  <w16cex:commentExtensible w16cex:durableId="2A577256" w16cex:dateUtc="2024-08-02T17:57:00Z"/>
  <w16cex:commentExtensible w16cex:durableId="2A5776CD" w16cex:dateUtc="2024-08-02T18:16:00Z"/>
  <w16cex:commentExtensible w16cex:durableId="2A577506" w16cex:dateUtc="2024-08-02T18:08:00Z"/>
  <w16cex:commentExtensible w16cex:durableId="2A577653" w16cex:dateUtc="2024-08-02T18:14:00Z"/>
  <w16cex:commentExtensible w16cex:durableId="2A577677" w16cex:dateUtc="2024-08-02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1F06C7" w16cid:durableId="2A573F06"/>
  <w16cid:commentId w16cid:paraId="42A1F78C" w16cid:durableId="2A576FD7"/>
  <w16cid:commentId w16cid:paraId="6A41174D" w16cid:durableId="2A577256"/>
  <w16cid:commentId w16cid:paraId="72725374" w16cid:durableId="2A5776CD"/>
  <w16cid:commentId w16cid:paraId="7514310D" w16cid:durableId="2A577506"/>
  <w16cid:commentId w16cid:paraId="21EB7ED4" w16cid:durableId="2A577653"/>
  <w16cid:commentId w16cid:paraId="626D5B0A" w16cid:durableId="2A577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623A" w14:textId="77777777" w:rsidR="00BA26A9" w:rsidRDefault="00BA26A9" w:rsidP="009B243F">
      <w:pPr>
        <w:spacing w:after="0" w:line="240" w:lineRule="auto"/>
      </w:pPr>
      <w:r>
        <w:separator/>
      </w:r>
    </w:p>
  </w:endnote>
  <w:endnote w:type="continuationSeparator" w:id="0">
    <w:p w14:paraId="2213CE40" w14:textId="77777777" w:rsidR="00BA26A9" w:rsidRDefault="00BA26A9" w:rsidP="009B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47316"/>
      <w:docPartObj>
        <w:docPartGallery w:val="Page Numbers (Bottom of Page)"/>
        <w:docPartUnique/>
      </w:docPartObj>
    </w:sdtPr>
    <w:sdtEndPr>
      <w:rPr>
        <w:noProof/>
      </w:rPr>
    </w:sdtEndPr>
    <w:sdtContent>
      <w:p w14:paraId="31924A77" w14:textId="350E953C" w:rsidR="009B243F" w:rsidRDefault="009B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F0AAB0" w14:textId="77777777" w:rsidR="009B243F" w:rsidRDefault="009B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4136" w14:textId="77777777" w:rsidR="00BA26A9" w:rsidRDefault="00BA26A9" w:rsidP="009B243F">
      <w:pPr>
        <w:spacing w:after="0" w:line="240" w:lineRule="auto"/>
      </w:pPr>
      <w:r>
        <w:separator/>
      </w:r>
    </w:p>
  </w:footnote>
  <w:footnote w:type="continuationSeparator" w:id="0">
    <w:p w14:paraId="5DCA4D84" w14:textId="77777777" w:rsidR="00BA26A9" w:rsidRDefault="00BA26A9" w:rsidP="009B243F">
      <w:pPr>
        <w:spacing w:after="0" w:line="240" w:lineRule="auto"/>
      </w:pPr>
      <w:r>
        <w:continuationSeparator/>
      </w:r>
    </w:p>
  </w:footnote>
  <w:footnote w:id="1">
    <w:p w14:paraId="7388557B" w14:textId="77777777" w:rsidR="00BD4CA0" w:rsidRDefault="00BD4CA0" w:rsidP="00BD4CA0">
      <w:pPr>
        <w:pStyle w:val="FootnoteText"/>
      </w:pPr>
      <w:r>
        <w:rPr>
          <w:rStyle w:val="FootnoteReference"/>
        </w:rPr>
        <w:footnoteRef/>
      </w:r>
      <w:r>
        <w:t xml:space="preserve"> RAIS 2022 was available at the time this paper was written but due to methodological changes in the way RAIS was produced in 2022, the Brazilian Ministry of Labor does not ensure comparability with previous years (for details, see the following link: </w:t>
      </w:r>
      <w:r w:rsidRPr="00347285">
        <w:t>https://www.gov.br/trabalho-e-emprego/pt-br/assuntos/estatisticas-trabalho/rais/rais-2022/nota-tecnica-rais-2022.pdf</w:t>
      </w:r>
      <w:r>
        <w:t>). For this reason, we restricted the analysis to the most recent year immediately before 2022.</w:t>
      </w:r>
    </w:p>
  </w:footnote>
  <w:footnote w:id="2">
    <w:p w14:paraId="50443AAE" w14:textId="77777777" w:rsidR="00BD4CA0" w:rsidRDefault="00BD4CA0" w:rsidP="00BD4CA0">
      <w:pPr>
        <w:pStyle w:val="FootnoteText"/>
      </w:pPr>
      <w:r>
        <w:rPr>
          <w:rStyle w:val="FootnoteReference"/>
        </w:rPr>
        <w:footnoteRef/>
      </w:r>
      <w:r>
        <w:t xml:space="preserve"> Several steps were followed to transform the 2000 census- (i.e., CNAE Domiciliar 1.0) and the 2010 census-specific (i.e., CNAE Domiciliar 2.0) sectoral classifications into CNAE 95. These are described in the </w:t>
      </w:r>
      <w:r w:rsidRPr="00EA0C4F">
        <w:rPr>
          <w:highlight w:val="yellow"/>
        </w:rPr>
        <w:t>Appendix.</w:t>
      </w:r>
    </w:p>
  </w:footnote>
  <w:footnote w:id="3">
    <w:p w14:paraId="0D3D9E99" w14:textId="77777777" w:rsidR="00161CB6" w:rsidRDefault="00161CB6" w:rsidP="00161CB6">
      <w:pPr>
        <w:pStyle w:val="FootnoteText"/>
      </w:pPr>
      <w:r>
        <w:rPr>
          <w:rStyle w:val="FootnoteReference"/>
        </w:rPr>
        <w:footnoteRef/>
      </w:r>
      <w:r>
        <w:t xml:space="preserve"> More specifically, the formal labor market is composed of both private- and public-sector waged workers, including domestic ones, with a formal job contract and employers that contribute to social security. The informal labor market is made up of the remaining categories of workers in censuses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2B8D"/>
    <w:multiLevelType w:val="hybridMultilevel"/>
    <w:tmpl w:val="DC30A90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1D35DA"/>
    <w:multiLevelType w:val="hybridMultilevel"/>
    <w:tmpl w:val="DC30A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708B5"/>
    <w:multiLevelType w:val="hybridMultilevel"/>
    <w:tmpl w:val="3F82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B38F2"/>
    <w:multiLevelType w:val="multilevel"/>
    <w:tmpl w:val="174E5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0150953">
    <w:abstractNumId w:val="2"/>
  </w:num>
  <w:num w:numId="2" w16cid:durableId="1773863029">
    <w:abstractNumId w:val="3"/>
  </w:num>
  <w:num w:numId="3" w16cid:durableId="2042658376">
    <w:abstractNumId w:val="1"/>
  </w:num>
  <w:num w:numId="4" w16cid:durableId="19468377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tavio Canozzi Conceicao">
    <w15:presenceInfo w15:providerId="AD" w15:userId="S::ocanozzi@worldbank.org::1891baad-fe81-43d9-b657-9c15795e0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F"/>
    <w:rsid w:val="0001041A"/>
    <w:rsid w:val="00031E9A"/>
    <w:rsid w:val="000376BB"/>
    <w:rsid w:val="00037BE5"/>
    <w:rsid w:val="00040635"/>
    <w:rsid w:val="00046CE3"/>
    <w:rsid w:val="000636D7"/>
    <w:rsid w:val="00067D36"/>
    <w:rsid w:val="000930AD"/>
    <w:rsid w:val="00096312"/>
    <w:rsid w:val="000A27D8"/>
    <w:rsid w:val="000A4968"/>
    <w:rsid w:val="000A6E72"/>
    <w:rsid w:val="000D5984"/>
    <w:rsid w:val="000E5DD6"/>
    <w:rsid w:val="00104E08"/>
    <w:rsid w:val="00114245"/>
    <w:rsid w:val="00116558"/>
    <w:rsid w:val="001607DB"/>
    <w:rsid w:val="00161CB6"/>
    <w:rsid w:val="00162E62"/>
    <w:rsid w:val="00164BDB"/>
    <w:rsid w:val="00171DB0"/>
    <w:rsid w:val="001757DD"/>
    <w:rsid w:val="001766F3"/>
    <w:rsid w:val="00195D13"/>
    <w:rsid w:val="001A260C"/>
    <w:rsid w:val="001A5F22"/>
    <w:rsid w:val="001D7FB3"/>
    <w:rsid w:val="00200518"/>
    <w:rsid w:val="00217CF7"/>
    <w:rsid w:val="00220E3D"/>
    <w:rsid w:val="00234276"/>
    <w:rsid w:val="002356F6"/>
    <w:rsid w:val="00246876"/>
    <w:rsid w:val="0025709D"/>
    <w:rsid w:val="002613CB"/>
    <w:rsid w:val="00262A47"/>
    <w:rsid w:val="0026696E"/>
    <w:rsid w:val="0029213C"/>
    <w:rsid w:val="0029365B"/>
    <w:rsid w:val="002A0C3E"/>
    <w:rsid w:val="002E1E1E"/>
    <w:rsid w:val="002F6B35"/>
    <w:rsid w:val="00301068"/>
    <w:rsid w:val="00304215"/>
    <w:rsid w:val="00317698"/>
    <w:rsid w:val="003513B6"/>
    <w:rsid w:val="003517AF"/>
    <w:rsid w:val="003553F5"/>
    <w:rsid w:val="0037400C"/>
    <w:rsid w:val="00381C4D"/>
    <w:rsid w:val="00382713"/>
    <w:rsid w:val="003B1046"/>
    <w:rsid w:val="003C6B9F"/>
    <w:rsid w:val="003D70D0"/>
    <w:rsid w:val="003E7B9B"/>
    <w:rsid w:val="003F4218"/>
    <w:rsid w:val="00427B4D"/>
    <w:rsid w:val="004329FC"/>
    <w:rsid w:val="004435D1"/>
    <w:rsid w:val="00470BE4"/>
    <w:rsid w:val="00483890"/>
    <w:rsid w:val="004855C6"/>
    <w:rsid w:val="0048653F"/>
    <w:rsid w:val="004B5877"/>
    <w:rsid w:val="004C3ABD"/>
    <w:rsid w:val="004C6EE3"/>
    <w:rsid w:val="004C7986"/>
    <w:rsid w:val="004D05B5"/>
    <w:rsid w:val="00506F96"/>
    <w:rsid w:val="00530B7D"/>
    <w:rsid w:val="00555A04"/>
    <w:rsid w:val="005713ED"/>
    <w:rsid w:val="005878A7"/>
    <w:rsid w:val="005A1117"/>
    <w:rsid w:val="005A215F"/>
    <w:rsid w:val="005B59F2"/>
    <w:rsid w:val="005D4A9D"/>
    <w:rsid w:val="005F2EE5"/>
    <w:rsid w:val="00607022"/>
    <w:rsid w:val="0062124A"/>
    <w:rsid w:val="0062452F"/>
    <w:rsid w:val="00624539"/>
    <w:rsid w:val="0063790A"/>
    <w:rsid w:val="00653191"/>
    <w:rsid w:val="00663AB7"/>
    <w:rsid w:val="006651FE"/>
    <w:rsid w:val="0067004E"/>
    <w:rsid w:val="006A5ED4"/>
    <w:rsid w:val="006B00A3"/>
    <w:rsid w:val="006B3D55"/>
    <w:rsid w:val="006C787B"/>
    <w:rsid w:val="006D1E08"/>
    <w:rsid w:val="006D7BCC"/>
    <w:rsid w:val="006F4A89"/>
    <w:rsid w:val="00701AFC"/>
    <w:rsid w:val="00704AA0"/>
    <w:rsid w:val="00706CB8"/>
    <w:rsid w:val="007264AB"/>
    <w:rsid w:val="0073010C"/>
    <w:rsid w:val="007613D9"/>
    <w:rsid w:val="007634DD"/>
    <w:rsid w:val="007B475F"/>
    <w:rsid w:val="007B6F20"/>
    <w:rsid w:val="007C6A5B"/>
    <w:rsid w:val="007D6586"/>
    <w:rsid w:val="007E0413"/>
    <w:rsid w:val="007F70B2"/>
    <w:rsid w:val="0080306D"/>
    <w:rsid w:val="008061D6"/>
    <w:rsid w:val="008148B6"/>
    <w:rsid w:val="0086599E"/>
    <w:rsid w:val="008732EC"/>
    <w:rsid w:val="008848D0"/>
    <w:rsid w:val="00890015"/>
    <w:rsid w:val="008A4919"/>
    <w:rsid w:val="008B09F5"/>
    <w:rsid w:val="008E1975"/>
    <w:rsid w:val="008F2497"/>
    <w:rsid w:val="0090134D"/>
    <w:rsid w:val="00910922"/>
    <w:rsid w:val="00916BC4"/>
    <w:rsid w:val="00931A70"/>
    <w:rsid w:val="00935A1C"/>
    <w:rsid w:val="00936BE8"/>
    <w:rsid w:val="0095348E"/>
    <w:rsid w:val="009574E5"/>
    <w:rsid w:val="00981AC6"/>
    <w:rsid w:val="00995D91"/>
    <w:rsid w:val="009A6A9E"/>
    <w:rsid w:val="009B243F"/>
    <w:rsid w:val="009B5088"/>
    <w:rsid w:val="009C1629"/>
    <w:rsid w:val="009D3B28"/>
    <w:rsid w:val="009E6815"/>
    <w:rsid w:val="009E71A8"/>
    <w:rsid w:val="00A010EC"/>
    <w:rsid w:val="00A150AF"/>
    <w:rsid w:val="00A32BC0"/>
    <w:rsid w:val="00A478B3"/>
    <w:rsid w:val="00A84EB8"/>
    <w:rsid w:val="00AB3498"/>
    <w:rsid w:val="00AB3C15"/>
    <w:rsid w:val="00AC45E3"/>
    <w:rsid w:val="00B02596"/>
    <w:rsid w:val="00B459BF"/>
    <w:rsid w:val="00B47B57"/>
    <w:rsid w:val="00B77BCE"/>
    <w:rsid w:val="00B86051"/>
    <w:rsid w:val="00BA26A9"/>
    <w:rsid w:val="00BA5D6A"/>
    <w:rsid w:val="00BB0715"/>
    <w:rsid w:val="00BD1C51"/>
    <w:rsid w:val="00BD4CA0"/>
    <w:rsid w:val="00C06381"/>
    <w:rsid w:val="00C068E9"/>
    <w:rsid w:val="00C11E84"/>
    <w:rsid w:val="00C132D7"/>
    <w:rsid w:val="00C22C15"/>
    <w:rsid w:val="00C3515F"/>
    <w:rsid w:val="00CA5D83"/>
    <w:rsid w:val="00CA6496"/>
    <w:rsid w:val="00CB0623"/>
    <w:rsid w:val="00CB21D1"/>
    <w:rsid w:val="00CB390A"/>
    <w:rsid w:val="00CC2FC7"/>
    <w:rsid w:val="00CC345A"/>
    <w:rsid w:val="00CF5FAD"/>
    <w:rsid w:val="00D0391D"/>
    <w:rsid w:val="00D15C78"/>
    <w:rsid w:val="00D1631C"/>
    <w:rsid w:val="00D31555"/>
    <w:rsid w:val="00D336C8"/>
    <w:rsid w:val="00D47D83"/>
    <w:rsid w:val="00D513BE"/>
    <w:rsid w:val="00D651E4"/>
    <w:rsid w:val="00D83446"/>
    <w:rsid w:val="00D934F8"/>
    <w:rsid w:val="00DA12E2"/>
    <w:rsid w:val="00DB67B5"/>
    <w:rsid w:val="00DE66FB"/>
    <w:rsid w:val="00E158AC"/>
    <w:rsid w:val="00E65531"/>
    <w:rsid w:val="00E76B4A"/>
    <w:rsid w:val="00E833D0"/>
    <w:rsid w:val="00E83BD9"/>
    <w:rsid w:val="00ED3FF9"/>
    <w:rsid w:val="00F12F07"/>
    <w:rsid w:val="00F13067"/>
    <w:rsid w:val="00F23973"/>
    <w:rsid w:val="00F73E82"/>
    <w:rsid w:val="00F75138"/>
    <w:rsid w:val="00F8106A"/>
    <w:rsid w:val="00F90EBC"/>
    <w:rsid w:val="00FD721F"/>
    <w:rsid w:val="00FF4B28"/>
    <w:rsid w:val="00FF5624"/>
    <w:rsid w:val="04EBFAF2"/>
    <w:rsid w:val="078E837F"/>
    <w:rsid w:val="1D30E994"/>
    <w:rsid w:val="35319313"/>
    <w:rsid w:val="5517BB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CB8"/>
  <w15:chartTrackingRefBased/>
  <w15:docId w15:val="{DB2D1C1E-52FC-415C-A9D8-7FC63F01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243F"/>
    <w:pPr>
      <w:ind w:left="720"/>
      <w:contextualSpacing/>
    </w:pPr>
  </w:style>
  <w:style w:type="character" w:customStyle="1" w:styleId="Heading2Char">
    <w:name w:val="Heading 2 Char"/>
    <w:basedOn w:val="DefaultParagraphFont"/>
    <w:link w:val="Heading2"/>
    <w:uiPriority w:val="9"/>
    <w:rsid w:val="009B243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3F"/>
  </w:style>
  <w:style w:type="paragraph" w:styleId="Footer">
    <w:name w:val="footer"/>
    <w:basedOn w:val="Normal"/>
    <w:link w:val="FooterChar"/>
    <w:uiPriority w:val="99"/>
    <w:unhideWhenUsed/>
    <w:rsid w:val="009B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3F"/>
  </w:style>
  <w:style w:type="paragraph" w:styleId="FootnoteText">
    <w:name w:val="footnote text"/>
    <w:basedOn w:val="Normal"/>
    <w:link w:val="FootnoteTextChar"/>
    <w:uiPriority w:val="99"/>
    <w:semiHidden/>
    <w:unhideWhenUsed/>
    <w:rsid w:val="00161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CB6"/>
    <w:rPr>
      <w:sz w:val="20"/>
      <w:szCs w:val="20"/>
    </w:rPr>
  </w:style>
  <w:style w:type="character" w:styleId="FootnoteReference">
    <w:name w:val="footnote reference"/>
    <w:basedOn w:val="DefaultParagraphFont"/>
    <w:uiPriority w:val="99"/>
    <w:semiHidden/>
    <w:unhideWhenUsed/>
    <w:rsid w:val="00161CB6"/>
    <w:rPr>
      <w:vertAlign w:val="superscript"/>
    </w:rPr>
  </w:style>
  <w:style w:type="paragraph" w:customStyle="1" w:styleId="Pa21">
    <w:name w:val="Pa21"/>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customStyle="1" w:styleId="Pa20">
    <w:name w:val="Pa20"/>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styleId="BodyText">
    <w:name w:val="Body Text"/>
    <w:basedOn w:val="Normal"/>
    <w:link w:val="BodyTextChar"/>
    <w:rsid w:val="00555A04"/>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555A04"/>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B86051"/>
    <w:rPr>
      <w:sz w:val="16"/>
      <w:szCs w:val="16"/>
    </w:rPr>
  </w:style>
  <w:style w:type="paragraph" w:styleId="CommentText">
    <w:name w:val="annotation text"/>
    <w:basedOn w:val="Normal"/>
    <w:link w:val="CommentTextChar"/>
    <w:uiPriority w:val="99"/>
    <w:unhideWhenUsed/>
    <w:rsid w:val="00B86051"/>
    <w:pPr>
      <w:spacing w:line="240" w:lineRule="auto"/>
    </w:pPr>
    <w:rPr>
      <w:sz w:val="20"/>
      <w:szCs w:val="20"/>
    </w:rPr>
  </w:style>
  <w:style w:type="character" w:customStyle="1" w:styleId="CommentTextChar">
    <w:name w:val="Comment Text Char"/>
    <w:basedOn w:val="DefaultParagraphFont"/>
    <w:link w:val="CommentText"/>
    <w:uiPriority w:val="99"/>
    <w:rsid w:val="00B86051"/>
    <w:rPr>
      <w:sz w:val="20"/>
      <w:szCs w:val="20"/>
    </w:rPr>
  </w:style>
  <w:style w:type="paragraph" w:styleId="CommentSubject">
    <w:name w:val="annotation subject"/>
    <w:basedOn w:val="CommentText"/>
    <w:next w:val="CommentText"/>
    <w:link w:val="CommentSubjectChar"/>
    <w:uiPriority w:val="99"/>
    <w:semiHidden/>
    <w:unhideWhenUsed/>
    <w:rsid w:val="00B86051"/>
    <w:rPr>
      <w:b/>
      <w:bCs/>
    </w:rPr>
  </w:style>
  <w:style w:type="character" w:customStyle="1" w:styleId="CommentSubjectChar">
    <w:name w:val="Comment Subject Char"/>
    <w:basedOn w:val="CommentTextChar"/>
    <w:link w:val="CommentSubject"/>
    <w:uiPriority w:val="99"/>
    <w:semiHidden/>
    <w:rsid w:val="00B86051"/>
    <w:rPr>
      <w:b/>
      <w:bCs/>
      <w:sz w:val="20"/>
      <w:szCs w:val="20"/>
    </w:rPr>
  </w:style>
  <w:style w:type="character" w:styleId="Hyperlink">
    <w:name w:val="Hyperlink"/>
    <w:basedOn w:val="DefaultParagraphFont"/>
    <w:uiPriority w:val="99"/>
    <w:unhideWhenUsed/>
    <w:rsid w:val="00104E08"/>
    <w:rPr>
      <w:color w:val="0563C1" w:themeColor="hyperlink"/>
      <w:u w:val="single"/>
    </w:rPr>
  </w:style>
  <w:style w:type="character" w:styleId="UnresolvedMention">
    <w:name w:val="Unresolved Mention"/>
    <w:basedOn w:val="DefaultParagraphFont"/>
    <w:uiPriority w:val="99"/>
    <w:semiHidden/>
    <w:unhideWhenUsed/>
    <w:rsid w:val="00104E08"/>
    <w:rPr>
      <w:color w:val="605E5C"/>
      <w:shd w:val="clear" w:color="auto" w:fill="E1DFDD"/>
    </w:rPr>
  </w:style>
  <w:style w:type="table" w:styleId="TableGrid">
    <w:name w:val="Table Grid"/>
    <w:basedOn w:val="TableNormal"/>
    <w:uiPriority w:val="39"/>
    <w:rsid w:val="006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worldbank.org/indicator/NE.EXP.GNFS.KD?end=2023&amp;start=1960&amp;type=shaded&amp;view=cha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314F-6FCE-4FC3-A545-72A238A3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11</Pages>
  <Words>2816</Words>
  <Characters>16056</Characters>
  <Application>Microsoft Office Word</Application>
  <DocSecurity>0</DocSecurity>
  <Lines>133</Lines>
  <Paragraphs>37</Paragraphs>
  <ScaleCrop>false</ScaleCrop>
  <Company>WBG</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Lara Ibarra</dc:creator>
  <cp:keywords/>
  <dc:description/>
  <cp:lastModifiedBy>Otavio Canozzi Conceicao</cp:lastModifiedBy>
  <cp:revision>190</cp:revision>
  <dcterms:created xsi:type="dcterms:W3CDTF">2024-07-24T13:03:00Z</dcterms:created>
  <dcterms:modified xsi:type="dcterms:W3CDTF">2024-08-02T18:33:00Z</dcterms:modified>
</cp:coreProperties>
</file>