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sz w:val="40"/>
          <w:szCs w:val="40"/>
        </w:rPr>
        <w:t xml:space="preserve">Pipeline Audit and Revision of Results</w:t>
      </w:r>
    </w:p>
    <w:p>
      <w:pPr>
        <w:spacing w:after="120"/>
        <w:jc w:val="center"/>
      </w:pPr>
      <w:r>
        <w:rPr>
          <w:rFonts w:ascii="Calibri" w:cs="Calibri" w:eastAsia="Calibri" w:hAnsi="Calibri"/>
          <w:i/>
          <w:iCs/>
          <w:sz w:val="24"/>
          <w:szCs w:val="24"/>
        </w:rPr>
        <w:t xml:space="preserve">Why the data pipeline was changed, what was done, and what changed in the results and in the dissertation</w:t>
      </w:r>
    </w:p>
    <w:p>
      <w:pPr>
        <w:spacing w:after="120"/>
        <w:jc w:val="center"/>
      </w:pPr>
      <w:r>
        <w:rPr>
          <w:rFonts w:ascii="Calibri" w:cs="Calibri" w:eastAsia="Calibri" w:hAnsi="Calibri"/>
          <w:sz w:val="22"/>
          <w:szCs w:val="22"/>
        </w:rPr>
        <w:t xml:space="preserve">PhD dissertation: The Active Management Puzzle — Ömer Eren, Boğaziçi University</w:t>
      </w:r>
    </w:p>
    <w:p>
      <w:pPr>
        <w:spacing w:after="600"/>
        <w:jc w:val="center"/>
      </w:pPr>
      <w:r>
        <w:rPr>
          <w:rFonts w:ascii="Calibri" w:cs="Calibri" w:eastAsia="Calibri" w:hAnsi="Calibri"/>
          <w:sz w:val="22"/>
          <w:szCs w:val="22"/>
        </w:rPr>
        <w:t xml:space="preserve">Prepared 7 October 2026</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360"/>
      </w:pPr>
      <w:r>
        <w:rPr>
          <w:rFonts w:ascii="Calibri" w:cs="Calibri" w:eastAsia="Calibri" w:hAnsi="Calibri"/>
        </w:rPr>
        <w:t xml:space="preserve">1. Summary</w:t>
      </w:r>
    </w:p>
    <w:p>
      <w:pPr>
        <w:spacing w:after="120" w:line="276"/>
      </w:pPr>
      <w:r>
        <w:rPr>
          <w:rFonts w:ascii="Calibri" w:cs="Calibri" w:eastAsia="Calibri" w:hAnsi="Calibri"/>
          <w:sz w:val="22"/>
          <w:szCs w:val="22"/>
        </w:rPr>
        <w:t xml:space="preserve">A line-by-line audit of the R pipeline in October 2026 found two data-construction errors that changed the headline results materially, plus a set of smaller problems in the bootstrap, break-test, persistence, activeness and panel-regression code. All were fixed in three batches, the complete pipeline was re-run with B = 10,000 bootstrap iterations, every table and figure was regenerated, and dissertation_main.tex was rewritten to match.</w:t>
      </w:r>
    </w:p>
    <w:p>
      <w:pPr>
        <w:spacing w:after="120" w:line="276"/>
      </w:pPr>
      <w:r>
        <w:rPr>
          <w:rFonts w:ascii="Calibri" w:cs="Calibri" w:eastAsia="Calibri" w:hAnsi="Calibri"/>
          <w:sz w:val="22"/>
          <w:szCs w:val="22"/>
        </w:rPr>
        <w:t xml:space="preserve">The two material errors were:</w:t>
      </w:r>
    </w:p>
    <w:p>
      <w:pPr>
        <w:pStyle w:val="ListParagraph"/>
        <w:numPr>
          <w:ilvl w:val="0"/>
          <w:numId w:val="2"/>
        </w:numPr>
        <w:spacing w:after="80" w:line="264"/>
      </w:pPr>
      <w:r>
        <w:rPr>
          <w:rFonts w:ascii="Calibri" w:cs="Calibri" w:eastAsia="Calibri" w:hAnsi="Calibri"/>
          <w:b/>
          <w:bCs/>
          <w:sz w:val="22"/>
          <w:szCs w:val="22"/>
        </w:rPr>
        <w:t xml:space="preserve">Fees were deducted twice.</w:t>
      </w:r>
      <w:r>
        <w:rPr>
          <w:rFonts w:ascii="Calibri" w:cs="Calibri" w:eastAsia="Calibri" w:hAnsi="Calibri"/>
          <w:sz w:val="22"/>
          <w:szCs w:val="22"/>
        </w:rPr>
        <w:t xml:space="preserve"> The fund return index in the data extract is labelled "gross_return" but is computed from net asset values, so it is already net of fees. The old pipeline treated it as gross and subtracted another one-twelfth of the expense ratio each month to get "net" returns. Net alphas were understated by about 1 percentage point per year.</w:t>
      </w:r>
    </w:p>
    <w:p>
      <w:pPr>
        <w:pStyle w:val="ListParagraph"/>
        <w:numPr>
          <w:ilvl w:val="0"/>
          <w:numId w:val="2"/>
        </w:numPr>
        <w:spacing w:after="80" w:line="264"/>
      </w:pPr>
      <w:r>
        <w:rPr>
          <w:rFonts w:ascii="Calibri" w:cs="Calibri" w:eastAsia="Calibri" w:hAnsi="Calibri"/>
          <w:b/>
          <w:bCs/>
          <w:sz w:val="22"/>
          <w:szCs w:val="22"/>
        </w:rPr>
        <w:t xml:space="preserve">Pooled winsorisation clipped whole market months.</w:t>
      </w:r>
      <w:r>
        <w:rPr>
          <w:rFonts w:ascii="Calibri" w:cs="Calibri" w:eastAsia="Calibri" w:hAnsi="Calibri"/>
          <w:sz w:val="22"/>
          <w:szCs w:val="22"/>
        </w:rPr>
        <w:t xml:space="preserve"> Monthly returns were winsorised at the 1st/99th percentiles of all fund-months pooled together. In October 2008 this clipped 94% of active fund returns, in August 1998 74%, in March 2020 65%. The clipped returns no longer move with the market in exactly those months, and the factor model books part of the clipped loss as alpha (+0.6 pp per year).</w:t>
      </w:r>
    </w:p>
    <w:p>
      <w:pPr>
        <w:spacing w:after="120" w:line="276"/>
      </w:pPr>
      <w:r>
        <w:rPr>
          <w:rFonts w:ascii="Calibri" w:cs="Calibri" w:eastAsia="Calibri" w:hAnsi="Calibri"/>
          <w:sz w:val="22"/>
          <w:szCs w:val="22"/>
        </w:rPr>
        <w:t xml:space="preserve">The two errors pulled in opposite directions but did not cancel; the double fee deduction was larger. A third error — the order in which the bootstrap rebuilt resampled months — made "worse than luck" findings appear far too easily.</w:t>
      </w:r>
    </w:p>
    <w:p>
      <w:pPr>
        <w:spacing w:after="120" w:line="276"/>
      </w:pPr>
      <w:r>
        <w:rPr>
          <w:rFonts w:ascii="Calibri" w:cs="Calibri" w:eastAsia="Calibri" w:hAnsi="Calibri"/>
          <w:b/>
          <w:bCs/>
          <w:sz w:val="22"/>
          <w:szCs w:val="22"/>
        </w:rPr>
        <w:t xml:space="preserve">The story changes in emphasis, not in kind.</w:t>
      </w:r>
      <w:r>
        <w:rPr>
          <w:rFonts w:ascii="Calibri" w:cs="Calibri" w:eastAsia="Calibri" w:hAnsi="Calibri"/>
          <w:sz w:val="22"/>
          <w:szCs w:val="22"/>
        </w:rPr>
        <w:t xml:space="preserve"> The old draft said active funds underperform heavily, the left tail is worse than luck, about a fifth of funds are unskilled and the puzzle "lives in the cross-section" (EW much worse than VW). The corrected evidence says:</w:t>
      </w:r>
    </w:p>
    <w:p>
      <w:pPr>
        <w:pStyle w:val="ListParagraph"/>
        <w:numPr>
          <w:ilvl w:val="0"/>
          <w:numId w:val="2"/>
        </w:numPr>
        <w:spacing w:after="80" w:line="264"/>
      </w:pPr>
      <w:r>
        <w:rPr>
          <w:rFonts w:ascii="Calibri" w:cs="Calibri" w:eastAsia="Calibri" w:hAnsi="Calibri"/>
          <w:sz w:val="22"/>
          <w:szCs w:val="22"/>
        </w:rPr>
        <w:t xml:space="preserve">In aggregate, active funds earn a gross alpha close to zero and a net alpha roughly equal to minus their fees (EW −0.82%, VW −0.66%), almost exactly the Fama–French (2010) result. The EW–VW gap is only 17 bp.</w:t>
      </w:r>
    </w:p>
    <w:p>
      <w:pPr>
        <w:pStyle w:val="ListParagraph"/>
        <w:numPr>
          <w:ilvl w:val="0"/>
          <w:numId w:val="2"/>
        </w:numPr>
        <w:spacing w:after="80" w:line="264"/>
      </w:pPr>
      <w:r>
        <w:rPr>
          <w:rFonts w:ascii="Calibri" w:cs="Calibri" w:eastAsia="Calibri" w:hAnsi="Calibri"/>
          <w:sz w:val="22"/>
          <w:szCs w:val="22"/>
        </w:rPr>
        <w:t xml:space="preserve">Over the full sample the cross-section is consistent with luck under Carhart; BSW finds 87% zero-alpha, 11% unskilled, 1.5% skilled.</w:t>
      </w:r>
    </w:p>
    <w:p>
      <w:pPr>
        <w:pStyle w:val="ListParagraph"/>
        <w:numPr>
          <w:ilvl w:val="0"/>
          <w:numId w:val="2"/>
        </w:numPr>
        <w:spacing w:after="80" w:line="264"/>
      </w:pPr>
      <w:r>
        <w:rPr>
          <w:rFonts w:ascii="Calibri" w:cs="Calibri" w:eastAsia="Calibri" w:hAnsi="Calibri"/>
          <w:sz w:val="22"/>
          <w:szCs w:val="22"/>
        </w:rPr>
        <w:t xml:space="preserve">The evidence is regime-dependent: a skilled minority (12–19%) exists before 2010 and disappears after; after 2010 net alpha is −1.75% (EW) and −1.00% (VW), both significant at 1%, the left tail is worse than luck, and 23.6% of funds are unskilled before fees.</w:t>
      </w:r>
    </w:p>
    <w:p>
      <w:pPr>
        <w:pStyle w:val="ListParagraph"/>
        <w:numPr>
          <w:ilvl w:val="0"/>
          <w:numId w:val="2"/>
        </w:numPr>
        <w:spacing w:after="80" w:line="264"/>
      </w:pPr>
      <w:r>
        <w:rPr>
          <w:rFonts w:ascii="Calibri" w:cs="Calibri" w:eastAsia="Calibri" w:hAnsi="Calibri"/>
          <w:sz w:val="22"/>
          <w:szCs w:val="22"/>
        </w:rPr>
        <w:t xml:space="preserve">The underperformance concentrates in closet indexers (net alpha about −1.5% per year, significant at 1%) and past losers; the alpha–activeness gradient is monotone and survives fees.</w:t>
      </w:r>
    </w:p>
    <w:p>
      <w:pPr>
        <w:pStyle w:val="ListParagraph"/>
        <w:numPr>
          <w:ilvl w:val="0"/>
          <w:numId w:val="2"/>
        </w:numPr>
        <w:spacing w:after="80" w:line="264"/>
      </w:pPr>
      <w:r>
        <w:rPr>
          <w:rFonts w:ascii="Calibri" w:cs="Calibri" w:eastAsia="Calibri" w:hAnsi="Calibri"/>
          <w:sz w:val="22"/>
          <w:szCs w:val="22"/>
        </w:rPr>
        <w:t xml:space="preserve">The behavioral results keep the same pattern of rejections (H1, H2, H3 reject; H4 does not), with stronger margin-debt and Baker–Wurgler evidence; the psychological premium is smaller (2 bp / 35 bp instead of 7 bp / 52 bp).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726"/>
      </w:tblGrid>
      <w:tr>
        <w:trPr>
          <w:tblHeader/>
        </w:trPr>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Result</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Defense draft</w:t>
            </w:r>
          </w:p>
        </w:tc>
        <w:tc>
          <w:tcPr>
            <w:tcW w:type="dxa" w:w="2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Corrected</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Active EW / VW gross alpha (% p.a.)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−0.29 / −0.19</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+0.22 / +0.03</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Active EW / VW net alpha (% p.a.)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−1.36*** / −0.90**</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−0.82* / −0.66</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Bootstrap, left tail (1st pct. Prob. Luck)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Worse than luck (0.0%)</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Consistent with luck (7.2%)</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π0 (zero-alpha share)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77.8%</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87.1%</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Unskilled / skilled at γ = 0.20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21.1% / −2.0%</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7.4% / 2.7%</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Unskilled / skilled at γ* = 0.45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11.0% / 1.5%</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Breaks (BIC) / principal break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5 (capped) / Sep 2011</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7 (search to 8) / Aug 2010</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Post-break EW / VW net alpha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−1.75*** / −1.00***</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Post-break unskilled share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35.4% (γ = 0.20)</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16.9% (γ = 0.20); 23.6% (γ* = 0.45)</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Persistence: D10 alpha (% per month)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−0.189 (t −3.49)</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−0.122 (t −1.83; boot p 0.054)</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Closet indexers (Q1 1−R²), EW net alpha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−1.52***</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Activeness EW net Q5−Q1 / MR test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+0.14, no gradient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+1.41, monotone (p 0.033)</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H1 joint test SENT⊥ (p)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0.028</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0.008</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H2 margin debt joint (p); loser z</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0.005; 1.53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&lt;0.001; 2.14</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H3 MAX12 amplification z (p)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2.02 (0.022)</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1.98 (0.024)</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H4 joint D_SENT (p)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0.266</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0.474</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PPF MAX12 middle segment, low/high (bp)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7 / 52</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2 / 35</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Regression sample (fund-months)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259,113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303,471</w:t>
            </w:r>
          </w:p>
        </w:tc>
      </w:tr>
    </w:tbl>
    <w:p>
      <w:pPr>
        <w:pStyle w:val="Heading1"/>
        <w:spacing w:after="160" w:before="360"/>
      </w:pPr>
      <w:r>
        <w:rPr>
          <w:rFonts w:ascii="Calibri" w:cs="Calibri" w:eastAsia="Calibri" w:hAnsi="Calibri"/>
        </w:rPr>
        <w:t xml:space="preserve">2. Why the changes were needed</w:t>
      </w:r>
    </w:p>
    <w:p>
      <w:pPr>
        <w:pStyle w:val="Heading2"/>
        <w:spacing w:after="120" w:before="240"/>
      </w:pPr>
      <w:r>
        <w:rPr>
          <w:rFonts w:ascii="Calibri" w:cs="Calibri" w:eastAsia="Calibri" w:hAnsi="Calibri"/>
        </w:rPr>
        <w:t xml:space="preserve">2.1 The return index is net of fees (decision D1)</w:t>
      </w:r>
    </w:p>
    <w:p>
      <w:pPr>
        <w:spacing w:after="120" w:line="276"/>
      </w:pPr>
      <w:r>
        <w:rPr>
          <w:rFonts w:ascii="Calibri" w:cs="Calibri" w:eastAsia="Calibri" w:hAnsi="Calibri"/>
          <w:b/>
          <w:bCs/>
          <w:sz w:val="22"/>
          <w:szCs w:val="22"/>
        </w:rPr>
        <w:t xml:space="preserve">Problem.</w:t>
      </w:r>
      <w:r>
        <w:rPr>
          <w:rFonts w:ascii="Calibri" w:cs="Calibri" w:eastAsia="Calibri" w:hAnsi="Calibri"/>
          <w:sz w:val="22"/>
          <w:szCs w:val="22"/>
        </w:rPr>
        <w:t xml:space="preserve"> data_import_and_cleaning.R v1.3 read the index (sheet "gross_return") as a gross return and built net returns as gross − ER/12. A NAV-based total-return index is already net of the fund's operating expenses, so fees were deducted twice. The same series fed the Sirri–Tufano flow identity, so flows were overstated by one month's expense accrual on lagged assets.</w:t>
      </w:r>
    </w:p>
    <w:p>
      <w:pPr>
        <w:spacing w:after="120" w:line="276"/>
      </w:pPr>
      <w:r>
        <w:rPr>
          <w:rFonts w:ascii="Calibri" w:cs="Calibri" w:eastAsia="Calibri" w:hAnsi="Calibri"/>
          <w:b/>
          <w:bCs/>
          <w:sz w:val="22"/>
          <w:szCs w:val="22"/>
        </w:rPr>
        <w:t xml:space="preserve">Evidence.</w:t>
      </w:r>
      <w:r>
        <w:rPr>
          <w:rFonts w:ascii="Calibri" w:cs="Calibri" w:eastAsia="Calibri" w:hAnsi="Calibri"/>
          <w:sz w:val="22"/>
          <w:szCs w:val="22"/>
        </w:rPr>
        <w:t xml:space="preserve"> (a) Calendar-year index returns of MTCBX, TEMTX and HSLAX for 2021–2025 match their published NAV-based annual returns in 15 of 15 fund-years. (b) For 229 passive funds, the tracking difference of the index return against the benchmark falls one-for-one with the expense ratio (median-regression slope −0.998, s.e. 0.166), while the tracking difference of index + ER/12 has slope 0.002. If the index were gross, the pattern would be reversed. This test is now reported in Appendix K (Table K.1).</w:t>
      </w:r>
    </w:p>
    <w:p>
      <w:pPr>
        <w:spacing w:after="120" w:line="276"/>
      </w:pPr>
      <w:r>
        <w:rPr>
          <w:rFonts w:ascii="Calibri" w:cs="Calibri" w:eastAsia="Calibri" w:hAnsi="Calibri"/>
          <w:b/>
          <w:bCs/>
          <w:sz w:val="22"/>
          <w:szCs w:val="22"/>
        </w:rPr>
        <w:t xml:space="preserve">Effect.</w:t>
      </w:r>
      <w:r>
        <w:rPr>
          <w:rFonts w:ascii="Calibri" w:cs="Calibri" w:eastAsia="Calibri" w:hAnsi="Calibri"/>
          <w:sz w:val="22"/>
          <w:szCs w:val="22"/>
        </w:rPr>
        <w:t xml:space="preserve"> On the corrected returns, net alphas are about 1 pp higher and gross alphas about 1 pp lower than in the draft (Appendix K, Table K.2, row "fees deducted twice": EW net −1.87 vs −0.82).</w:t>
      </w:r>
    </w:p>
    <w:p>
      <w:pPr>
        <w:pStyle w:val="Heading2"/>
        <w:spacing w:after="120" w:before="240"/>
      </w:pPr>
      <w:r>
        <w:rPr>
          <w:rFonts w:ascii="Calibri" w:cs="Calibri" w:eastAsia="Calibri" w:hAnsi="Calibri"/>
        </w:rPr>
        <w:t xml:space="preserve">2.2 Pooled winsorisation of returns (decision D2)</w:t>
      </w:r>
    </w:p>
    <w:p>
      <w:pPr>
        <w:spacing w:after="120" w:line="276"/>
      </w:pPr>
      <w:r>
        <w:rPr>
          <w:rFonts w:ascii="Calibri" w:cs="Calibri" w:eastAsia="Calibri" w:hAnsi="Calibri"/>
          <w:b/>
          <w:bCs/>
          <w:sz w:val="22"/>
          <w:szCs w:val="22"/>
        </w:rPr>
        <w:t xml:space="preserve">Problem.</w:t>
      </w:r>
      <w:r>
        <w:rPr>
          <w:rFonts w:ascii="Calibri" w:cs="Calibri" w:eastAsia="Calibri" w:hAnsi="Calibri"/>
          <w:sz w:val="22"/>
          <w:szCs w:val="22"/>
        </w:rPr>
        <w:t xml:space="preserve"> Returns were winsorised at the 1st/99th percentiles of all fund-months together. The cut-offs are set by crash and rebound months, so whole months were clipped (Oct 2008: 94% of active funds; Aug 1998: 74%; Mar 2020: 65%; median month: 0.07%). This truncates systematic, not idiosyncratic, variation. None of the canonical studies (Carhart 1997, KTWW 2006, Fama–French 2010, BSW 2010) winsorise fund returns.</w:t>
      </w:r>
    </w:p>
    <w:p>
      <w:pPr>
        <w:spacing w:after="120" w:line="276"/>
      </w:pPr>
      <w:r>
        <w:rPr>
          <w:rFonts w:ascii="Calibri" w:cs="Calibri" w:eastAsia="Calibri" w:hAnsi="Calibri"/>
          <w:b/>
          <w:bCs/>
          <w:sz w:val="22"/>
          <w:szCs w:val="22"/>
        </w:rPr>
        <w:t xml:space="preserve">Fix.</w:t>
      </w:r>
      <w:r>
        <w:rPr>
          <w:rFonts w:ascii="Calibri" w:cs="Calibri" w:eastAsia="Calibri" w:hAnsi="Calibri"/>
          <w:sz w:val="22"/>
          <w:szCs w:val="22"/>
        </w:rPr>
        <w:t xml:space="preserve"> Raw returns with a documented data-error screen: Rule A sets a return to missing if (1+r)/(1+monthly median) is outside [1/2, 2]; Rule B does the same for the final print of a fund that dies before the data end if |log ratio| &gt; 0.30. 37 fund-months are removed (15 active, 1 passive, 21 unknown), listed in return_screen.xlsx and Appendix K Table K.3. A per-month cross-sectionally winsorised series (ret_*_cs) is kept for robustness; it changes alphas by less than 1 bp.</w:t>
      </w:r>
    </w:p>
    <w:p>
      <w:pPr>
        <w:spacing w:after="120" w:line="276"/>
      </w:pPr>
      <w:r>
        <w:rPr>
          <w:rFonts w:ascii="Calibri" w:cs="Calibri" w:eastAsia="Calibri" w:hAnsi="Calibri"/>
          <w:b/>
          <w:bCs/>
          <w:sz w:val="22"/>
          <w:szCs w:val="22"/>
        </w:rPr>
        <w:t xml:space="preserve">Effect.</w:t>
      </w:r>
      <w:r>
        <w:rPr>
          <w:rFonts w:ascii="Calibri" w:cs="Calibri" w:eastAsia="Calibri" w:hAnsi="Calibri"/>
          <w:sz w:val="22"/>
          <w:szCs w:val="22"/>
        </w:rPr>
        <w:t xml:space="preserve"> Pooled winsorisation raised aggregate alphas by about 0.5–0.6 pp per year (Table K.2).</w:t>
      </w:r>
    </w:p>
    <w:p>
      <w:pPr>
        <w:pStyle w:val="Heading2"/>
        <w:spacing w:after="120" w:before="240"/>
      </w:pPr>
      <w:r>
        <w:rPr>
          <w:rFonts w:ascii="Calibri" w:cs="Calibri" w:eastAsia="Calibri" w:hAnsi="Calibri"/>
        </w:rPr>
        <w:t xml:space="preserve">2.3 Bootstrap resampling order</w:t>
      </w:r>
    </w:p>
    <w:p>
      <w:pPr>
        <w:spacing w:after="120" w:line="276"/>
      </w:pPr>
      <w:r>
        <w:rPr>
          <w:rFonts w:ascii="Calibri" w:cs="Calibri" w:eastAsia="Calibri" w:hAnsi="Calibri"/>
          <w:b/>
          <w:bCs/>
          <w:sz w:val="22"/>
          <w:szCs w:val="22"/>
        </w:rPr>
        <w:t xml:space="preserve">Problem.</w:t>
      </w:r>
      <w:r>
        <w:rPr>
          <w:rFonts w:ascii="Calibri" w:cs="Calibri" w:eastAsia="Calibri" w:hAnsi="Calibri"/>
          <w:sz w:val="22"/>
          <w:szCs w:val="22"/>
        </w:rPr>
        <w:t xml:space="preserve"> In the Fama–French bootstrap (alpha_estimation.R and the robust/FF/sub-period variants) each fund's resampled months were rebuilt in calendar order with repeated draws next to each other. Newey–West reads adjacent duplicates as autocorrelation, so simulated standard errors were too large and simulated t-statistics too small (cross-sectional SD about 0.8 instead of 1). Actual tails were therefore found "worse than luck" too easily.</w:t>
      </w:r>
    </w:p>
    <w:p>
      <w:pPr>
        <w:spacing w:after="120" w:line="276"/>
      </w:pPr>
      <w:r>
        <w:rPr>
          <w:rFonts w:ascii="Calibri" w:cs="Calibri" w:eastAsia="Calibri" w:hAnsi="Calibri"/>
          <w:b/>
          <w:bCs/>
          <w:sz w:val="22"/>
          <w:szCs w:val="22"/>
        </w:rPr>
        <w:t xml:space="preserve">Fix.</w:t>
      </w:r>
      <w:r>
        <w:rPr>
          <w:rFonts w:ascii="Calibri" w:cs="Calibri" w:eastAsia="Calibri" w:hAnsi="Calibri"/>
          <w:sz w:val="22"/>
          <w:szCs w:val="22"/>
        </w:rPr>
        <w:t xml:space="preserve"> Months enter in draw order (match(samp, t_idx)); all draws are made on the main process from the seed, so results do not depend on the number of cores; the kernel version is part of the cache key.</w:t>
      </w:r>
    </w:p>
    <w:p>
      <w:pPr>
        <w:spacing w:after="120" w:line="276"/>
      </w:pPr>
      <w:r>
        <w:rPr>
          <w:rFonts w:ascii="Calibri" w:cs="Calibri" w:eastAsia="Calibri" w:hAnsi="Calibri"/>
          <w:b/>
          <w:bCs/>
          <w:sz w:val="22"/>
          <w:szCs w:val="22"/>
        </w:rPr>
        <w:t xml:space="preserve">Effect.</w:t>
      </w:r>
      <w:r>
        <w:rPr>
          <w:rFonts w:ascii="Calibri" w:cs="Calibri" w:eastAsia="Calibri" w:hAnsi="Calibri"/>
          <w:sz w:val="22"/>
          <w:szCs w:val="22"/>
        </w:rPr>
        <w:t xml:space="preserve"> The full-sample "left tail worse than luck at every percentile" result disappears (1st percentile Prob. Luck 7.2%). Worse-than-luck findings survive only under FF6 and within the post-2010 sub-period.</w:t>
      </w:r>
    </w:p>
    <w:p>
      <w:pPr>
        <w:pStyle w:val="Heading2"/>
        <w:spacing w:after="120" w:before="240"/>
      </w:pPr>
      <w:r>
        <w:rPr>
          <w:rFonts w:ascii="Calibri" w:cs="Calibri" w:eastAsia="Calibri" w:hAnsi="Calibri"/>
        </w:rPr>
        <w:t xml:space="preserve">2.4 BSW decomposition: p-values and threshold (decision D4)</w:t>
      </w:r>
    </w:p>
    <w:p>
      <w:pPr>
        <w:spacing w:after="120" w:line="276"/>
      </w:pPr>
      <w:r>
        <w:rPr>
          <w:rFonts w:ascii="Calibri" w:cs="Calibri" w:eastAsia="Calibri" w:hAnsi="Calibri"/>
          <w:sz w:val="22"/>
          <w:szCs w:val="22"/>
        </w:rPr>
        <w:t xml:space="preserve">π0 and the tail counts S± now use the same Student-t (n−5) Newey–West p-values (the draft mixed normal and t). Population proportions are read at γ* = 0.45: BSW (2010, eq. 8) estimate them at a "sufficiently high" γ*, and report that pre-set 0.35 or 0.45 match their MSE-optimal choice. γ = 0.20 measures funds that are both non-zero-alpha and significant at 20%, so it understates the proportions. The full γ grid is still reported.</w:t>
      </w:r>
    </w:p>
    <w:p>
      <w:pPr>
        <w:pStyle w:val="Heading2"/>
        <w:spacing w:after="120" w:before="240"/>
      </w:pPr>
      <w:r>
        <w:rPr>
          <w:rFonts w:ascii="Calibri" w:cs="Calibri" w:eastAsia="Calibri" w:hAnsi="Calibri"/>
        </w:rPr>
        <w:t xml:space="preserve">2.5 Bai–Perron break test (decisions D5, D6)</w:t>
      </w:r>
    </w:p>
    <w:p>
      <w:pPr>
        <w:pStyle w:val="ListParagraph"/>
        <w:numPr>
          <w:ilvl w:val="0"/>
          <w:numId w:val="2"/>
        </w:numPr>
        <w:spacing w:after="80" w:line="264"/>
      </w:pPr>
      <w:r>
        <w:rPr>
          <w:rFonts w:ascii="Calibri" w:cs="Calibri" w:eastAsia="Calibri" w:hAnsi="Calibri"/>
          <w:sz w:val="22"/>
          <w:szCs w:val="22"/>
        </w:rPr>
        <w:t xml:space="preserve">The search was capped at 5 breaks and BIC was still falling at the cap, so "five breaks" was the cap, not the BIC choice. Now up to 8 are searched; BIC selects 7, LWZ selects 5.</w:t>
      </w:r>
    </w:p>
    <w:p>
      <w:pPr>
        <w:pStyle w:val="ListParagraph"/>
        <w:numPr>
          <w:ilvl w:val="0"/>
          <w:numId w:val="2"/>
        </w:numPr>
        <w:spacing w:after="80" w:line="264"/>
      </w:pPr>
      <w:r>
        <w:rPr>
          <w:rFonts w:ascii="Calibri" w:cs="Calibri" w:eastAsia="Calibri" w:hAnsi="Calibri"/>
          <w:sz w:val="22"/>
          <w:szCs w:val="22"/>
        </w:rPr>
        <w:t xml:space="preserve">Confidence intervals used a Newey–West lag of 5 mislabelled as Andrews (1991). The input is a 36-month rolling alpha, MA(35) by construction, so the lag is now 35. Intervals are wider and F-statistics smaller.</w:t>
      </w:r>
    </w:p>
    <w:p>
      <w:pPr>
        <w:pStyle w:val="ListParagraph"/>
        <w:numPr>
          <w:ilvl w:val="0"/>
          <w:numId w:val="2"/>
        </w:numPr>
        <w:spacing w:after="80" w:line="264"/>
      </w:pPr>
      <w:r>
        <w:rPr>
          <w:rFonts w:ascii="Calibri" w:cs="Calibri" w:eastAsia="Calibri" w:hAnsi="Calibri"/>
          <w:sz w:val="22"/>
          <w:szCs w:val="22"/>
        </w:rPr>
        <w:t xml:space="preserve">A rolling-window break is dated at the end of the window; the change can precede the date by up to 35 months. This is now stated in the text.</w:t>
      </w:r>
    </w:p>
    <w:p>
      <w:pPr>
        <w:pStyle w:val="ListParagraph"/>
        <w:numPr>
          <w:ilvl w:val="0"/>
          <w:numId w:val="2"/>
        </w:numPr>
        <w:spacing w:after="80" w:line="264"/>
      </w:pPr>
      <w:r>
        <w:rPr>
          <w:rFonts w:ascii="Calibri" w:cs="Calibri" w:eastAsia="Calibri" w:hAnsi="Calibri"/>
          <w:sz w:val="22"/>
          <w:szCs w:val="22"/>
        </w:rPr>
        <w:t xml:space="preserve">New robustness: the test on the non-overlapping monthly abnormal return of the EW active portfolio. BIC selects no break; sup-F = 10.67 (p = 0.019) at Aug 2019. The dissertation therefore describes a gradual deterioration in the 2010s rather than a sharp break.</w:t>
      </w:r>
    </w:p>
    <w:p>
      <w:pPr>
        <w:pStyle w:val="ListParagraph"/>
        <w:numPr>
          <w:ilvl w:val="0"/>
          <w:numId w:val="2"/>
        </w:numPr>
        <w:spacing w:after="80" w:line="264"/>
      </w:pPr>
      <w:r>
        <w:rPr>
          <w:rFonts w:ascii="Calibri" w:cs="Calibri" w:eastAsia="Calibri" w:hAnsi="Calibri"/>
          <w:sz w:val="22"/>
          <w:szCs w:val="22"/>
        </w:rPr>
        <w:t xml:space="preserve">Sub-period boundaries (Mar 2006, Aug 2010) are read from SUBPERIOD_BREAKS and checked against the break-test output, so tables cannot drift from the test.</w:t>
      </w:r>
    </w:p>
    <w:p>
      <w:pPr>
        <w:pStyle w:val="Heading2"/>
        <w:spacing w:after="120" w:before="240"/>
      </w:pPr>
      <w:r>
        <w:rPr>
          <w:rFonts w:ascii="Calibri" w:cs="Calibri" w:eastAsia="Calibri" w:hAnsi="Calibri"/>
        </w:rPr>
        <w:t xml:space="preserve">2.6 Persistence test</w:t>
      </w:r>
    </w:p>
    <w:p>
      <w:pPr>
        <w:pStyle w:val="ListParagraph"/>
        <w:numPr>
          <w:ilvl w:val="0"/>
          <w:numId w:val="2"/>
        </w:numPr>
        <w:spacing w:after="80" w:line="264"/>
      </w:pPr>
      <w:r>
        <w:rPr>
          <w:rFonts w:ascii="Calibri" w:cs="Calibri" w:eastAsia="Calibri" w:hAnsi="Calibri"/>
          <w:sz w:val="22"/>
          <w:szCs w:val="22"/>
        </w:rPr>
        <w:t xml:space="preserve">Deciles were assigned after a survival filter on the holding year, which removes the funds most likely to be losers. Deciles are now assigned on formation information only.</w:t>
      </w:r>
    </w:p>
    <w:p>
      <w:pPr>
        <w:pStyle w:val="ListParagraph"/>
        <w:numPr>
          <w:ilvl w:val="0"/>
          <w:numId w:val="2"/>
        </w:numPr>
        <w:spacing w:after="80" w:line="264"/>
      </w:pPr>
      <w:r>
        <w:rPr>
          <w:rFonts w:ascii="Calibri" w:cs="Calibri" w:eastAsia="Calibri" w:hAnsi="Calibri"/>
          <w:sz w:val="22"/>
          <w:szCs w:val="22"/>
        </w:rPr>
        <w:t xml:space="preserve">The KTWW-style fund-residual bootstrap pooled cohorts under one set of loadings, which left the null off-centre (simulated t up to about 2). Replaced by the Fama–French residual bootstrap at the decile-portfolio level: subtract each decile's alpha, resample pooled months jointly across deciles. The null is centred by construction.</w:t>
      </w:r>
    </w:p>
    <w:p>
      <w:pPr>
        <w:pStyle w:val="ListParagraph"/>
        <w:numPr>
          <w:ilvl w:val="0"/>
          <w:numId w:val="2"/>
        </w:numPr>
        <w:spacing w:after="80" w:line="264"/>
      </w:pPr>
      <w:r>
        <w:rPr>
          <w:rFonts w:ascii="Calibri" w:cs="Calibri" w:eastAsia="Calibri" w:hAnsi="Calibri"/>
          <w:sz w:val="22"/>
          <w:szCs w:val="22"/>
        </w:rPr>
        <w:t xml:space="preserve">Regime panels follow cohort location: no cohort lies inside P2, so the old Panel D is gone; C = cohorts 1–2 (P1), E = 5–7 (P3), F = 3–4 (crossing a boundary).</w:t>
      </w:r>
    </w:p>
    <w:p>
      <w:pPr>
        <w:pStyle w:val="Heading2"/>
        <w:spacing w:after="120" w:before="240"/>
      </w:pPr>
      <w:r>
        <w:rPr>
          <w:rFonts w:ascii="Calibri" w:cs="Calibri" w:eastAsia="Calibri" w:hAnsi="Calibri"/>
        </w:rPr>
        <w:t xml:space="preserve">2.7 Activeness sorts</w:t>
      </w:r>
    </w:p>
    <w:p>
      <w:pPr>
        <w:spacing w:after="120" w:line="276"/>
      </w:pPr>
      <w:r>
        <w:rPr>
          <w:rFonts w:ascii="Calibri" w:cs="Calibri" w:eastAsia="Calibri" w:hAnsi="Calibri"/>
          <w:sz w:val="22"/>
          <w:szCs w:val="22"/>
        </w:rPr>
        <w:t xml:space="preserve">Quintiles were formed on each fund's lifetime average 1−R² or tracking error, which uses future information. They are now formed every month on the lagged rolling measure, with the benchmark join by year-month. The Patton–Timmermann test now uses a stationary bootstrap (block 6). Fee quintiles are also formed monthly, and the momentum signal is built on net returns (what investors see).</w:t>
      </w:r>
    </w:p>
    <w:p>
      <w:pPr>
        <w:pStyle w:val="Heading2"/>
        <w:spacing w:after="120" w:before="240"/>
      </w:pPr>
      <w:r>
        <w:rPr>
          <w:rFonts w:ascii="Calibri" w:cs="Calibri" w:eastAsia="Calibri" w:hAnsi="Calibri"/>
        </w:rPr>
        <w:t xml:space="preserve">2.8 Fund flows and panel regressions</w:t>
      </w:r>
    </w:p>
    <w:p>
      <w:pPr>
        <w:pStyle w:val="ListParagraph"/>
        <w:numPr>
          <w:ilvl w:val="0"/>
          <w:numId w:val="2"/>
        </w:numPr>
        <w:spacing w:after="80" w:line="264"/>
      </w:pPr>
      <w:r>
        <w:rPr>
          <w:rFonts w:ascii="Calibri" w:cs="Calibri" w:eastAsia="Calibri" w:hAnsi="Calibri"/>
          <w:sz w:val="22"/>
          <w:szCs w:val="22"/>
        </w:rPr>
        <w:t xml:space="preserve">No flow is computed when the TNA source switches between share-class and total-fund assets (2,664 spurious flows removed).</w:t>
      </w:r>
    </w:p>
    <w:p>
      <w:pPr>
        <w:pStyle w:val="ListParagraph"/>
        <w:numPr>
          <w:ilvl w:val="0"/>
          <w:numId w:val="2"/>
        </w:numPr>
        <w:spacing w:after="80" w:line="264"/>
      </w:pPr>
      <w:r>
        <w:rPr>
          <w:rFonts w:ascii="Calibri" w:cs="Calibri" w:eastAsia="Calibri" w:hAnsi="Calibri"/>
          <w:sz w:val="22"/>
          <w:szCs w:val="22"/>
        </w:rPr>
        <w:t xml:space="preserve">Flow winsorisation cut-offs are computed without December, as the text says.</w:t>
      </w:r>
    </w:p>
    <w:p>
      <w:pPr>
        <w:pStyle w:val="ListParagraph"/>
        <w:numPr>
          <w:ilvl w:val="0"/>
          <w:numId w:val="2"/>
        </w:numPr>
        <w:spacing w:after="80" w:line="264"/>
      </w:pPr>
      <w:r>
        <w:rPr>
          <w:rFonts w:ascii="Calibri" w:cs="Calibri" w:eastAsia="Calibri" w:hAnsi="Calibri"/>
          <w:sz w:val="22"/>
          <w:szCs w:val="22"/>
        </w:rPr>
        <w:t xml:space="preserve">The style-flow control was built after December was dropped, which removed every January observation from the regressions. It is now built from all non-December months, restoring January.</w:t>
      </w:r>
    </w:p>
    <w:p>
      <w:pPr>
        <w:pStyle w:val="ListParagraph"/>
        <w:numPr>
          <w:ilvl w:val="0"/>
          <w:numId w:val="2"/>
        </w:numPr>
        <w:spacing w:after="80" w:line="264"/>
      </w:pPr>
      <w:r>
        <w:rPr>
          <w:rFonts w:ascii="Calibri" w:cs="Calibri" w:eastAsia="Calibri" w:hAnsi="Calibri"/>
          <w:sz w:val="22"/>
          <w:szCs w:val="22"/>
        </w:rPr>
        <w:t xml:space="preserve">Rolling return statistics are taken from panel_master, and the $5M lagged-TNA filter is applied last, after all lags, so it no longer breaks lag chains.</w:t>
      </w:r>
    </w:p>
    <w:p>
      <w:pPr>
        <w:pStyle w:val="ListParagraph"/>
        <w:numPr>
          <w:ilvl w:val="0"/>
          <w:numId w:val="2"/>
        </w:numPr>
        <w:spacing w:after="80" w:line="264"/>
      </w:pPr>
      <w:r>
        <w:rPr>
          <w:rFonts w:ascii="Calibri" w:cs="Calibri" w:eastAsia="Calibri" w:hAnsi="Calibri"/>
          <w:sz w:val="22"/>
          <w:szCs w:val="22"/>
        </w:rPr>
        <w:t xml:space="preserve">H3 lottery proxies are winsorised and standardised, so coefficients are per standard deviation.</w:t>
      </w:r>
    </w:p>
    <w:p>
      <w:pPr>
        <w:pStyle w:val="ListParagraph"/>
        <w:numPr>
          <w:ilvl w:val="0"/>
          <w:numId w:val="2"/>
        </w:numPr>
        <w:spacing w:after="80" w:line="264"/>
      </w:pPr>
      <w:r>
        <w:rPr>
          <w:rFonts w:ascii="Calibri" w:cs="Calibri" w:eastAsia="Calibri" w:hAnsi="Calibri"/>
          <w:sz w:val="22"/>
          <w:szCs w:val="22"/>
        </w:rPr>
        <w:t xml:space="preserve">Result: 303,471 fund-months on 1,874 funds (Jan 1998–Sep 2025) instead of 259,113.</w:t>
      </w:r>
    </w:p>
    <w:p>
      <w:pPr>
        <w:pStyle w:val="Heading2"/>
        <w:spacing w:after="120" w:before="240"/>
      </w:pPr>
      <w:r>
        <w:rPr>
          <w:rFonts w:ascii="Calibri" w:cs="Calibri" w:eastAsia="Calibri" w:hAnsi="Calibri"/>
        </w:rPr>
        <w:t xml:space="preserve">2.9 Smaller issues found along the way</w:t>
      </w:r>
    </w:p>
    <w:p>
      <w:pPr>
        <w:pStyle w:val="ListParagraph"/>
        <w:numPr>
          <w:ilvl w:val="0"/>
          <w:numId w:val="2"/>
        </w:numPr>
        <w:spacing w:after="80" w:line="264"/>
      </w:pPr>
      <w:r>
        <w:rPr>
          <w:rFonts w:ascii="Calibri" w:cs="Calibri" w:eastAsia="Calibri" w:hAnsi="Calibri"/>
          <w:sz w:val="22"/>
          <w:szCs w:val="22"/>
        </w:rPr>
        <w:t xml:space="preserve">ProFunds products whose names Bloomberg truncates ("PRFND", "PROFND", "PF-INV") escaped the leveraged filter; two were labelled Active (IDPIX, AFBIX). The filter now covers these variants and "leveraged", in all groups.</w:t>
      </w:r>
    </w:p>
    <w:p>
      <w:pPr>
        <w:pStyle w:val="ListParagraph"/>
        <w:numPr>
          <w:ilvl w:val="0"/>
          <w:numId w:val="2"/>
        </w:numPr>
        <w:spacing w:after="80" w:line="264"/>
      </w:pPr>
      <w:r>
        <w:rPr>
          <w:rFonts w:ascii="Calibri" w:cs="Calibri" w:eastAsia="Calibri" w:hAnsi="Calibri"/>
          <w:sz w:val="22"/>
          <w:szCs w:val="22"/>
        </w:rPr>
        <w:t xml:space="preserve">Expense ratios outside [0, 5]% set to missing. The five Invesco SteelPath MLP funds and PRRSX (expense ratios of 5.5–17% including deferred taxes or financing costs) moved to "Exclude from Entire Analysis" under the new flag NONSTANDARD_EXPENSE (decision D9).</w:t>
      </w:r>
    </w:p>
    <w:p>
      <w:pPr>
        <w:pStyle w:val="ListParagraph"/>
        <w:numPr>
          <w:ilvl w:val="0"/>
          <w:numId w:val="2"/>
        </w:numPr>
        <w:spacing w:after="80" w:line="264"/>
      </w:pPr>
      <w:r>
        <w:rPr>
          <w:rFonts w:ascii="Calibri" w:cs="Calibri" w:eastAsia="Calibri" w:hAnsi="Calibri"/>
          <w:sz w:val="22"/>
          <w:szCs w:val="22"/>
        </w:rPr>
        <w:t xml:space="preserve">Five scripts wrote table footnotes saying "net = gross − ER/12"; corrected to "net returns are NAV-based; gross adds back ER/12 (Fama–French 2010)".</w:t>
      </w:r>
    </w:p>
    <w:p>
      <w:pPr>
        <w:pStyle w:val="ListParagraph"/>
        <w:numPr>
          <w:ilvl w:val="0"/>
          <w:numId w:val="2"/>
        </w:numPr>
        <w:spacing w:after="80" w:line="264"/>
      </w:pPr>
      <w:r>
        <w:rPr>
          <w:rFonts w:ascii="Calibri" w:cs="Calibri" w:eastAsia="Calibri" w:hAnsi="Calibri"/>
          <w:sz w:val="22"/>
          <w:szCs w:val="22"/>
        </w:rPr>
        <w:t xml:space="preserve">master_pipeline.R copied only files matching ^table_.*\.tex, so table10b_bsw_decomposition.tex and its FF version were never synced to tables/ (Overleaf showed the old π0 = 78.0%). Pattern fixed to ^table[_0-9]; both files copied.</w:t>
      </w:r>
    </w:p>
    <w:p>
      <w:pPr>
        <w:pStyle w:val="ListParagraph"/>
        <w:numPr>
          <w:ilvl w:val="0"/>
          <w:numId w:val="2"/>
        </w:numPr>
        <w:spacing w:after="80" w:line="264"/>
      </w:pPr>
      <w:r>
        <w:rPr>
          <w:rFonts w:ascii="Calibri" w:cs="Calibri" w:eastAsia="Calibri" w:hAnsi="Calibri"/>
          <w:sz w:val="22"/>
          <w:szCs w:val="22"/>
        </w:rPr>
        <w:t xml:space="preserve">Stale hard-coded footnote text fixed in today's session: sub-period aggregate table (old dates Jan 2006 / Oct 2011 and the net = gross − ER/12 wording), Lipper table (old rationale for gross), fund-count table (now 115/88/85 dropped; 3,562/3,120/3,028), PPF calibration (now 2.120% → 265 bp per rank-point), H1/H2 notes (rank is on 12-month net returns ending t−1, not gross).</w:t>
      </w:r>
    </w:p>
    <w:p>
      <w:pPr>
        <w:pStyle w:val="ListParagraph"/>
        <w:numPr>
          <w:ilvl w:val="0"/>
          <w:numId w:val="2"/>
        </w:numPr>
        <w:spacing w:after="80" w:line="264"/>
      </w:pPr>
      <w:r>
        <w:rPr>
          <w:rFonts w:ascii="Calibri" w:cs="Calibri" w:eastAsia="Calibri" w:hAnsi="Calibri"/>
          <w:sz w:val="22"/>
          <w:szCs w:val="22"/>
        </w:rPr>
        <w:t xml:space="preserve">patch_mean_tna.R moved to R scripts/deprecated/.</w:t>
      </w:r>
    </w:p>
    <w:p>
      <w:pPr>
        <w:pStyle w:val="Heading1"/>
        <w:spacing w:after="160" w:before="360"/>
      </w:pPr>
      <w:r>
        <w:rPr>
          <w:rFonts w:ascii="Calibri" w:cs="Calibri" w:eastAsia="Calibri" w:hAnsi="Calibri"/>
        </w:rPr>
        <w:t xml:space="preserve">3. What was done</w:t>
      </w:r>
    </w:p>
    <w:p>
      <w:pPr>
        <w:pStyle w:val="Heading2"/>
        <w:spacing w:after="120" w:before="240"/>
      </w:pPr>
      <w:r>
        <w:rPr>
          <w:rFonts w:ascii="Calibri" w:cs="Calibri" w:eastAsia="Calibri" w:hAnsi="Calibri"/>
        </w:rPr>
        <w:t xml:space="preserve">3.1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26"/>
      </w:tblGrid>
      <w:tr>
        <w:trPr>
          <w:tblHeader/>
        </w:trPr>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ID</w:t>
            </w:r>
          </w:p>
        </w:tc>
        <w:tc>
          <w:tcPr>
            <w:tcW w:type="dxa" w:w="5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Decision</w:t>
            </w:r>
          </w:p>
        </w:tc>
        <w:tc>
          <w:tcPr>
            <w:tcW w:type="dxa" w:w="3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Status</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Index is net; gross = net + ER/12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Verified (AAII returns; passive TD test)</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Raw returns + data-error screen; per-month winsorised series for robustness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Confirmed by Ömer</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Funds without expense ratio lose gross return only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Accepted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γ* = 0.45 (BSW eq. 8)</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Implemented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Non-overlapping break-test robustness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Implemented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Sub-period boundaries Mar 2006, Aug 2010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Implemented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D7</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Persistence / activeness look-ahead fixes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Implemented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D8</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$5M filter as stated in text, applied last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Implemented</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D9</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MLP funds and PRRSX excluded (NONSTANDARD_EXPENSE)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Confirmed by Ömer</w:t>
            </w:r>
          </w:p>
        </w:tc>
      </w:tr>
    </w:tbl>
    <w:p>
      <w:pPr>
        <w:spacing w:after="120"/>
      </w:pPr>
    </w:p>
    <w:p>
      <w:pPr>
        <w:pStyle w:val="Heading2"/>
        <w:spacing w:after="120" w:before="240"/>
      </w:pPr>
      <w:r>
        <w:rPr>
          <w:rFonts w:ascii="Calibri" w:cs="Calibri" w:eastAsia="Calibri" w:hAnsi="Calibri"/>
        </w:rPr>
        <w:t xml:space="preserve">3.2 Code changes (commits in D:\TEZ)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Batch / commit</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Scripts</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Content</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Batch 1 (20e5349)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data_import_and_cleaning.R v1.4; flow_calculation.R v1.2; panel_regressions_setup.R; flagged_funds.xlsx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Net index, return screen, ER cleaning, ProFunds filter, TNA switches, December cut-offs, NONSTANDARD_EXPENSE, join checks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Diagnostics (d764f14)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 scripts/diagnostics/batch1_checks.R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Checks for Batch 1</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Batch 2 (59888cd)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alpha_estimation.R v2.8; alpha_estimation_robust.R v1.5; FF_comparison.R v1.6; subperiod_analysis.R v1.6; structural_break_test.R v1.3; aggregate_alphas.R; alpha_reporting.R; build_robust_tables.R v1.4; build_ff_tables_manual.R v1.3</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Bootstrap draw order and seeding, Student-t p-values, γ* = 0.45, break test (8 breaks, lag 35, LWZ, non-overlapping test), data-driven sub-periods, footnotes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Batch 3 (b650dc9)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persistence_testing.R v1.3; activeness_analysis.R v1.4; portfolio_sorts.R v1.5; activeness_proxy_diagnostic.R v1.1; panel_regressions_setup.R v1.5; H1–H4 scripts; panel_regressions_reporting.R; master_pipeline.R v1.6</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Portfolio-level persistence bootstrap, monthly lagged activeness sorts, monthly fee sorts, net momentum, January restored, $5M last, H3 standardisation</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Tables (b32e224)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tables/*.tex, figures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Regenerated with B = 10,000</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Today (to commit)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master_pipeline.R, subperiod_analysis.R, alpha_reporting.R, psychological_premium.R, descriptive_statistics.R, H1_sentiment_convexity.R, H2_disposition_control.R; 9 table files; dissertation_main.tex; dissertation.bib</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Table-sync pattern, stale footnotes, PPF calibration, rewritten dissertation, four new bibliography entries</w:t>
            </w:r>
          </w:p>
        </w:tc>
      </w:tr>
    </w:tbl>
    <w:p>
      <w:pPr>
        <w:pStyle w:val="Heading1"/>
        <w:spacing w:after="160" w:before="360"/>
      </w:pPr>
      <w:r>
        <w:rPr>
          <w:rFonts w:ascii="Calibri" w:cs="Calibri" w:eastAsia="Calibri" w:hAnsi="Calibri"/>
        </w:rPr>
        <w:t xml:space="preserve">4. What changed in the results</w:t>
      </w:r>
    </w:p>
    <w:p>
      <w:pPr>
        <w:pStyle w:val="Heading2"/>
        <w:spacing w:after="120" w:before="240"/>
      </w:pPr>
      <w:r>
        <w:rPr>
          <w:rFonts w:ascii="Calibri" w:cs="Calibri" w:eastAsia="Calibri" w:hAnsi="Calibri"/>
        </w:rPr>
        <w:t xml:space="preserve">4.1 Aggregate performance (Table 4.5)</w:t>
      </w:r>
    </w:p>
    <w:p>
      <w:pPr>
        <w:spacing w:after="120" w:line="276"/>
      </w:pPr>
      <w:r>
        <w:rPr>
          <w:rFonts w:ascii="Calibri" w:cs="Calibri" w:eastAsia="Calibri" w:hAnsi="Calibri"/>
          <w:sz w:val="22"/>
          <w:szCs w:val="22"/>
        </w:rPr>
        <w:t xml:space="preserve">Gross alphas are now close to zero (EW +0.22, VW +0.03) and net alphas are −0.82 (t −1.75) and −0.66 (t −1.62). These match Fama–French (2010, Table II) for 1984–2006: four-factor gross alphas of 0.39% EW and −0.05% VW and net alphas between −0.81% and −1.00% (numbers checked in the PDF). The EW–VW gap is 17 bp, so the old "locational" argument (puzzle in the EW cross-section, not the representative dollar) no longer holds and was removed. Passive EW net alpha is −0.69** (many small expensive index funds); passive VW net is −0.06, so the VW active–passive gap is about the fee difference.</w:t>
      </w:r>
    </w:p>
    <w:p>
      <w:pPr>
        <w:pStyle w:val="Heading2"/>
        <w:spacing w:after="120" w:before="240"/>
      </w:pPr>
      <w:r>
        <w:rPr>
          <w:rFonts w:ascii="Calibri" w:cs="Calibri" w:eastAsia="Calibri" w:hAnsi="Calibri"/>
        </w:rPr>
        <w:t xml:space="preserve">4.2 Bootstrap and false discovery</w:t>
      </w:r>
    </w:p>
    <w:p>
      <w:pPr>
        <w:spacing w:after="120" w:line="276"/>
      </w:pPr>
      <w:r>
        <w:rPr>
          <w:rFonts w:ascii="Calibri" w:cs="Calibri" w:eastAsia="Calibri" w:hAnsi="Calibri"/>
          <w:sz w:val="22"/>
          <w:szCs w:val="22"/>
        </w:rPr>
        <w:t xml:space="preserve">Carhart: no percentile differs from luck. FF6: left tail worse than luck at 1/5/10th percentiles (3.2/3.1/3.4%). BSW at γ* = 0.45: π0 87.1%, unskilled 11.0%, skilled 1.5% (FF6: 78.4/20.3/1.4; C+PSL: 88.0/8.7/3.2). FF-window replication (1995–2006): π0 88.8%, skilled 7.1%, unskilled 3.5%.</w:t>
      </w:r>
    </w:p>
    <w:p>
      <w:pPr>
        <w:pStyle w:val="Heading2"/>
        <w:spacing w:after="120" w:before="240"/>
      </w:pPr>
      <w:r>
        <w:rPr>
          <w:rFonts w:ascii="Calibri" w:cs="Calibri" w:eastAsia="Calibri" w:hAnsi="Calibri"/>
        </w:rPr>
        <w:t xml:space="preserve">4.3 Breaks and sub-periods</w:t>
      </w:r>
    </w:p>
    <w:p>
      <w:pPr>
        <w:spacing w:after="120" w:line="276"/>
      </w:pPr>
      <w:r>
        <w:rPr>
          <w:rFonts w:ascii="Calibri" w:cs="Calibri" w:eastAsia="Calibri" w:hAnsi="Calibri"/>
          <w:sz w:val="22"/>
          <w:szCs w:val="22"/>
        </w:rPr>
        <w:t xml:space="preserve">Seven breaks: Mar 2000, Mar 2003, Mar 2006, Aug 2010 [Jun 2010–Feb 2011], Dec 2015, Jan 2019, Jan 2022; regime means −0.46, +2.93, −0.03, +1.33, −0.12, −0.69, −0.13, −1.00. P1 (Jan 1995–Mar 2006) and P2 (Apr 2006–Aug 2010) are consistent with luck but contain a skilled minority (12.5% and 19.4%). P3 (Sep 2010–Jan 2026): EW gross −0.70*, EW net −1.75***, VW net −1.00***, left tail worse than luck, unskilled 23.6%, skilled none. This parallels BSW (2010): skilled share 14.4% (early 1990) → 0.6% (late 2006), unskilled 9.2% → 24.0% (checked in the PDF).</w:t>
      </w:r>
    </w:p>
    <w:p>
      <w:pPr>
        <w:pStyle w:val="Heading2"/>
        <w:spacing w:after="120" w:before="240"/>
      </w:pPr>
      <w:r>
        <w:rPr>
          <w:rFonts w:ascii="Calibri" w:cs="Calibri" w:eastAsia="Calibri" w:hAnsi="Calibri"/>
        </w:rPr>
        <w:t xml:space="preserve">4.4 Persistence, activeness and sorts</w:t>
      </w:r>
    </w:p>
    <w:p>
      <w:pPr>
        <w:pStyle w:val="ListParagraph"/>
        <w:numPr>
          <w:ilvl w:val="0"/>
          <w:numId w:val="2"/>
        </w:numPr>
        <w:spacing w:after="80" w:line="264"/>
      </w:pPr>
      <w:r>
        <w:rPr>
          <w:rFonts w:ascii="Calibri" w:cs="Calibri" w:eastAsia="Calibri" w:hAnsi="Calibri"/>
          <w:sz w:val="22"/>
          <w:szCs w:val="22"/>
        </w:rPr>
        <w:t xml:space="preserve">Losers persist (D10 −0.122%/month, bootstrap p 0.054; P1 −0.285, p 0.021; crossing cohorts −0.149, p 0.019, spread t 3.11); winners never.</w:t>
      </w:r>
    </w:p>
    <w:p>
      <w:pPr>
        <w:pStyle w:val="ListParagraph"/>
        <w:numPr>
          <w:ilvl w:val="0"/>
          <w:numId w:val="2"/>
        </w:numPr>
        <w:spacing w:after="80" w:line="264"/>
      </w:pPr>
      <w:r>
        <w:rPr>
          <w:rFonts w:ascii="Calibri" w:cs="Calibri" w:eastAsia="Calibri" w:hAnsi="Calibri"/>
          <w:sz w:val="22"/>
          <w:szCs w:val="22"/>
        </w:rPr>
        <w:t xml:space="preserve">Among closet indexers (lowest 1−R² tercile), past winners reverse: D1 −0.189 (t −2.82), D1−D10 −0.126 (t −2.42).</w:t>
      </w:r>
    </w:p>
    <w:p>
      <w:pPr>
        <w:pStyle w:val="ListParagraph"/>
        <w:numPr>
          <w:ilvl w:val="0"/>
          <w:numId w:val="2"/>
        </w:numPr>
        <w:spacing w:after="80" w:line="264"/>
      </w:pPr>
      <w:r>
        <w:rPr>
          <w:rFonts w:ascii="Calibri" w:cs="Calibri" w:eastAsia="Calibri" w:hAnsi="Calibri"/>
          <w:sz w:val="22"/>
          <w:szCs w:val="22"/>
        </w:rPr>
        <w:t xml:space="preserve">Activeness (1−R²): Q1 net alpha −1.52*** EW, −1.59*** VW; Q5 ≈ 0; EW Q5−Q1 gross +1.82** ; MR test p 0.016 gross, 0.033 net (EW). VW not monotone; tracking error shows no gradient.</w:t>
      </w:r>
    </w:p>
    <w:p>
      <w:pPr>
        <w:pStyle w:val="ListParagraph"/>
        <w:numPr>
          <w:ilvl w:val="0"/>
          <w:numId w:val="2"/>
        </w:numPr>
        <w:spacing w:after="80" w:line="264"/>
      </w:pPr>
      <w:r>
        <w:rPr>
          <w:rFonts w:ascii="Calibri" w:cs="Calibri" w:eastAsia="Calibri" w:hAnsi="Calibri"/>
          <w:sz w:val="22"/>
          <w:szCs w:val="22"/>
        </w:rPr>
        <w:t xml:space="preserve">Fee sort: no gross-alpha gradient among active funds, so net alpha falls one-for-one with fees. Momentum: Carhart spread +2.12 (n.s.), FF3 spread +5.92***; fund momentum is mostly stock momentum. Size: small positive, large negative, not significant.</w:t>
      </w:r>
    </w:p>
    <w:p>
      <w:pPr>
        <w:pStyle w:val="Heading2"/>
        <w:spacing w:after="120" w:before="240"/>
      </w:pPr>
      <w:r>
        <w:rPr>
          <w:rFonts w:ascii="Calibri" w:cs="Calibri" w:eastAsia="Calibri" w:hAnsi="Calibri"/>
        </w:rPr>
        <w:t xml:space="preserve">4.5 Behavioral hypotheses (Chapter 5)</w:t>
      </w:r>
    </w:p>
    <w:p>
      <w:pPr>
        <w:pStyle w:val="ListParagraph"/>
        <w:numPr>
          <w:ilvl w:val="0"/>
          <w:numId w:val="2"/>
        </w:numPr>
        <w:spacing w:after="80" w:line="264"/>
      </w:pPr>
      <w:r>
        <w:rPr>
          <w:rFonts w:ascii="Calibri" w:cs="Calibri" w:eastAsia="Calibri" w:hAnsi="Calibri"/>
          <w:sz w:val="22"/>
          <w:szCs w:val="22"/>
        </w:rPr>
        <w:t xml:space="preserve">H1: joint tests SENT⊥ p 0.008, AAII p 0.006, D_SENT p 0.052. Baker–Wurgler sentiment flattens the flow–performance relation at both ends (loser and winner), AAII steepens the middle and winner end (asymmetry p 0.048). BW results survive lags and style×month FE; AAII does not survive lags.</w:t>
      </w:r>
    </w:p>
    <w:p>
      <w:pPr>
        <w:pStyle w:val="ListParagraph"/>
        <w:numPr>
          <w:ilvl w:val="0"/>
          <w:numId w:val="2"/>
        </w:numPr>
        <w:spacing w:after="80" w:line="264"/>
      </w:pPr>
      <w:r>
        <w:rPr>
          <w:rFonts w:ascii="Calibri" w:cs="Calibri" w:eastAsia="Calibri" w:hAnsi="Calibri"/>
          <w:sz w:val="22"/>
          <w:szCs w:val="22"/>
        </w:rPr>
        <w:t xml:space="preserve">H2: margin debt joint p &lt; 0.001; loser interaction +0.0138 (z 2.14) and winner +0.0283 (t 2.95): steepening, margin-call direction. Disposition rejected in sign. Robust to lags and FE. Put–call ratio: nothing.</w:t>
      </w:r>
    </w:p>
    <w:p>
      <w:pPr>
        <w:pStyle w:val="ListParagraph"/>
        <w:numPr>
          <w:ilvl w:val="0"/>
          <w:numId w:val="2"/>
        </w:numPr>
        <w:spacing w:after="80" w:line="264"/>
      </w:pPr>
      <w:r>
        <w:rPr>
          <w:rFonts w:ascii="Calibri" w:cs="Calibri" w:eastAsia="Calibri" w:hAnsi="Calibri"/>
          <w:sz w:val="22"/>
          <w:szCs w:val="22"/>
        </w:rPr>
        <w:t xml:space="preserve">H3: only MAX12 in the headline (joint p 0.031; amplification z 1.98, p 0.024; lagged p 0.039). Under style×month FE, ActSkew becomes strongly significant (z 2.60) and MAX12 moves to its main effect. The old claim that the sentiment dummy loses significance in the MAX12 column no longer holds and was removed.</w:t>
      </w:r>
    </w:p>
    <w:p>
      <w:pPr>
        <w:pStyle w:val="ListParagraph"/>
        <w:numPr>
          <w:ilvl w:val="0"/>
          <w:numId w:val="2"/>
        </w:numPr>
        <w:spacing w:after="80" w:line="264"/>
      </w:pPr>
      <w:r>
        <w:rPr>
          <w:rFonts w:ascii="Calibri" w:cs="Calibri" w:eastAsia="Calibri" w:hAnsi="Calibri"/>
          <w:sz w:val="22"/>
          <w:szCs w:val="22"/>
        </w:rPr>
        <w:t xml:space="preserve">H4: fee main effect −0.0042 (t −5.42); no sentiment modulation (joint p 0.47–0.70); the old "θ reverses sign" discussion was replaced.</w:t>
      </w:r>
    </w:p>
    <w:p>
      <w:pPr>
        <w:pStyle w:val="ListParagraph"/>
        <w:numPr>
          <w:ilvl w:val="0"/>
          <w:numId w:val="2"/>
        </w:numPr>
        <w:spacing w:after="80" w:line="264"/>
      </w:pPr>
      <w:r>
        <w:rPr>
          <w:rFonts w:ascii="Calibri" w:cs="Calibri" w:eastAsia="Calibri" w:hAnsi="Calibri"/>
          <w:sz w:val="22"/>
          <w:szCs w:val="22"/>
        </w:rPr>
        <w:t xml:space="preserve">PPF: MAX12 middle segment 2 bp (low) vs 35 bp (high); difference 33 bp, one-sided p 0.009. The old claim that the premium equals "the entire value-add of active management" was removed.</w:t>
      </w:r>
    </w:p>
    <w:p>
      <w:pPr>
        <w:pStyle w:val="Heading1"/>
        <w:spacing w:after="160" w:before="360"/>
      </w:pPr>
      <w:r>
        <w:rPr>
          <w:rFonts w:ascii="Calibri" w:cs="Calibri" w:eastAsia="Calibri" w:hAnsi="Calibri"/>
        </w:rPr>
        <w:t xml:space="preserve">5. What changed in dissertation_main.tex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Part</w:t>
            </w:r>
          </w:p>
        </w:tc>
        <w:tc>
          <w:tcPr>
            <w:tcW w:type="dxa" w:w="7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Changes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Abstract and Özet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Rewritten around the new results (246 words). Turkish summary rewritten to match; please proofread.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Front matter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γ* in symbol list = 0.45; ActR2 etc. defined as time-varying rolling measures.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1</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"Two edges" paragraph, objectives, five contributions (incl. a methodological contribution), appendix list (now eleven).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2</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BSW paragraph (with their verified 1990–2006 numbers), EW–VW paragraph (FF 2010 numbers verified), synthesis.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3</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Cleaning steps; panels (sub-periods use panel_incubation, not panel_trimmed); new return-measurement section (net index, verification, screen); flows (TNA switches, cut-offs, $5M); bootstrap (draw order); FDR (Student-t, γ* = 0.45); Bai–Perron (8 breaks, lag 35, LWZ, dating caveat, non-overlapping test); activeness (monthly lagged sorts, stationary bootstrap); persistence (portfolio-level bootstrap, cohort list, no Panel D); rank timing (12-month net return ending t−1).</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4</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Rewritten throughout: descriptive statistics, aggregate alphas with FF (2010) comparison, bootstrap, BSW, sorts, activeness (closet indexers), persistence, sub-periods with break caveats. Figure captions updated.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5</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Rewritten: intro facts, sample (303,471; January included), H1–H4 and PPF with new numbers and interpretations, synthesis.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Ch. 6–7</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Rewritten: aggregate accepted, cross-sectional segments, behavioral channels, post-2010 regime with caveats and three readings, contributions, six limitations, summary, implications, future research.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Appendices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 (Step 5 now the return screen; Step 6 filter); C (flag counts 131/151/288; sample sizes); D (proxy diagnostics); E, F (Lipper: alphas now mostly small and positive), G (FF comparison), H (new break table, non-overlapping test, sub-period text), I (factor robustness), J (lagged and FE robustness), sentiment-vintage note (that comparison used the old construction).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New Appendix K</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Data verification and construction robustness: K.1 net-index test (Table K.1); K.2 return treatments (Table K.2); K.3 screened returns (Table K.3); K.4 list of construction changes (Table K.4); K.5 reconciliation with the defense draft (Table K.5).</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Bibliography</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18"/>
                <w:szCs w:val="18"/>
              </w:rPr>
              <w:t xml:space="preserve">Added Andrews1993, AndrewsPloberger1994, LiuWuZidek1997, PolitisRomano1994.</w:t>
            </w:r>
          </w:p>
        </w:tc>
      </w:tr>
    </w:tbl>
    <w:p>
      <w:pPr>
        <w:spacing w:after="120"/>
      </w:pPr>
    </w:p>
    <w:p>
      <w:pPr>
        <w:spacing w:after="120" w:line="276"/>
      </w:pPr>
      <w:r>
        <w:rPr>
          <w:rFonts w:ascii="Calibri" w:cs="Calibri" w:eastAsia="Calibri" w:hAnsi="Calibri"/>
          <w:sz w:val="22"/>
          <w:szCs w:val="22"/>
        </w:rPr>
        <w:t xml:space="preserve">The file compiles with XeLaTeX and biber in a test environment (225 pages, no errors, no undefined references or citations). The test build substituted TeX Gyre Termes and Latin Modern Math for Times New Roman and Libertinus Math, so page breaks on Overleaf will differ slightly. The two remaining larger overfull boxes (the H4 equation and the float page around the luck-vs-skill figure) were already present before the rewrite.</w:t>
      </w:r>
    </w:p>
    <w:p>
      <w:pPr>
        <w:pStyle w:val="Heading1"/>
        <w:spacing w:after="160" w:before="360"/>
      </w:pPr>
      <w:r>
        <w:rPr>
          <w:rFonts w:ascii="Calibri" w:cs="Calibri" w:eastAsia="Calibri" w:hAnsi="Calibri"/>
        </w:rPr>
        <w:t xml:space="preserve">6. Items for you to check</w:t>
      </w:r>
    </w:p>
    <w:p>
      <w:pPr>
        <w:pStyle w:val="ListParagraph"/>
        <w:numPr>
          <w:ilvl w:val="0"/>
          <w:numId w:val="3"/>
        </w:numPr>
        <w:spacing w:after="80" w:line="264"/>
      </w:pPr>
      <w:r>
        <w:rPr>
          <w:rFonts w:ascii="Calibri" w:cs="Calibri" w:eastAsia="Calibri" w:hAnsi="Calibri"/>
          <w:b/>
          <w:bCs/>
          <w:sz w:val="22"/>
          <w:szCs w:val="22"/>
        </w:rPr>
        <w:t xml:space="preserve">Data vendor wording (resolved).</w:t>
      </w:r>
      <w:r>
        <w:rPr>
          <w:rFonts w:ascii="Calibri" w:cs="Calibri" w:eastAsia="Calibri" w:hAnsi="Calibri"/>
          <w:sz w:val="22"/>
          <w:szCs w:val="22"/>
        </w:rPr>
        <w:t xml:space="preserve"> The return index, TNA, flows, expense ratios, turnover and the active-management flag come from Bloomberg; only benchmark returns, Lipper codes and the behavioral proxies come from LSEG. Appendix A, Appendix C, Appendix G, the abstract, the Özet and the return-measurement section were corrected, as were the table notes (fund counts, descriptive statistics, portfolio characteristics, H4) and the comments in seven R scripts that had attributed these series to LSEG.</w:t>
      </w:r>
    </w:p>
    <w:p>
      <w:pPr>
        <w:pStyle w:val="ListParagraph"/>
        <w:numPr>
          <w:ilvl w:val="0"/>
          <w:numId w:val="3"/>
        </w:numPr>
        <w:spacing w:after="80" w:line="264"/>
      </w:pPr>
      <w:r>
        <w:rPr>
          <w:rFonts w:ascii="Calibri" w:cs="Calibri" w:eastAsia="Calibri" w:hAnsi="Calibri"/>
          <w:b/>
          <w:bCs/>
          <w:sz w:val="22"/>
          <w:szCs w:val="22"/>
        </w:rPr>
        <w:t xml:space="preserve">AAII verification figures.</w:t>
      </w:r>
      <w:r>
        <w:rPr>
          <w:rFonts w:ascii="Calibri" w:cs="Calibri" w:eastAsia="Calibri" w:hAnsi="Calibri"/>
          <w:sz w:val="22"/>
          <w:szCs w:val="22"/>
        </w:rPr>
        <w:t xml:space="preserve"> Appendix K states that 15 of 15 fund-years match published NAV returns, but does not show the numbers. If a jury member may ask, consider adding a small table with the published and index returns.</w:t>
      </w:r>
    </w:p>
    <w:p>
      <w:pPr>
        <w:pStyle w:val="ListParagraph"/>
        <w:numPr>
          <w:ilvl w:val="0"/>
          <w:numId w:val="3"/>
        </w:numPr>
        <w:spacing w:after="80" w:line="264"/>
      </w:pPr>
      <w:r>
        <w:rPr>
          <w:rFonts w:ascii="Calibri" w:cs="Calibri" w:eastAsia="Calibri" w:hAnsi="Calibri"/>
          <w:b/>
          <w:bCs/>
          <w:sz w:val="22"/>
          <w:szCs w:val="22"/>
        </w:rPr>
        <w:t xml:space="preserve">Unverified literature statements left as they were</w:t>
      </w:r>
      <w:r>
        <w:rPr>
          <w:rFonts w:ascii="Calibri" w:cs="Calibri" w:eastAsia="Calibri" w:hAnsi="Calibri"/>
          <w:sz w:val="22"/>
          <w:szCs w:val="22"/>
        </w:rPr>
        <w:t xml:space="preserve">: the Barras–Gagliardini–Scaillet (2022) "about 14% skilled" sentence in Chapter 2, and the Fausch, Tang and Scheek (2025) description in Future Research (I removed the claim that their corrected replication preserves loser persistence, which I could not verify). A sentence attributing slow active-fee adjustment to Pástor, Stambaugh and Taylor (2015) was replaced by our own fee numbers.</w:t>
      </w:r>
    </w:p>
    <w:p>
      <w:pPr>
        <w:pStyle w:val="ListParagraph"/>
        <w:numPr>
          <w:ilvl w:val="0"/>
          <w:numId w:val="3"/>
        </w:numPr>
        <w:spacing w:after="80" w:line="264"/>
      </w:pPr>
      <w:r>
        <w:rPr>
          <w:rFonts w:ascii="Calibri" w:cs="Calibri" w:eastAsia="Calibri" w:hAnsi="Calibri"/>
          <w:b/>
          <w:bCs/>
          <w:sz w:val="22"/>
          <w:szCs w:val="22"/>
        </w:rPr>
        <w:t xml:space="preserve">MOJAX / GENDX.</w:t>
      </w:r>
      <w:r>
        <w:rPr>
          <w:rFonts w:ascii="Calibri" w:cs="Calibri" w:eastAsia="Calibri" w:hAnsi="Calibri"/>
          <w:sz w:val="22"/>
          <w:szCs w:val="22"/>
        </w:rPr>
        <w:t xml:space="preserve"> Chapter 3 says they are reclassified as active; Appendix A says they are excluded from the passive universe. This inconsistency predates the rewrite.</w:t>
      </w:r>
    </w:p>
    <w:p>
      <w:pPr>
        <w:pStyle w:val="ListParagraph"/>
        <w:numPr>
          <w:ilvl w:val="0"/>
          <w:numId w:val="3"/>
        </w:numPr>
        <w:spacing w:after="80" w:line="264"/>
      </w:pPr>
      <w:r>
        <w:rPr>
          <w:rFonts w:ascii="Calibri" w:cs="Calibri" w:eastAsia="Calibri" w:hAnsi="Calibri"/>
          <w:b/>
          <w:bCs/>
          <w:sz w:val="22"/>
          <w:szCs w:val="22"/>
        </w:rPr>
        <w:t xml:space="preserve">Behavioral summary table.</w:t>
      </w:r>
      <w:r>
        <w:rPr>
          <w:rFonts w:ascii="Calibri" w:cs="Calibri" w:eastAsia="Calibri" w:hAnsi="Calibri"/>
          <w:sz w:val="22"/>
          <w:szCs w:val="22"/>
        </w:rPr>
        <w:t xml:space="preserve"> The "Decision" column reports the joint test ("Reject") next to a one-sided headline p of 0.984 for H2. The text now explains this, but you may want to relabel the column (e.g. "Joint test") in panel_regressions_reporting.R.</w:t>
      </w:r>
    </w:p>
    <w:p>
      <w:pPr>
        <w:pStyle w:val="ListParagraph"/>
        <w:numPr>
          <w:ilvl w:val="0"/>
          <w:numId w:val="3"/>
        </w:numPr>
        <w:spacing w:after="80" w:line="264"/>
      </w:pPr>
      <w:r>
        <w:rPr>
          <w:rFonts w:ascii="Calibri" w:cs="Calibri" w:eastAsia="Calibri" w:hAnsi="Calibri"/>
          <w:b/>
          <w:bCs/>
          <w:sz w:val="22"/>
          <w:szCs w:val="22"/>
        </w:rPr>
        <w:t xml:space="preserve">Re-run note.</w:t>
      </w:r>
      <w:r>
        <w:rPr>
          <w:rFonts w:ascii="Calibri" w:cs="Calibri" w:eastAsia="Calibri" w:hAnsi="Calibri"/>
          <w:sz w:val="22"/>
          <w:szCs w:val="22"/>
        </w:rPr>
        <w:t xml:space="preserve"> The table footnotes and the PPF calibration were patched directly in tables/ and in the scripts, so a re-run reproduces them; no re-run is needed now.</w:t>
      </w:r>
    </w:p>
    <w:p>
      <w:pPr>
        <w:pStyle w:val="ListParagraph"/>
        <w:numPr>
          <w:ilvl w:val="0"/>
          <w:numId w:val="3"/>
        </w:numPr>
        <w:spacing w:after="80" w:line="264"/>
      </w:pPr>
      <w:r>
        <w:rPr>
          <w:rFonts w:ascii="Calibri" w:cs="Calibri" w:eastAsia="Calibri" w:hAnsi="Calibri"/>
          <w:b/>
          <w:bCs/>
          <w:sz w:val="22"/>
          <w:szCs w:val="22"/>
        </w:rPr>
        <w:t xml:space="preserve">P2 is short (53 months)</w:t>
      </w:r>
      <w:r>
        <w:rPr>
          <w:rFonts w:ascii="Calibri" w:cs="Calibri" w:eastAsia="Calibri" w:hAnsi="Calibri"/>
          <w:sz w:val="22"/>
          <w:szCs w:val="22"/>
        </w:rPr>
        <w:t xml:space="preserve"> and the sub-period persistence panels pool 2–3 cohorts; the text flags both. A balanced-panel check of the post-2010 change is listed as the first future-work item; it would strengthen the defense if done before submission.</w:t>
      </w:r>
    </w:p>
    <w:p>
      <w:pPr>
        <w:pStyle w:val="ListParagraph"/>
        <w:numPr>
          <w:ilvl w:val="0"/>
          <w:numId w:val="3"/>
        </w:numPr>
        <w:spacing w:after="80" w:line="264"/>
      </w:pPr>
      <w:r>
        <w:rPr>
          <w:rFonts w:ascii="Calibri" w:cs="Calibri" w:eastAsia="Calibri" w:hAnsi="Calibri"/>
          <w:b/>
          <w:bCs/>
          <w:sz w:val="22"/>
          <w:szCs w:val="22"/>
        </w:rPr>
        <w:t xml:space="preserve">Acknowledgments and CV placeholders</w:t>
      </w:r>
      <w:r>
        <w:rPr>
          <w:rFonts w:ascii="Calibri" w:cs="Calibri" w:eastAsia="Calibri" w:hAnsi="Calibri"/>
          <w:sz w:val="22"/>
          <w:szCs w:val="22"/>
        </w:rPr>
        <w:t xml:space="preserve"> are unchanged.</w:t>
      </w:r>
    </w:p>
    <w:p>
      <w:pPr>
        <w:pStyle w:val="Heading1"/>
        <w:spacing w:after="160" w:before="360"/>
      </w:pPr>
      <w:r>
        <w:rPr>
          <w:rFonts w:ascii="Calibri" w:cs="Calibri" w:eastAsia="Calibri" w:hAnsi="Calibri"/>
        </w:rPr>
        <w:t xml:space="preserve">7. Next steps</w:t>
      </w:r>
    </w:p>
    <w:p>
      <w:pPr>
        <w:spacing w:after="120" w:line="276"/>
      </w:pPr>
      <w:r>
        <w:rPr>
          <w:rFonts w:ascii="Calibri" w:cs="Calibri" w:eastAsia="Calibri" w:hAnsi="Calibri"/>
          <w:sz w:val="22"/>
          <w:szCs w:val="22"/>
        </w:rPr>
        <w:t xml:space="preserve">In RStudio's Terminal (or Git Bash) in D:\TEZ:</w:t>
      </w:r>
    </w:p>
    <w:p>
      <w:pPr>
        <w:spacing w:after="40"/>
      </w:pPr>
      <w:r>
        <w:rPr>
          <w:rFonts w:ascii="Consolas" w:cs="Consolas" w:eastAsia="Consolas" w:hAnsi="Consolas"/>
          <w:sz w:val="20"/>
          <w:szCs w:val="20"/>
        </w:rPr>
        <w:t xml:space="preserve">cd /d/TEZ</w:t>
      </w:r>
    </w:p>
    <w:p>
      <w:pPr>
        <w:spacing w:after="40"/>
      </w:pPr>
      <w:r>
        <w:rPr>
          <w:rFonts w:ascii="Consolas" w:cs="Consolas" w:eastAsia="Consolas" w:hAnsi="Consolas"/>
          <w:sz w:val="20"/>
          <w:szCs w:val="20"/>
        </w:rPr>
        <w:t xml:space="preserve">git add dissertation_main.tex dissertation.bib tables "R scripts"</w:t>
      </w:r>
    </w:p>
    <w:p>
      <w:pPr>
        <w:spacing w:after="40"/>
      </w:pPr>
      <w:r>
        <w:rPr>
          <w:rFonts w:ascii="Consolas" w:cs="Consolas" w:eastAsia="Consolas" w:hAnsi="Consolas"/>
          <w:sz w:val="20"/>
          <w:szCs w:val="20"/>
        </w:rPr>
        <w:t xml:space="preserve">git status</w:t>
      </w:r>
    </w:p>
    <w:p>
      <w:pPr>
        <w:spacing w:after="40"/>
      </w:pPr>
      <w:r>
        <w:rPr>
          <w:rFonts w:ascii="Consolas" w:cs="Consolas" w:eastAsia="Consolas" w:hAnsi="Consolas"/>
          <w:sz w:val="20"/>
          <w:szCs w:val="20"/>
        </w:rPr>
        <w:t xml:space="preserve">git commit -m "Rewrite dissertation for corrected pipeline; Appendix K; footnote and sync fixes"</w:t>
      </w:r>
    </w:p>
    <w:p>
      <w:pPr>
        <w:spacing w:after="40"/>
      </w:pPr>
      <w:r>
        <w:rPr>
          <w:rFonts w:ascii="Consolas" w:cs="Consolas" w:eastAsia="Consolas" w:hAnsi="Consolas"/>
          <w:sz w:val="20"/>
          <w:szCs w:val="20"/>
        </w:rPr>
        <w:t xml:space="preserve">git pull --no-rebase</w:t>
      </w:r>
    </w:p>
    <w:p>
      <w:pPr>
        <w:spacing w:after="40"/>
      </w:pPr>
      <w:r>
        <w:rPr>
          <w:rFonts w:ascii="Consolas" w:cs="Consolas" w:eastAsia="Consolas" w:hAnsi="Consolas"/>
          <w:sz w:val="20"/>
          <w:szCs w:val="20"/>
        </w:rPr>
        <w:t xml:space="preserve">git push</w:t>
      </w:r>
    </w:p>
    <w:p>
      <w:pPr>
        <w:spacing w:after="120" w:line="276"/>
      </w:pPr>
      <w:r>
        <w:rPr>
          <w:rFonts w:ascii="Calibri" w:cs="Calibri" w:eastAsia="Calibri" w:hAnsi="Calibri"/>
          <w:sz w:val="22"/>
          <w:szCs w:val="22"/>
        </w:rPr>
        <w:t xml:space="preserve">Then pull into Overleaf and compile. If Overleaf has edits you made after 18:39 today, the pull merges them; check dissertation_main.tex for conflict markers before compiling.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Audit and Revision of Results</dc:title>
  <dc:creator>Claude</dc:creator>
  <cp:lastModifiedBy>Un-named</cp:lastModifiedBy>
  <cp:revision>1</cp:revision>
  <dcterms:created xsi:type="dcterms:W3CDTF">2026-10-07T16:31:10.725Z</dcterms:created>
  <dcterms:modified xsi:type="dcterms:W3CDTF">2026-10-07T16:31:10.739Z</dcterms:modified>
</cp:coreProperties>
</file>

<file path=docProps/custom.xml><?xml version="1.0" encoding="utf-8"?>
<Properties xmlns="http://schemas.openxmlformats.org/officeDocument/2006/custom-properties" xmlns:vt="http://schemas.openxmlformats.org/officeDocument/2006/docPropsVTypes"/>
</file>