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53B0" w:rsidRPr="00B253B0" w:rsidRDefault="00B253B0" w:rsidP="00B253B0">
      <w:pPr>
        <w:spacing w:after="100" w:afterAutospacing="1"/>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 xml:space="preserve">The bootstrapping technique used by Fama and French (2010) remains a foundational and widely respected method in 2026, though whether it is the "best" depends on your specific research objective. It is particularly valued for its ability to handle </w:t>
      </w:r>
      <w:r w:rsidRPr="00B253B0">
        <w:rPr>
          <w:rFonts w:ascii="Arial" w:eastAsia="Times New Roman" w:hAnsi="Arial" w:cs="Arial"/>
          <w:b/>
          <w:bCs/>
          <w:kern w:val="0"/>
          <w:lang w:eastAsia="tr-TR"/>
          <w14:ligatures w14:val="none"/>
        </w:rPr>
        <w:t>cross-sectional dependencies</w:t>
      </w:r>
      <w:r w:rsidRPr="00B253B0">
        <w:rPr>
          <w:rFonts w:ascii="Arial" w:eastAsia="Times New Roman" w:hAnsi="Arial" w:cs="Arial"/>
          <w:kern w:val="0"/>
          <w:lang w:eastAsia="tr-TR"/>
          <w14:ligatures w14:val="none"/>
        </w:rPr>
        <w:t>, but newer alternatives have emerged that address its limitations regarding time-varying skill and the "multiple testing" problem.</w:t>
      </w:r>
    </w:p>
    <w:p w:rsidR="00B253B0" w:rsidRPr="00B253B0" w:rsidRDefault="00B253B0" w:rsidP="00B253B0">
      <w:pPr>
        <w:spacing w:after="100" w:afterAutospacing="1"/>
        <w:outlineLvl w:val="2"/>
        <w:rPr>
          <w:rFonts w:ascii="Arial" w:eastAsia="Times New Roman" w:hAnsi="Arial" w:cs="Arial"/>
          <w:b/>
          <w:bCs/>
          <w:kern w:val="0"/>
          <w:sz w:val="27"/>
          <w:szCs w:val="27"/>
          <w:lang w:eastAsia="tr-TR"/>
          <w14:ligatures w14:val="none"/>
        </w:rPr>
      </w:pPr>
      <w:r w:rsidRPr="00B253B0">
        <w:rPr>
          <w:rFonts w:ascii="Arial" w:eastAsia="Times New Roman" w:hAnsi="Arial" w:cs="Arial"/>
          <w:b/>
          <w:bCs/>
          <w:kern w:val="0"/>
          <w:sz w:val="27"/>
          <w:szCs w:val="27"/>
          <w:lang w:eastAsia="tr-TR"/>
          <w14:ligatures w14:val="none"/>
        </w:rPr>
        <w:t>The Fama &amp; French (2010) Technique</w:t>
      </w:r>
    </w:p>
    <w:p w:rsidR="00B253B0" w:rsidRPr="00B253B0" w:rsidRDefault="00B253B0" w:rsidP="00B253B0">
      <w:pPr>
        <w:spacing w:after="100" w:afterAutospacing="1"/>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 xml:space="preserve">The core of their approach is a </w:t>
      </w:r>
      <w:r w:rsidRPr="00B253B0">
        <w:rPr>
          <w:rFonts w:ascii="Arial" w:eastAsia="Times New Roman" w:hAnsi="Arial" w:cs="Arial"/>
          <w:b/>
          <w:bCs/>
          <w:kern w:val="0"/>
          <w:lang w:eastAsia="tr-TR"/>
          <w14:ligatures w14:val="none"/>
        </w:rPr>
        <w:t>joint-sampling cross-sectional bootstrap</w:t>
      </w:r>
      <w:r w:rsidRPr="00B253B0">
        <w:rPr>
          <w:rFonts w:ascii="Arial" w:eastAsia="Times New Roman" w:hAnsi="Arial" w:cs="Arial"/>
          <w:kern w:val="0"/>
          <w:lang w:eastAsia="tr-TR"/>
          <w14:ligatures w14:val="none"/>
        </w:rPr>
        <w:t>. Instead of bootstrapping each fund’s returns independently, they resample entire "rows" (dates) of data. This means that for any given simulated month, they use the actual returns and factor data for all funds from a single historical month.</w:t>
      </w:r>
    </w:p>
    <w:p w:rsidR="00B253B0" w:rsidRPr="00B253B0" w:rsidRDefault="00B253B0" w:rsidP="00B253B0">
      <w:pPr>
        <w:numPr>
          <w:ilvl w:val="0"/>
          <w:numId w:val="1"/>
        </w:numPr>
        <w:spacing w:after="100" w:afterAutospacing="1"/>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Key Advantage:</w:t>
      </w:r>
      <w:r w:rsidRPr="00B253B0">
        <w:rPr>
          <w:rFonts w:ascii="Arial" w:eastAsia="Times New Roman" w:hAnsi="Arial" w:cs="Arial"/>
          <w:kern w:val="0"/>
          <w:lang w:eastAsia="tr-TR"/>
          <w14:ligatures w14:val="none"/>
        </w:rPr>
        <w:t xml:space="preserve"> It preserves the </w:t>
      </w:r>
      <w:r w:rsidRPr="00B253B0">
        <w:rPr>
          <w:rFonts w:ascii="Arial" w:eastAsia="Times New Roman" w:hAnsi="Arial" w:cs="Arial"/>
          <w:b/>
          <w:bCs/>
          <w:kern w:val="0"/>
          <w:lang w:eastAsia="tr-TR"/>
          <w14:ligatures w14:val="none"/>
        </w:rPr>
        <w:t>cross-correlation</w:t>
      </w:r>
      <w:r w:rsidRPr="00B253B0">
        <w:rPr>
          <w:rFonts w:ascii="Arial" w:eastAsia="Times New Roman" w:hAnsi="Arial" w:cs="Arial"/>
          <w:kern w:val="0"/>
          <w:lang w:eastAsia="tr-TR"/>
          <w14:ligatures w14:val="none"/>
        </w:rPr>
        <w:t xml:space="preserve"> of fund returns and the relationship between factor and residual volatilities. If many funds are making the same "idiosyncratic" bets, Fama and French’s method correctly accounts for this, preventing "luck" from being mistaken for widespread "skill".</w:t>
      </w:r>
    </w:p>
    <w:p w:rsidR="00B253B0" w:rsidRPr="00B253B0" w:rsidRDefault="00B253B0" w:rsidP="00B253B0">
      <w:pPr>
        <w:numPr>
          <w:ilvl w:val="0"/>
          <w:numId w:val="1"/>
        </w:numPr>
        <w:spacing w:after="100" w:afterAutospacing="1"/>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The Findings:</w:t>
      </w:r>
      <w:r w:rsidRPr="00B253B0">
        <w:rPr>
          <w:rFonts w:ascii="Arial" w:eastAsia="Times New Roman" w:hAnsi="Arial" w:cs="Arial"/>
          <w:kern w:val="0"/>
          <w:lang w:eastAsia="tr-TR"/>
          <w14:ligatures w14:val="none"/>
        </w:rPr>
        <w:t xml:space="preserve"> Using this method, they found that once costs are accounted for, the vast majority of active managers lack sufficient skill to produce positive alpha; the few that do are virtually indistinguishable from the "lucky" tail of a zero-alpha distribution.</w:t>
      </w:r>
    </w:p>
    <w:p w:rsidR="00B253B0" w:rsidRPr="00B253B0" w:rsidRDefault="00841AD6" w:rsidP="00B253B0">
      <w:pPr>
        <w:rPr>
          <w:rFonts w:ascii="Times New Roman" w:eastAsia="Times New Roman" w:hAnsi="Times New Roman" w:cs="Times New Roman"/>
          <w:kern w:val="0"/>
          <w:lang w:eastAsia="tr-TR"/>
          <w14:ligatures w14:val="none"/>
        </w:rPr>
      </w:pPr>
      <w:r w:rsidRPr="00841AD6">
        <w:rPr>
          <w:rFonts w:ascii="Times New Roman" w:eastAsia="Times New Roman" w:hAnsi="Times New Roman" w:cs="Times New Roman"/>
          <w:noProof/>
          <w:kern w:val="0"/>
          <w:lang w:eastAsia="tr-TR"/>
        </w:rPr>
        <w:pict>
          <v:rect id="_x0000_i1025" alt="" style="width:453.6pt;height:.05pt;mso-width-percent:0;mso-height-percent:0;mso-width-percent:0;mso-height-percent:0" o:hralign="center" o:hrstd="t" o:hr="t" fillcolor="#a0a0a0" stroked="f"/>
        </w:pict>
      </w:r>
    </w:p>
    <w:p w:rsidR="00B253B0" w:rsidRPr="00B253B0" w:rsidRDefault="00B253B0" w:rsidP="00B253B0">
      <w:pPr>
        <w:spacing w:after="100" w:afterAutospacing="1"/>
        <w:outlineLvl w:val="2"/>
        <w:rPr>
          <w:rFonts w:ascii="Arial" w:eastAsia="Times New Roman" w:hAnsi="Arial" w:cs="Arial"/>
          <w:b/>
          <w:bCs/>
          <w:kern w:val="0"/>
          <w:sz w:val="27"/>
          <w:szCs w:val="27"/>
          <w:lang w:eastAsia="tr-TR"/>
          <w14:ligatures w14:val="none"/>
        </w:rPr>
      </w:pPr>
      <w:r w:rsidRPr="00B253B0">
        <w:rPr>
          <w:rFonts w:ascii="Arial" w:eastAsia="Times New Roman" w:hAnsi="Arial" w:cs="Arial"/>
          <w:b/>
          <w:bCs/>
          <w:kern w:val="0"/>
          <w:sz w:val="27"/>
          <w:szCs w:val="27"/>
          <w:lang w:eastAsia="tr-TR"/>
          <w14:ligatures w14:val="none"/>
        </w:rPr>
        <w:t>Key Alternatives and Modern Advancements</w:t>
      </w:r>
    </w:p>
    <w:p w:rsidR="00B253B0" w:rsidRPr="00B253B0" w:rsidRDefault="00B253B0" w:rsidP="00B253B0">
      <w:pPr>
        <w:spacing w:after="100" w:afterAutospacing="1"/>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 xml:space="preserve">While Fama and French focus on the </w:t>
      </w:r>
      <w:r w:rsidRPr="00B253B0">
        <w:rPr>
          <w:rFonts w:ascii="Arial" w:eastAsia="Times New Roman" w:hAnsi="Arial" w:cs="Arial"/>
          <w:i/>
          <w:iCs/>
          <w:kern w:val="0"/>
          <w:lang w:eastAsia="tr-TR"/>
          <w14:ligatures w14:val="none"/>
        </w:rPr>
        <w:t>entire distribution</w:t>
      </w:r>
      <w:r w:rsidRPr="00B253B0">
        <w:rPr>
          <w:rFonts w:ascii="Arial" w:eastAsia="Times New Roman" w:hAnsi="Arial" w:cs="Arial"/>
          <w:kern w:val="0"/>
          <w:lang w:eastAsia="tr-TR"/>
          <w14:ligatures w14:val="none"/>
        </w:rPr>
        <w:t xml:space="preserve"> of performance, other methods have been developed to provide more granular counts of skilled versus unskilled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2987"/>
        <w:gridCol w:w="4357"/>
      </w:tblGrid>
      <w:tr w:rsidR="00B253B0" w:rsidRPr="00B253B0" w:rsidTr="00B253B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Core Difference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Key Benefit/Trade-off</w:t>
            </w:r>
          </w:p>
        </w:tc>
      </w:tr>
      <w:tr w:rsidR="00B253B0" w:rsidRPr="00B253B0" w:rsidTr="00B253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Kosowski et al. (2006)</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Independent bootstrap for each fund.</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Preserves the exact sample length for every fund but ignores cross-fund correlations, which Fama and French argue leads to an overestimation of skill.</w:t>
            </w:r>
          </w:p>
        </w:tc>
      </w:tr>
      <w:tr w:rsidR="00B253B0" w:rsidRPr="00B253B0" w:rsidTr="00B253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False Discovery Rate (FDR)</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 xml:space="preserve">Uses p-values to estimate the </w:t>
            </w:r>
            <w:r w:rsidRPr="00B253B0">
              <w:rPr>
                <w:rFonts w:ascii="Arial" w:eastAsia="Times New Roman" w:hAnsi="Arial" w:cs="Arial"/>
                <w:i/>
                <w:iCs/>
                <w:kern w:val="0"/>
                <w:lang w:eastAsia="tr-TR"/>
                <w14:ligatures w14:val="none"/>
              </w:rPr>
              <w:t>proportion</w:t>
            </w:r>
            <w:r w:rsidRPr="00B253B0">
              <w:rPr>
                <w:rFonts w:ascii="Arial" w:eastAsia="Times New Roman" w:hAnsi="Arial" w:cs="Arial"/>
                <w:kern w:val="0"/>
                <w:lang w:eastAsia="tr-TR"/>
                <w14:ligatures w14:val="none"/>
              </w:rPr>
              <w:t xml:space="preserve"> of skilled, unskilled, and zero-alpha funds.</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Developed by Barras, Scaillet, and Wermers (2010), it is much simpler to implement and provides a direct estimate (e.g., "only 2% of funds are truly skilled").</w:t>
            </w:r>
          </w:p>
        </w:tc>
      </w:tr>
      <w:tr w:rsidR="00B253B0" w:rsidRPr="00B253B0" w:rsidTr="00B253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Time-Varying Alphas</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Nonparametric models that allow skill to change over time (e.g., 2018/2025 research).</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Recognizes that a manager's skill might not be permanent, addressing a critique of the Fama-French "permanent alpha" assumption.</w:t>
            </w:r>
          </w:p>
        </w:tc>
      </w:tr>
      <w:tr w:rsidR="00B253B0" w:rsidRPr="00B253B0" w:rsidTr="00B253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t>$fFDR^+$ (2024)</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Incorporates fund-specific characteristics (size, age, etc.) into the FDR.</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Gains statistical power by recognizing that "skill" may correlate with measurable fund traits, reducing "data-snooping" bias.</w:t>
            </w:r>
          </w:p>
        </w:tc>
      </w:tr>
      <w:tr w:rsidR="00B253B0" w:rsidRPr="00B253B0" w:rsidTr="00B253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b/>
                <w:bCs/>
                <w:kern w:val="0"/>
                <w:lang w:eastAsia="tr-TR"/>
                <w14:ligatures w14:val="none"/>
              </w:rPr>
              <w:lastRenderedPageBreak/>
              <w:t>Rolling Window Bootstrap (2026)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Resamples residuals within rolling windows.</w:t>
            </w:r>
          </w:p>
        </w:tc>
        <w:tc>
          <w:tcPr>
            <w:tcW w:w="0" w:type="auto"/>
            <w:tcBorders>
              <w:top w:val="single" w:sz="6" w:space="0" w:color="auto"/>
              <w:left w:val="single" w:sz="6" w:space="0" w:color="auto"/>
              <w:bottom w:val="single" w:sz="6" w:space="0" w:color="auto"/>
              <w:right w:val="single" w:sz="6" w:space="0" w:color="auto"/>
            </w:tcBorders>
            <w:vAlign w:val="center"/>
            <w:hideMark/>
          </w:tcPr>
          <w:p w:rsidR="00B253B0" w:rsidRPr="00B253B0" w:rsidRDefault="00B253B0" w:rsidP="00B253B0">
            <w:pPr>
              <w:rPr>
                <w:rFonts w:ascii="Arial" w:eastAsia="Times New Roman" w:hAnsi="Arial" w:cs="Arial"/>
                <w:kern w:val="0"/>
                <w:lang w:eastAsia="tr-TR"/>
                <w14:ligatures w14:val="none"/>
              </w:rPr>
            </w:pPr>
            <w:r w:rsidRPr="00B253B0">
              <w:rPr>
                <w:rFonts w:ascii="Arial" w:eastAsia="Times New Roman" w:hAnsi="Arial" w:cs="Arial"/>
                <w:kern w:val="0"/>
                <w:lang w:eastAsia="tr-TR"/>
                <w14:ligatures w14:val="none"/>
              </w:rPr>
              <w:t>Captures temporal shifts in performance and "episodic strength" rather than assuming sustained skil</w:t>
            </w:r>
          </w:p>
        </w:tc>
      </w:tr>
    </w:tbl>
    <w:p w:rsidR="00B253B0" w:rsidRDefault="00B253B0"/>
    <w:sectPr w:rsidR="00B253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1C2DAC"/>
    <w:multiLevelType w:val="multilevel"/>
    <w:tmpl w:val="AB12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56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B0"/>
    <w:rsid w:val="00841AD6"/>
    <w:rsid w:val="00B253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EDEDF6-6F3C-6940-9F0C-BDDDE5263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B253B0"/>
    <w:pPr>
      <w:spacing w:before="100" w:beforeAutospacing="1" w:after="100" w:afterAutospacing="1"/>
      <w:outlineLvl w:val="2"/>
    </w:pPr>
    <w:rPr>
      <w:rFonts w:ascii="Times New Roman" w:eastAsia="Times New Roman" w:hAnsi="Times New Roman" w:cs="Times New Roman"/>
      <w:b/>
      <w:bCs/>
      <w:kern w:val="0"/>
      <w:sz w:val="27"/>
      <w:szCs w:val="27"/>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B253B0"/>
    <w:rPr>
      <w:rFonts w:ascii="Times New Roman" w:eastAsia="Times New Roman" w:hAnsi="Times New Roman" w:cs="Times New Roman"/>
      <w:b/>
      <w:bCs/>
      <w:kern w:val="0"/>
      <w:sz w:val="27"/>
      <w:szCs w:val="27"/>
      <w:lang w:eastAsia="tr-TR"/>
      <w14:ligatures w14:val="none"/>
    </w:rPr>
  </w:style>
  <w:style w:type="paragraph" w:styleId="NormalWeb">
    <w:name w:val="Normal (Web)"/>
    <w:basedOn w:val="Normal"/>
    <w:uiPriority w:val="99"/>
    <w:semiHidden/>
    <w:unhideWhenUsed/>
    <w:rsid w:val="00B253B0"/>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B253B0"/>
    <w:rPr>
      <w:b/>
      <w:bCs/>
    </w:rPr>
  </w:style>
  <w:style w:type="character" w:customStyle="1" w:styleId="math-inline">
    <w:name w:val="math-inline"/>
    <w:basedOn w:val="VarsaylanParagrafYazTipi"/>
    <w:rsid w:val="00B25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00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Eren</dc:creator>
  <cp:keywords/>
  <dc:description/>
  <cp:lastModifiedBy>Ömer Eren</cp:lastModifiedBy>
  <cp:revision>1</cp:revision>
  <dcterms:created xsi:type="dcterms:W3CDTF">2026-03-27T18:11:00Z</dcterms:created>
  <dcterms:modified xsi:type="dcterms:W3CDTF">2026-03-27T18:11:00Z</dcterms:modified>
</cp:coreProperties>
</file>