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1  INTRODUCTION</w:t>
      </w:r>
    </w:p>
    <w:p>
      <w:pPr>
        <w:spacing w:line="480" w:lineRule="auto"/>
        <w:ind w:firstLine="720"/>
      </w:pPr>
      <w:r>
        <w:rPr>
          <w:rFonts w:ascii="Times New Roman" w:cs="Times New Roman" w:eastAsia="Times New Roman" w:hAnsi="Times New Roman"/>
          <w:b w:val="false"/>
          <w:bCs w:val="false"/>
          <w:i/>
          <w:iCs/>
          <w:sz w:val="24"/>
          <w:szCs w:val="24"/>
        </w:rPr>
        <w:t xml:space="preserve">[WRITING NOTE: JoF-style introduction, 4-6 pages. Front-load results. The reader should finish knowing your question, main findings, contribution, and empirical strategy. Write/heavily revise last once behavioural results are complete. Numbers below come from your actual results PDF.]</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pPr>
      <w:r>
        <w:rPr>
          <w:rFonts w:ascii="Times New Roman" w:cs="Times New Roman" w:eastAsia="Times New Roman" w:hAnsi="Times New Roman"/>
          <w:b w:val="false"/>
          <w:bCs w:val="false"/>
          <w:i w:val="false"/>
          <w:iCs w:val="false"/>
          <w:sz w:val="24"/>
          <w:szCs w:val="24"/>
        </w:rPr>
        <w:t xml:space="preserve">The global actively managed equity fund industry manages trillions of dollars in assets despite a body of evidence spanning more than five decades showing that actively managed funds, in aggregate, fail to generate positive risk-adjusted returns net of fees. This paradox — termed "another puzzle" by Gruber (1996) — lies at the centre of one of the most enduring debates in financial economics: why do investors continue to allocate capital to active management when its aggregate outcome is mathematically guaranteed by the arithmetic of Sharpe (1991) to disappoint?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leading rational explanation is the equilibrium model of Berk and Green (2004). In their framework, skilled managers attract capital until scale erodes their edge, driving every fund's net expected alpha to zero in a competitive market. Our full-period results are consistent with this benchmark. Across approximately 2,000 active US equity mutual funds in the 1995-2023 Trimmed (Evans-corrected) panel, the value-weighted net alpha is -0.04% per year — statistically indistinguishable from zero, exactly the Berk-Green prediction. The equal-weighted net alpha is -1.78% per year, consistent with a larger cost drag borne by smaller funds. A Fama and French (2010) bootstrap of the cross-sectional t-statistic distribution reveals that 80.8% of active funds earn a true zero alpha, approximately 14% are genuinely unskilled, and fewer than 1% are genuinely skilled. Critically, left-tail underperformance is significantly worse than bad luck alone would generate, while right-tail outperformance is statistically consistent with zero skill.</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Beyond the aggregate, alpha exhibits pronounced time variation. A Bai-Perron structural break test on the time series of rolling 36-month active fund gross alpha identifies a clean break in November 2011, marking the onset of a persistent alpha compression regime. Before this date, aggregate active alpha oscillated around zero or mildly positive values; after it, gross alpha is consistently and significantly negative at the equal-weighted level. This break coincides with the structural rise of passive investing, consistent with the industry-level diseconomies of scale of Pastor, Stambaugh, and Taylor (2015).</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[RESULTS PREVIEW — BEHAVIOURAL TESTS: Insert 3-4 sentences once the sentiment-convexity, illusion-of-control, and skewness-preference regressions are complete. Example: "We find evidence consistent with the sentiment-convexity hypothesis: the flow response to performance rank is amplified during high-sentiment periods, particularly for high-activeness funds. The illusion-of-control and skewness-preference hypotheses [find/do not find] empirical support..."]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contribution of this thesis is threefold. First, it provides a comprehensive characterisation of the cross-sectional distribution of alpha in a large US equity mutual fund sample through the Fama-French bootstrap, BSW false-discovery decomposition, and Bai-Perron structural break analysis, using LSEG Refinitiv Workspace data rather than CRSP. Second, it documents a clean structural break in aggregate fund performance at November 2011, providing new evidence on the temporal dimension of the active management puzzle. Third, it simultaneously tests three behavioural hypotheses — sentiment-convexity, illusion of control, and skewness preference — in a unified framework anchored by the Berk-Green rational benchmark, using the return-based Amihud-Goyenko (2013) R²-based activeness proxy that requires no holdings data.</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1.1  Background and motivation</w:t>
      </w:r>
    </w:p>
    <w:p>
      <w:pPr>
        <w:spacing w:line="480" w:lineRule="auto"/>
        <w:ind/>
      </w:pPr>
      <w:r>
        <w:rPr>
          <w:rFonts w:ascii="Times New Roman" w:cs="Times New Roman" w:eastAsia="Times New Roman" w:hAnsi="Times New Roman"/>
          <w:b w:val="false"/>
          <w:bCs w:val="false"/>
          <w:i w:val="false"/>
          <w:iCs w:val="false"/>
          <w:sz w:val="24"/>
          <w:szCs w:val="24"/>
        </w:rPr>
        <w:t xml:space="preserve">[Insert: scale of the active fund industry (ICI/Morningstar statistics, most recent year), persistence of flows despite underperformance, and the two explanatory paradigms: rational equilibrium vs. behavioural.]</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Scale of the active management industry: [AUM, fund count, share of total equity mutual fund assets — source from ICI 2023/2024 or Morningstar.]</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The aggregate underperformance record: Jensen (1968) through Fama-French (2010) — 50 years of consistent evidence.</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The Berk-Green (2004) reframing: zero net alpha is the equilibrium prediction, not evidence of investor or managerial failure.</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The behavioural alternative: systematic cognitive biases in performance evaluation, manager quality assessment, and return expectations may generate allocation patterns inconsistent with full rationality.</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Why testing both simultaneously matters: behavioural tests must control for rational flow behaviour; claims about the BG equilibrium must acknowledge investor heterogeneity.</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1.2  Research questions and contributions</w:t>
      </w:r>
    </w:p>
    <w:p>
      <w:pPr>
        <w:spacing w:line="480" w:lineRule="auto"/>
        <w:ind/>
      </w:pPr>
      <w:r>
        <w:rPr>
          <w:rFonts w:ascii="Times New Roman" w:cs="Times New Roman" w:eastAsia="Times New Roman" w:hAnsi="Times New Roman"/>
          <w:b w:val="false"/>
          <w:bCs w:val="false"/>
          <w:i w:val="false"/>
          <w:iCs w:val="false"/>
          <w:sz w:val="24"/>
          <w:szCs w:val="24"/>
        </w:rPr>
        <w:t xml:space="preserve">This thesis addresses four interconnected research questions: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RQ1: What is the cross-sectional distribution of alpha in US equity mutual funds over 1995-2023, and how does it compare to the BSW-FF skill-luck benchmarks?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RQ2: Does the flow-performance sensitivity vary with aggregate investor sentiment in ways consistent with the sentiment-convexity hypothesis, distinct from the rational convexity of Sirri and Tufano (1998)?</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RQ3: Do investors allocate capital to active funds in proportion to fund activeness independently of risk-adjusted returns, consistent with an illusion of control?</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RQ4: Is there a systematic preference for positively skewed fund return distributions that attracts flows irrespective of expected alpha?</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1.3  Structure of the thesis</w:t>
      </w:r>
    </w:p>
    <w:p>
      <w:pPr>
        <w:spacing w:line="480" w:lineRule="auto"/>
        <w:ind/>
      </w:pPr>
      <w:r>
        <w:rPr>
          <w:rFonts w:ascii="Times New Roman" w:cs="Times New Roman" w:eastAsia="Times New Roman" w:hAnsi="Times New Roman"/>
          <w:b w:val="false"/>
          <w:bCs w:val="false"/>
          <w:i w:val="false"/>
          <w:iCs w:val="false"/>
          <w:sz w:val="24"/>
          <w:szCs w:val="24"/>
        </w:rPr>
        <w:t xml:space="preserve">The remainder of this thesis is organised as follows. Chapter 2 surveys the literature on active management, performance measurement, fund flows, and behavioural explanations, culminating in the formal hypotheses. Chapter 3 describes the data, sample construction, variable definitions, and descriptive statistics. Chapter 4 develops the methodology: alpha estimation, the Fama-French bootstrap, the BSW decomposition, structural break analysis, and the flow-performance regression framework for the behavioural tests. Chapter 5 reports and interprets the main empirical results. Chapter 6 presents robustness tests. Chapter 7 concludes.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2  LITERATURE REVIEW</w:t>
      </w:r>
    </w:p>
    <w:p>
      <w:pPr>
        <w:spacing w:line="480" w:lineRule="auto"/>
        <w:ind w:firstLine="720"/>
      </w:pPr>
      <w:r>
        <w:rPr>
          <w:rFonts w:ascii="Times New Roman" w:cs="Times New Roman" w:eastAsia="Times New Roman" w:hAnsi="Times New Roman"/>
          <w:b w:val="false"/>
          <w:bCs w:val="false"/>
          <w:i/>
          <w:iCs/>
          <w:sz w:val="24"/>
          <w:szCs w:val="24"/>
        </w:rPr>
        <w:t xml:space="preserve">[WRITING NOTE: 25-40 pages. Argumentative, not encyclopaedic. Every paper earns its place. The argument builds step-by-step to the gap and ends with hypotheses. Do not call the last section "Gap in the literature" — the gap should be self-evident from the argument.]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pPr>
      <w:r>
        <w:rPr>
          <w:rFonts w:ascii="Times New Roman" w:cs="Times New Roman" w:eastAsia="Times New Roman" w:hAnsi="Times New Roman"/>
          <w:b w:val="false"/>
          <w:bCs w:val="false"/>
          <w:i w:val="false"/>
          <w:iCs w:val="false"/>
          <w:sz w:val="24"/>
          <w:szCs w:val="24"/>
        </w:rPr>
        <w:t xml:space="preserve">This chapter traces the intellectual development of the active management debate, from the arithmetic foundations of Sharpe (1991) and the early evidence of Jensen (1968), through the multi-factor revolution, the Berk-Green (2004) equilibrium reframing, and the statistical advances of BSW (2010) and Fama-French (2010), to the industry-level dynamics of Pastor, Stambaugh, and Taylor (2015) and the most recent evidence on skill heterogeneity and value creation. The chapter concludes by identifying the research gap and stating the formal hypotheses to be tested.</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2.1  The arithmetic of active management</w:t>
      </w:r>
    </w:p>
    <w:p>
      <w:pPr>
        <w:spacing w:line="480" w:lineRule="auto"/>
        <w:ind/>
      </w:pPr>
      <w:r>
        <w:rPr>
          <w:rFonts w:ascii="Times New Roman" w:cs="Times New Roman" w:eastAsia="Times New Roman" w:hAnsi="Times New Roman"/>
          <w:b w:val="false"/>
          <w:bCs w:val="false"/>
          <w:i w:val="false"/>
          <w:iCs w:val="false"/>
          <w:sz w:val="24"/>
          <w:szCs w:val="24"/>
        </w:rPr>
        <w:t xml:space="preserve">The intellectual starting point for any analysis of active fund management is the arithmetic identity established by Sharpe (1991). In any period, the aggregate return earned by all actively managed dollars, before costs, must equal the market return — because active investors collectively hold the market. This is not an empirical claim but a mathematical identity derived from market clearing. After management fees, transaction costs, and administrative expenses, the average actively managed dollar must underperform a passive strategy by the magnitude of those costs.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importance of Sharpe's (1991) identity is that it sets the correct prior against which aggregate performance evidence must be assessed. Any individual active manager who outperforms is necessarily offset by another who underperforms by the same amount. The puzzle is therefore not that average active performance is negative after costs — the arithmetic guarantees this — but that investors persistently direct capital toward an activity whose aggregate outcome is predictable ex ante.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Complementing this arithmetic, the Grossman-Stiglitz (1980) information paradox provides the microeconomic rationale for why active management must nonetheless exist. If all investors were passive, prices would not reflect costly information, creating profits for informed traders. In equilibrium, active managers must earn returns sufficient to cover their information costs, implying that passive strategies earn slightly less than the market. This paradox establishes that active management is socially necessary even if it is, on net, a transfer from uninformed to informed investors — and it frames the normative question raised by this thesis: are investors paying the right amount for active management, or are behavioural biases causing them to overpay?</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2.2  Early evidence on fund performance</w:t>
      </w:r>
    </w:p>
    <w:p>
      <w:pPr>
        <w:spacing w:line="480" w:lineRule="auto"/>
        <w:ind/>
      </w:pPr>
      <w:r>
        <w:rPr>
          <w:rFonts w:ascii="Times New Roman" w:cs="Times New Roman" w:eastAsia="Times New Roman" w:hAnsi="Times New Roman"/>
          <w:b w:val="false"/>
          <w:bCs w:val="false"/>
          <w:i w:val="false"/>
          <w:iCs w:val="false"/>
          <w:sz w:val="24"/>
          <w:szCs w:val="24"/>
        </w:rPr>
        <w:t xml:space="preserve">The empirical study of fund performance begins with Jensen (1968), who examined 115 US equity mutual funds over 1945-1964 and found that the average fund earned negative CAPM alpha net of expenses. This finding, replicated in virtually every subsequent large-sample study, established the empirical baseline for the active management debate.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Malkiel (1995) extended the evidence to 1971-1991, confirming that the average fund underperformed the S&amp;P 500 by approximately one percentage point per year net of costs. Brown, Goetzmann, Ibbotson, and Ross (1992) documented that databases excluding defunct funds overstate average performance due to survivorship bias. Elton, Gruber, Das, and Hlavka (1993) showed that failure to account for small-cap and bond risk premia generates spurious positive alphas, underscoring the importance of appropriate benchmarking. Our own analysis explicitly addresses survivorship bias by constructing panels inclusive of liquidated funds, and by applying the Evans (2010) incubation correction to remove the early return histories artificially inflated by fund family selection.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Gruber (1996) introduced a conceptual distinction with direct implications for our research: despite documented aggregate underperformance, net assets in actively managed funds were growing. Gruber proposed a heterogeneous investor population — sophisticated "smart money" investors who correctly anticipate outperformers alongside "disadvantaged" investors who are slow to reallocate away from underperformers. This distinction between informed and uninformed investor flows is the conceptual ancestor of the behavioural hypotheses we test.</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2.3  Multi-factor models and the evolving performance benchmark</w:t>
      </w:r>
    </w:p>
    <w:p>
      <w:pPr>
        <w:spacing w:line="480" w:lineRule="auto"/>
        <w:ind/>
      </w:pPr>
      <w:r>
        <w:rPr>
          <w:rFonts w:ascii="Times New Roman" w:cs="Times New Roman" w:eastAsia="Times New Roman" w:hAnsi="Times New Roman"/>
          <w:b w:val="false"/>
          <w:bCs w:val="false"/>
          <w:i w:val="false"/>
          <w:iCs w:val="false"/>
          <w:sz w:val="24"/>
          <w:szCs w:val="24"/>
        </w:rPr>
        <w:t xml:space="preserve">The central methodological development in fund performance research was the progressive enrichment of the risk-adjustment benchmark. Jensen's (1968) single-factor CAPM framework left substantial cross-sectional variation in fund returns misattributed to skill. Fama and French (1993) introduced the three-factor model — adding size (SMB) and value (HML) factors — and demonstrated that systematic tilts toward small-cap and value stocks explained much of the apparent alpha in single-factor studies.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Carhart (1997) completed the benchmark evolution by adding the momentum factor (UMD), based on the return-continuation anomaly of Jegadeesh and Titman (1993). The Carhart four-factor model revealed that the "hot hands" performance persistence documented by Hendricks, Patel, and Zeckhauser (1993) was almost entirely attributable to momentum — past winners simply held stocks that had recently risen, not evidence of repeatable skill. After controlling for momentum, persistence largely disappears. The four-factor Carhart model is the primary benchmark throughout this thesis, consistent with the mainstream performance literature and ensuring direct comparability with BSW (2010), Fama-French (2010), and PST (2015).</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Wermers (2000) provided the most detailed decomposition of net fund returns in the literature. Using quarterly holdings data, he attributed fund net returns to: (i) stock-picking ability (gross positive, approximately +1.3% per year); (ii) trading costs (approximately -0.8%); (iii) expense ratios (approximately -1.0%); and (iv) the drag from non-equity holdings. The implication is that managers do add value at the gross level, but fees and costs fully eliminate this value for the end investor. This decomposition framework motivates the four-way return decomposition we implement in Chapter 4. Our own results for the fee quintile sort (Table 13) powerfully confirm the Wermers insight: the highest-fee quintile underperforms the lowest by -1.47% per year (Carhart alpha, t = -5.81), making fees the single strongest cross-sectional predictor of net performance in our sample.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[NOTE: Briefly discuss Fama-French five-factor model (2015) and why we retain Carhart: incremental power over Carhart in US equity mutual fund returns is modest, and Carhart preserves comparability with our key benchmarks. Acknowledge the FF5 as a robustness check.]</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2.4  The persistence debate</w:t>
      </w:r>
    </w:p>
    <w:p>
      <w:pPr>
        <w:spacing w:line="480" w:lineRule="auto"/>
        <w:ind/>
      </w:pPr>
      <w:r>
        <w:rPr>
          <w:rFonts w:ascii="Times New Roman" w:cs="Times New Roman" w:eastAsia="Times New Roman" w:hAnsi="Times New Roman"/>
          <w:b w:val="false"/>
          <w:bCs w:val="false"/>
          <w:i w:val="false"/>
          <w:iCs w:val="false"/>
          <w:sz w:val="24"/>
          <w:szCs w:val="24"/>
        </w:rPr>
        <w:t xml:space="preserve">Hendricks, Patel, and Zeckhauser (1993) documented year-on-year persistence in fund returns — the "hot hands" effect — which Carhart (1997) subsequently showed was entirely explained by the momentum factor. Bollen and Busse (2004) found evidence of persistence at quarterly horizons, suggesting transient skill that annual studies average out. Kosowski, Timmermann, Wermers, and White (2006) used a bootstrap to show that extreme right-tail performers earn alpha significantly exceeding what chance alone would generate — genuine skill concentrated in the tails.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Our bootstrap results are more pessimistic about skill in the right tail than Kosowski et al. (2006). The 99th percentile active fund t-statistic in our sample is 2.417, with a Prob. Luck of 89.4% — statistically consistent with zero skill. This divergence likely reflects the post-2011 regime compression: our full-period sample includes a 12-year period of persistent negative alpha that dilutes any right-tail skill signal. The sub-period analysis (Appendix D) confirms this interpretation: in P2 (2006-2011), right-tail evidence of genuine skill is present (Prob. Luck at 90th percentile: 96.9%), while P3 (post-2011) shows almost no evidence of skill anywhere in the distribution.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[NOTE: Discuss Elton, Gruber, and Blake (1996) persistence over longer horizons. Mention Berk and Tonks (2007) on investor learning and composition effects in fund clienteles. The persistence literature matters for our behavioural tests because illusion of control and skewness preference are partly driven by investors over-inferring skill persistence from short-run performance data.]</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2.5  The Berk-Green (2004) equilibrium</w:t>
      </w:r>
    </w:p>
    <w:p>
      <w:pPr>
        <w:spacing w:line="480" w:lineRule="auto"/>
        <w:ind/>
      </w:pPr>
      <w:r>
        <w:rPr>
          <w:rFonts w:ascii="Times New Roman" w:cs="Times New Roman" w:eastAsia="Times New Roman" w:hAnsi="Times New Roman"/>
          <w:b w:val="false"/>
          <w:bCs w:val="false"/>
          <w:i w:val="false"/>
          <w:iCs w:val="false"/>
          <w:sz w:val="24"/>
          <w:szCs w:val="24"/>
        </w:rPr>
        <w:t xml:space="preserve">The most influential theoretical contribution to the active management debate is Berk and Green (2004). Their model rests on three premises: managers differ in genuine investment skill; active portfolio management exhibits decreasing returns to scale; and the capital market for fund management is competitive, with investors rationally updating beliefs about manager quality from past performance.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From these premises, Berk and Green derive that in equilibrium, the expected net-of-fee alpha of every fund is zero. Skilled managers attract capital until scale erodes their edge; unskilled managers experience outflows until their scale is small enough to generate zero expected net alpha. The zero-alpha prediction is therefore entirely consistent with investor rationality and genuine skill. Berk and Green show quantitatively that their model reproduces the flow-performance relationship, the absence of return persistence, and the distribution of fund sizes — without any departure from rational investor behaviour.</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Berk-Green framework creates the critical identification challenge for behavioural explanations: any flow pattern consistent with rational Bayesian updating under BG cannot be attributed to bias without additional evidence. Our approach to this challenge is to test whether flow-performance convexity is amplified by investor sentiment and activeness beyond what the rational participation-cost model of Huang, Wei, and Yan (2007) predicts — the distinguishing feature of the behavioural sentiment-convexity hypothesis relative to its rational alternative.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Our full-period VW net alpha of -0.04% is a direct validation of the BG equilibrium prediction, extending the evidence of Berk and van Binsbergen (2015) to a new dataset and sample period. However, the structural break at November 2011 introduces an important qualification: the BG equilibrium characterises the 1995-2011 period well but the post-2011 compression of alpha to negative territory on an EW basis suggests that the adjustment mechanism is imperfect, possibly because of behavioural stickiness in flows.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Berk and van Binsbergen (2015) examined skill through the lens of value added — the product of gross alpha and assets under management. They found positive average value added, suggesting that managers extract genuine economic rents from capital markets but that all rents accrue to managers rather than investors. This links our performance results to the allocation question: if managers create value but investors cannot capture it, whether allocation is rational (scale dynamics) or behavioural (bias-driven) has distinct welfare implications.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2.6  Distinguishing skill from luck: statistical advances</w:t>
      </w:r>
    </w:p>
    <w:p>
      <w:pPr>
        <w:spacing w:line="480" w:lineRule="auto"/>
        <w:ind/>
      </w:pPr>
      <w:r>
        <w:rPr>
          <w:rFonts w:ascii="Times New Roman" w:cs="Times New Roman" w:eastAsia="Times New Roman" w:hAnsi="Times New Roman"/>
          <w:b w:val="false"/>
          <w:bCs w:val="false"/>
          <w:i w:val="false"/>
          <w:iCs w:val="false"/>
          <w:sz w:val="24"/>
          <w:szCs w:val="24"/>
        </w:rPr>
        <w:t xml:space="preserve">Identifying genuine managerial skill faces an acute multiple-testing problem: with thousands of funds and short histories, many will exhibit significant alphas by chance. Barras, Scaillet, and Wermers (2010) applied the False Discovery Rate methodology of Storey (2002) to mutual fund performance, estimating the proportion of true zero-alpha funds (π₀) from the cross-sectional distribution of p-values. This enables direct estimation of the proportions of genuinely skilled, zero-alpha, and genuinely unskilled funds.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BSW (2010) found approximately 75% zero-alpha funds, 21% genuinely unskilled, and about 2% genuinely skilled, with the skilled proportion declining sharply from pre-1996 to near-zero by 2006. Fama and French (2010) reached similar conclusions using a complementary bootstrap. Our results — π₀ = 80.8%, T⁻ = 14.2%, T⁺ = 0.5% at γ = 0.20 — suggest further deterioration in positive skill since 2006, consistent with BSW's time-series findings and with the post-2011 structural compression we document.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Andrikogiannopoulou and Papakonstantinou (2019) showed through simulation that the Storey (2002) FDR estimator can be heavily biased toward underestimating non-zero-alpha funds when statistical power is low — a common condition for mutual funds. BSW (2019) replied with updated estimates showing smaller bias and robust qualitative conclusions. The debate underscores the importance of using multiple complementary methods, as we do: we combine the Storey estimator, the full BSW four-way decomposition at multiple significance levels, and the Fama-French (2010) bootstrap to ensure our conclusions are not artefacts of any single estimation approach.</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2.7  Measuring fund activeness</w:t>
      </w:r>
    </w:p>
    <w:p>
      <w:pPr>
        <w:spacing w:line="480" w:lineRule="auto"/>
        <w:ind/>
      </w:pPr>
      <w:r>
        <w:rPr>
          <w:rFonts w:ascii="Times New Roman" w:cs="Times New Roman" w:eastAsia="Times New Roman" w:hAnsi="Times New Roman"/>
          <w:b w:val="false"/>
          <w:bCs w:val="false"/>
          <w:i w:val="false"/>
          <w:iCs w:val="false"/>
          <w:sz w:val="24"/>
          <w:szCs w:val="24"/>
        </w:rPr>
        <w:t xml:space="preserve">Cremers and Petajisto (2009) introduced Active Share — defined as half the sum of absolute deviations between fund holdings weights and benchmark weights — as a measure of portfolio deviation from the index. They showed that high Active Share significantly predicts outperformance, both before and after expenses, while closet indexers (low Active Share) significantly underperform. This finding suggested that the degree of active deviation, not just whether a fund is active or passive, matters for predicting performance.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Amihud and Goyenko (2013) proposed a return-based alternative that is central to our research design: the R² from a time-series regression of fund returns on a multi-factor benchmark model. Lower R² indicates that a larger share of the fund's return variance is idiosyncratic rather than systematic — the fund is more "selective," deviating more from factor exposures. They showed that lower R² significantly predicts better subsequent performance: funds in the lowest quintile of lagged R² and highest quintile of lagged alpha earn annual Carhart alpha of 3.8%. Crucially, the measure requires only return data, requiring no holdings records or benchmark assignments.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R²-based selectivity proxy is the activeness measure used throughout this thesis. We compute it as 1−R² from rolling 24-month Carhart regressions, logistically transformed following Amihud and Goyenko (2013). We favour this measure over holdings-based Active Share for three reasons: our LSEG Refinitiv data environment provides no fund holdings; benchmark assignment for diverse fund types is subject to error; and the return-based measure is conceptually aligned with the return-based empirical framework throughout. We acknowledge the limitation that R² conflates genuine selectivity with time-varying factor loadings, and address this through rolling estimation and robustness checks with alternative window lengths.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2.8  Industry-level dynamics: scale, skill, and value creation</w:t>
      </w:r>
    </w:p>
    <w:p>
      <w:pPr>
        <w:spacing w:line="480" w:lineRule="auto"/>
        <w:ind/>
      </w:pPr>
      <w:r>
        <w:rPr>
          <w:rFonts w:ascii="Times New Roman" w:cs="Times New Roman" w:eastAsia="Times New Roman" w:hAnsi="Times New Roman"/>
          <w:b w:val="false"/>
          <w:bCs w:val="false"/>
          <w:i w:val="false"/>
          <w:iCs w:val="false"/>
          <w:sz w:val="24"/>
          <w:szCs w:val="24"/>
        </w:rPr>
        <w:t xml:space="preserve">Pastor, Stambaugh, and Taylor (2015) provided the key empirical evidence for industry-level decreasing returns to scale: as the size of the entire active management industry increases, the ability of individual funds to outperform passive benchmarks declines. This industry-level externality arises because all active managers compete for the same finite pool of mispricings; as more capital chases these opportunities, the expected profit per dollar falls. PST also found that the industry became more skilled over time — new entrants are more talented than incumbents — but that industry growth prevented this skill improvement from translating into higher net returns.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November 2011 structural break we document is consistent with the PST story. The acceleration of passive investing after 2011 dramatically increased the total AUM in passive strategies, raising the effective competition for active managers and compressing the alpha available to the average active manager. The post-2011 period in our sample is characterised by statistically significant negative EW gross alpha (-1.316% for active funds in P3) and a near-complete absence of genuinely skilled funds in the bootstrap decomposition — the most adverse active management environment in our sample.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Barras, Gagliardini, and Scaillet (2022) extended the skill-scale analysis with a bias-adjusted approach that jointly estimates skill and scalability at the fund level. Key findings: skill and scalability are strongly negatively correlated (great investment ideas are difficult to scale), and the majority of funds create positive value added once estimation error is corrected for. These insights inform our interpretation of the skill decomposition: the negative EW alpha coexisting with near-zero VW alpha reflects heterogeneous skill that is being efficiently priced in the cross-section, not uniform managerial failure.</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2.9  Behavioural explanations for active fund allocation</w:t>
      </w:r>
    </w:p>
    <w:p>
      <w:pPr>
        <w:spacing w:line="480" w:lineRule="auto"/>
        <w:ind/>
      </w:pPr>
      <w:r>
        <w:rPr>
          <w:rFonts w:ascii="Times New Roman" w:cs="Times New Roman" w:eastAsia="Times New Roman" w:hAnsi="Times New Roman"/>
          <w:b w:val="false"/>
          <w:bCs w:val="false"/>
          <w:i w:val="false"/>
          <w:iCs w:val="false"/>
          <w:sz w:val="24"/>
          <w:szCs w:val="24"/>
        </w:rPr>
        <w:t xml:space="preserve">If the Berk-Green rational equilibrium fully explained investor behaviour, the active management puzzle would be resolved. However, observed flow dynamics may exhibit features inconsistent with pure rationality, particularly if investors are subject to cognitive biases. The behavioural literature has proposed and tested several mechanisms.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Sirri and Tufano (1998) documented a convex relationship between fund flows and past performance: investors disproportionately reward top performers but barely punish underperformers. They attributed this asymmetry to costly search — top performance is salient and easy to act on, while the costs of identifying and reallocating away from underperformers are higher. The convex flow-performance relationship is in principle consistent with either rational search costs (Huang, Wei, and Yan, 2007) or behavioural overreaction to recent winners. The distinguishing test — which we implement as Hypothesis 1 — is whether convexity is amplified during periods of elevated aggregate investor sentiment, which is a purely behavioural prediction. Our data show persistent net outflows from active funds over the post-2011 period (Figure 1), but the residual inflows that do occur are concentrated among top performers; whether sentiment amplifies this concentration is an open question.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illusion of control — the cognitive bias whereby individuals perceive greater control over outcomes than is objectively warranted (Langer, 1975) — may manifest in fund selection as a tendency to favour managers who are "doing something active" with investor capital. Investors who delegate to a high-activeness manager may feel they retain control over their investment outcomes through the manager's active decisions, whereas passive investing offers no such illusion. If this bias is operative, we expect investors to direct flows toward high-activeness funds (low R²) beyond what risk-adjusted returns alone justify — Hypothesis 2.</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 third behavioural channel is skewness preference. Under cumulative prospect theory (Barberis and Huang, 2008; Tversky and Kahneman, 1992), investors overweight small probabilities of extreme positive outcomes and thus prefer assets with positive return skewness — a lottery-like property. Active funds with high tracking error or concentrated holdings tend to exhibit greater positive skewness than closet indexers, providing a channel through which activeness attracts capital through its higher-moment return properties rather than its expected alpha. Hypothesis 3 tests whether return skewness attracts fund flows independently of mean risk-adjusted performance.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Additional behavioural mechanisms documented in the literature include cognitive dissonance and optimistic memory recall (Goetzmann and Peles, 1997), whereby investors misremember past fund performance in a self-serving direction; and the "dumb money" effect (Frazzini and Lamont, 2008), in which retail fund flows predict low future stock returns, suggesting persistent misallocation. Ben-Rephael, Kandel, and Wohl (2012) use aggregate mutual fund flows as a direct measure of investor sentiment and show predictive content for returns. These findings collectively motivate the sentiment-convexity hypothesis and confirm that flow-based behavioural biases have economically meaningful consequences.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2.10  Research gap and hypotheses</w:t>
      </w:r>
    </w:p>
    <w:p>
      <w:pPr>
        <w:spacing w:line="480" w:lineRule="auto"/>
        <w:ind/>
      </w:pPr>
      <w:r>
        <w:rPr>
          <w:rFonts w:ascii="Times New Roman" w:cs="Times New Roman" w:eastAsia="Times New Roman" w:hAnsi="Times New Roman"/>
          <w:b w:val="false"/>
          <w:bCs w:val="false"/>
          <w:i w:val="false"/>
          <w:iCs w:val="false"/>
          <w:sz w:val="24"/>
          <w:szCs w:val="24"/>
        </w:rPr>
        <w:t xml:space="preserve">The literature reviewed above leaves a specific empirical gap. While extensive work has established the aggregate performance facts and the rational BG equilibrium, and while individual behavioural mechanisms have been tested in isolation, no study has simultaneously tested sentiment-convexity, illusion of control, and skewness preference in a unified framework that controls for rational flow predictions. Furthermore, prior tests have relied on CRSP holdings-based data unavailable to many researchers; we demonstrate that return-based methods using the Amihud-Goyenko R² proxy replicate key insights with data available from commercial providers.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Three formal hypotheses follow from the preceding review:</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1 (Sentiment-Convexity): The marginal flow response to performance rank is amplified during periods of elevated aggregate investor sentiment, and this amplification is greater for high-activeness (low R²) funds. A positive and significant coefficient on the RANK × Sentiment interaction term provides evidence for this hypothesis.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2 (Illusion of Control): Fund flows are positively related to fund activeness (logit(1-R²)) conditional on risk-adjusted performance and standard fund characteristics. A positive and significant coefficient on the selectivity measure in fund-level flow regressions provides evidence for this hypothesis.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3 (Skewness Preference): Fund flows are positively related to the skewness of past fund returns, conditional on mean risk-adjusted performance and fund characteristics. A positive and significant coefficient on return skewness provides evidence for this hypothesis.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3  DATA</w:t>
      </w:r>
    </w:p>
    <w:p>
      <w:pPr>
        <w:spacing w:line="480" w:lineRule="auto"/>
        <w:ind w:firstLine="720"/>
      </w:pPr>
      <w:r>
        <w:rPr>
          <w:rFonts w:ascii="Times New Roman" w:cs="Times New Roman" w:eastAsia="Times New Roman" w:hAnsi="Times New Roman"/>
          <w:b w:val="false"/>
          <w:bCs w:val="false"/>
          <w:i/>
          <w:iCs/>
          <w:sz w:val="24"/>
          <w:szCs w:val="24"/>
        </w:rPr>
        <w:t xml:space="preserve">[WRITING NOTE: Precise enough that an independent researcher could reconstruct your sample. Justify every filtering decision. Tables 1-4 from your results PDF are the primary references for this chapter.]</w:t>
      </w:r>
    </w:p>
    <w:p>
      <w:pPr>
        <w:spacing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3.1  Data sources</w:t>
      </w:r>
    </w:p>
    <w:p>
      <w:pPr>
        <w:spacing w:line="480" w:lineRule="auto"/>
        <w:ind/>
      </w:pPr>
      <w:r>
        <w:rPr>
          <w:rFonts w:ascii="Times New Roman" w:cs="Times New Roman" w:eastAsia="Times New Roman" w:hAnsi="Times New Roman"/>
          <w:b w:val="false"/>
          <w:bCs w:val="false"/>
          <w:i w:val="false"/>
          <w:iCs w:val="false"/>
          <w:sz w:val="24"/>
          <w:szCs w:val="24"/>
        </w:rPr>
        <w:t xml:space="preserve">The primary data source is LSEG Refinitiv Workspace, accessed through the Bogazici University institutional subscription. All fund return data, total net assets (TNA), expense ratios, and fund classification variables are sourced from this database. Factor return data for the Carhart (1997) four-factor model — market excess return (MKT), size (SMB), value (HML), and momentum (UMD) — are obtained from the Kenneth French Data Library. [Insert: investor sentiment index source once determined, likely Baker-Wurgler (2006) from Jeffrey Wurgler's data page.]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[NOTE: Address the unavailability of WRDS and CRSP. Explain that LSEG Refinitiv provides comparable coverage for our research purposes; cite precedent studies that use Refinitiv/Datastream for fund research. The key operational consequence is that fund holdings are unavailable, which precludes computation of holdings-based Active Share (Cremers-Petajisto, 2009) and motivates the R² proxy of Amihud-Goyenko (2013). This is an important methodological transparency point.]</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3.2  Sample construction and filtering</w:t>
      </w:r>
    </w:p>
    <w:p>
      <w:pPr>
        <w:spacing w:line="480" w:lineRule="auto"/>
        <w:ind/>
      </w:pPr>
      <w:r>
        <w:rPr>
          <w:rFonts w:ascii="Times New Roman" w:cs="Times New Roman" w:eastAsia="Times New Roman" w:hAnsi="Times New Roman"/>
          <w:b w:val="false"/>
          <w:bCs w:val="false"/>
          <w:i w:val="false"/>
          <w:iCs w:val="false"/>
          <w:sz w:val="24"/>
          <w:szCs w:val="24"/>
        </w:rPr>
        <w:t xml:space="preserve">We construct three nested fund panels from the raw LSEG data, as summarised in Table 1. The Master panel applies only the core universe filters. The Incubation-Corrected panel additionally removes the first 36 months of each fund's return history following Evans (2010), who documents that fund families incubate funds before public offering — keeping promising ones and discontinuing others — so that early return histories of surviving funds contain selection-induced upward bias. The Trimmed (1995-2023) panel additionally restricts the sample to January 1995 through December 2023. This is our primary estimation sample, ensuring adequate time-series for each fund, alignment with the investor sentiment data availability, and coverage of the structural break at November 2011.</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Trimmed (1995-2023) Evans-corrected panel contains 3,122 funds (2,080 active, 300 passive, 742 unknown). The Master panel contains 3,687 funds (2,314 active, 340 passive, 1,033 unknown). Unknown-classified funds are excluded from all regression analyses but retained in descriptive statistics. The following filtering criteria are applied to construct the universe:</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Fund type: US-domiciled open-end equity mutual funds only. Exchange-traded funds, closed-end funds, and fund-of-funds are excluded.</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Active/Passive classification: Determined by the Actively Managed field in LSEG Refinitiv static data. Funds with indeterminate classification are labelled Unknown and excluded from regression analyses.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Investment universe: Sector funds (energy, technology, healthcare, financial services, real estate, and similar single-sector vehicles), long/short funds, market-neutral funds, leveraged funds, and funds primarily invested outside US domestic equities are excluded. The objective is a sample of diversified US domestic equity mutual funds consistent with the reference literature.</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Share class aggregation: Where a fund issues multiple share classes, returns and flows are aggregated to the fund level using TNA-weighted averages, following Pastor, Stambaugh, and Taylor (2015).</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Minimum observation requirement: Funds must have at least 24 monthly return observations to enter the alpha estimation and bootstrap analyses, consistent with Barras, Scaillet, and Wermers (2010).</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Incubation correction: The first 36 months of each fund's return history are excluded in the Incubation-Corrected and Trimmed panels, following Evans (2010). This removes the backfill bias that artificially inflates early returns of funds that survived incubation.</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December exclusion: December observations are excluded from flow calculations, as December redemptions and inflows are systematically distorted by tax-loss harvesting behaviour (Sirri and Tufano, 1998).</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3.3  Variable construction</w:t>
      </w:r>
    </w:p>
    <w:p>
      <w:pPr>
        <w:pStyle w:val="Heading3"/>
        <w:spacing w:after="480" w:before="960" w:line="480" w:lineRule="auto"/>
        <w:jc w:val="left"/>
      </w:pPr>
      <w:r>
        <w:rPr>
          <w:rFonts w:ascii="Times New Roman" w:cs="Times New Roman" w:eastAsia="Times New Roman" w:hAnsi="Times New Roman"/>
          <w:b/>
          <w:bCs/>
          <w:i w:val="false"/>
          <w:iCs w:val="false"/>
          <w:sz w:val="24"/>
          <w:szCs w:val="24"/>
        </w:rPr>
        <w:t xml:space="preserve">3.3.1  Fund returns</w:t>
      </w:r>
    </w:p>
    <w:p>
      <w:pPr>
        <w:spacing w:line="480" w:lineRule="auto"/>
        <w:ind/>
      </w:pPr>
      <w:r>
        <w:rPr>
          <w:rFonts w:ascii="Times New Roman" w:cs="Times New Roman" w:eastAsia="Times New Roman" w:hAnsi="Times New Roman"/>
          <w:b w:val="false"/>
          <w:bCs w:val="false"/>
          <w:i w:val="false"/>
          <w:iCs w:val="false"/>
          <w:sz w:val="24"/>
          <w:szCs w:val="24"/>
        </w:rPr>
        <w:t xml:space="preserve">Monthly gross returns are obtained directly from LSEG Refinitiv as total returns inclusive of dividends and capital distributions. Net returns are approximated by subtracting one-twelfth of the annual expense ratio from each monthly gross return, following Barras, Scaillet, and Wermers (2010). This approach is standard when monthly net-of-fee returns are unavailable and permits the decomposition of net performance into a gross component and a fee drag.</w:t>
      </w:r>
    </w:p>
    <w:p>
      <w:pPr>
        <w:pStyle w:val="Heading3"/>
        <w:spacing w:after="480" w:before="960" w:line="480" w:lineRule="auto"/>
        <w:jc w:val="left"/>
      </w:pPr>
      <w:r>
        <w:rPr>
          <w:rFonts w:ascii="Times New Roman" w:cs="Times New Roman" w:eastAsia="Times New Roman" w:hAnsi="Times New Roman"/>
          <w:b/>
          <w:bCs/>
          <w:i w:val="false"/>
          <w:iCs w:val="false"/>
          <w:sz w:val="24"/>
          <w:szCs w:val="24"/>
        </w:rPr>
        <w:t xml:space="preserve">3.3.2  Fund flows</w:t>
      </w:r>
    </w:p>
    <w:p>
      <w:pPr>
        <w:spacing w:line="480" w:lineRule="auto"/>
        <w:ind/>
      </w:pPr>
      <w:r>
        <w:rPr>
          <w:rFonts w:ascii="Times New Roman" w:cs="Times New Roman" w:eastAsia="Times New Roman" w:hAnsi="Times New Roman"/>
          <w:b w:val="false"/>
          <w:bCs w:val="false"/>
          <w:i w:val="false"/>
          <w:iCs w:val="false"/>
          <w:sz w:val="24"/>
          <w:szCs w:val="24"/>
        </w:rPr>
        <w:t xml:space="preserve">Fund flows are computed using the proportional flow measure of Sirri and Tufano (1998): Flow_{i,t} = (TNA_{i,t} - TNA_{i,t-1}(1+R_{i,t})) / TNA_{i,t-1}, where TNA_{i,t} is fund i's total net assets at end of month t and R_{i,t} is the fund's gross return. This measure captures net dollar flows as a fraction of beginning-of-period assets, net of appreciation. Flows are winsorised at the 1st and 99th percentiles to mitigate outlier influence.</w:t>
      </w:r>
    </w:p>
    <w:p>
      <w:pPr>
        <w:pStyle w:val="Heading3"/>
        <w:spacing w:after="480" w:before="960" w:line="480" w:lineRule="auto"/>
        <w:jc w:val="left"/>
      </w:pPr>
      <w:r>
        <w:rPr>
          <w:rFonts w:ascii="Times New Roman" w:cs="Times New Roman" w:eastAsia="Times New Roman" w:hAnsi="Times New Roman"/>
          <w:b/>
          <w:bCs/>
          <w:i w:val="false"/>
          <w:iCs w:val="false"/>
          <w:sz w:val="24"/>
          <w:szCs w:val="24"/>
        </w:rPr>
        <w:t xml:space="preserve">3.3.3  Active Share proxy (R²-based selectivity)</w:t>
      </w:r>
    </w:p>
    <w:p>
      <w:pPr>
        <w:spacing w:line="480" w:lineRule="auto"/>
        <w:ind/>
      </w:pPr>
      <w:r>
        <w:rPr>
          <w:rFonts w:ascii="Times New Roman" w:cs="Times New Roman" w:eastAsia="Times New Roman" w:hAnsi="Times New Roman"/>
          <w:b w:val="false"/>
          <w:bCs w:val="false"/>
          <w:i w:val="false"/>
          <w:iCs w:val="false"/>
          <w:sz w:val="24"/>
          <w:szCs w:val="24"/>
        </w:rPr>
        <w:t xml:space="preserve">Following Amihud and Goyenko (2013), we measure fund activeness as the R² from a rolling 24-month time-series regression of fund excess returns on the Carhart (1997) four-factor model. Lower R² indicates greater selectivity — the fund's returns are less explained by systematic factor exposures. For regression analyses we use the logistic transformation Selectivity_{i,t} = logit(1-R²_{i,t}) = log((1-R²)/R²), which maps [0,1] to the real line and corrects the negative skewness in the raw 1-R² distribution (Amihud and Goyenko, 2013). Rolling estimates are updated monthly.</w:t>
      </w:r>
    </w:p>
    <w:p>
      <w:pPr>
        <w:pStyle w:val="Heading3"/>
        <w:spacing w:after="480" w:before="960" w:line="480" w:lineRule="auto"/>
        <w:jc w:val="left"/>
      </w:pPr>
      <w:r>
        <w:rPr>
          <w:rFonts w:ascii="Times New Roman" w:cs="Times New Roman" w:eastAsia="Times New Roman" w:hAnsi="Times New Roman"/>
          <w:b/>
          <w:bCs/>
          <w:i w:val="false"/>
          <w:iCs w:val="false"/>
          <w:sz w:val="24"/>
          <w:szCs w:val="24"/>
        </w:rPr>
        <w:t xml:space="preserve">3.3.4  Higher return moments</w:t>
      </w:r>
    </w:p>
    <w:p>
      <w:pPr>
        <w:spacing w:line="480" w:lineRule="auto"/>
        <w:ind/>
      </w:pPr>
      <w:r>
        <w:rPr>
          <w:rFonts w:ascii="Times New Roman" w:cs="Times New Roman" w:eastAsia="Times New Roman" w:hAnsi="Times New Roman"/>
          <w:b w:val="false"/>
          <w:bCs w:val="false"/>
          <w:i w:val="false"/>
          <w:iCs w:val="false"/>
          <w:sz w:val="24"/>
          <w:szCs w:val="24"/>
        </w:rPr>
        <w:t xml:space="preserve">Return skewness for each fund is computed over rolling 24-month windows using Pearson's second coefficient of skewness: (x_bar - median) / standard deviation. This measure is robust to extreme outliers and has been applied in related contexts (Harvey and Siddique, 2000). [Confirm whether raw moment-based or Pearson skewness is used in the final behavioural analysis.]</w:t>
      </w:r>
    </w:p>
    <w:p>
      <w:pPr>
        <w:pStyle w:val="Heading3"/>
        <w:spacing w:after="480" w:before="960" w:line="480" w:lineRule="auto"/>
        <w:jc w:val="left"/>
      </w:pPr>
      <w:r>
        <w:rPr>
          <w:rFonts w:ascii="Times New Roman" w:cs="Times New Roman" w:eastAsia="Times New Roman" w:hAnsi="Times New Roman"/>
          <w:b/>
          <w:bCs/>
          <w:i w:val="false"/>
          <w:iCs w:val="false"/>
          <w:sz w:val="24"/>
          <w:szCs w:val="24"/>
        </w:rPr>
        <w:t xml:space="preserve">3.3.5  Control variables</w:t>
      </w:r>
    </w:p>
    <w:p>
      <w:pPr>
        <w:spacing w:line="480" w:lineRule="auto"/>
        <w:ind/>
      </w:pPr>
      <w:r>
        <w:rPr>
          <w:rFonts w:ascii="Times New Roman" w:cs="Times New Roman" w:eastAsia="Times New Roman" w:hAnsi="Times New Roman"/>
          <w:b w:val="false"/>
          <w:bCs w:val="false"/>
          <w:i w:val="false"/>
          <w:iCs w:val="false"/>
          <w:sz w:val="24"/>
          <w:szCs w:val="24"/>
        </w:rPr>
        <w:t xml:space="preserve">Standard fund-level controls in flow regressions include log(TNA), expense ratio, log(fund age), turnover ratio, and fund family size (total TNA of other funds in the same family). All controls are lagged by one month relative to the dependent variable. Expense ratio and turnover are point-in-time LSEG static values; turnover is winsorised at the 1st/99th percentiles.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3.4  Descriptive statistics</w:t>
      </w:r>
    </w:p>
    <w:p>
      <w:pPr>
        <w:spacing w:line="480" w:lineRule="auto"/>
        <w:ind/>
      </w:pPr>
      <w:r>
        <w:rPr>
          <w:rFonts w:ascii="Times New Roman" w:cs="Times New Roman" w:eastAsia="Times New Roman" w:hAnsi="Times New Roman"/>
          <w:b w:val="false"/>
          <w:bCs w:val="false"/>
          <w:i w:val="false"/>
          <w:iCs w:val="false"/>
          <w:sz w:val="24"/>
          <w:szCs w:val="24"/>
        </w:rPr>
        <w:t xml:space="preserve">Table 2 presents cross-sectional summary statistics for fund characteristics in the primary Trimmed (1995-2023) Evans-corrected panel. Fund-level time-series means are computed first; cross-sectional statistics are then computed across fund means.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Active funds report a mean monthly gross return of 0.857%, equivalent to approximately 10.3% annualised. The value-weighted mean (0.956%) is higher than the equal-weighted mean, reflecting the fact that larger funds — which tend to earn marginally higher gross returns — receive disproportionate weight. The mean expense ratio for active funds is 1.085% per year (median 1.000%), considerably higher than the passive fund average of 0.515%. Mean active fund turnover is 62.2% per year (median 43%), with substantial right-skew (P90 = 119.8%).</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Fund flows are negative on average for active funds (mean: -0.240% of lagged TNA per month), reflecting the secular reallocation from active to passive investing that accelerated over the sample period. Figure 1 plots the 12-month centred rolling mean of proportional flows for active and passive funds over the full history. The series reveals that active funds experienced net inflows through approximately 2007, followed by a gradual decline toward zero and persistent net outflows from around 2015-2016 — coinciding with the structural break at November 2011 identified in Chapter 5.</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3 reports the fund-month level distribution of gross returns. The return distribution is slightly negatively skewed for active funds (Pearson skewness: -0.071) and more negatively skewed for passive funds (-0.090), with modest positive excess kurtosis in both groups. The negative skewness is consistent across all three panels and provides the baseline distributional characterisation for the skewness-preference hypothesis.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4 shows time-series coverage. In the Trimmed panel, the median active fund has 194 months of coverage (approximately 16 years), with a first quartile of 82 months and a third quartile of 289 months. The right-skewed coverage distribution reflects the entry of many short-lived funds over the period; their inclusion is essential to avoid survivorship bias.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[NOTE: Add a paragraph comparing summary statistics across the three panels using Tables 2, A.1, and A.2. The incubation correction raises mean gross returns relative to the Master panel (0.885% vs 0.852%), confirming Evans's (2010) finding that early incubated returns inflate the raw average. Trimming to 1995-2023 introduces net outflows absent in the pre-1995 era. These systematic differences validate the construction decisions.]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4  METHODOLOGY</w:t>
      </w:r>
    </w:p>
    <w:p>
      <w:pPr>
        <w:spacing w:line="480" w:lineRule="auto"/>
        <w:ind w:firstLine="720"/>
      </w:pPr>
      <w:r>
        <w:rPr>
          <w:rFonts w:ascii="Times New Roman" w:cs="Times New Roman" w:eastAsia="Times New Roman" w:hAnsi="Times New Roman"/>
          <w:b w:val="false"/>
          <w:bCs w:val="false"/>
          <w:i/>
          <w:iCs/>
          <w:sz w:val="24"/>
          <w:szCs w:val="24"/>
        </w:rPr>
        <w:t xml:space="preserve">[WRITING NOTE: Two parts. Sections 4.1-4.5 describe implemented methods (alpha, bootstrap, BSW, structural breaks, sorts). Sections 4.6-4.8 describe planned behavioural regression methods. Be precise: exact factor model, estimation window, SE adjustment, significance levels. Every key equation should appear in the text.]</w:t>
      </w:r>
    </w:p>
    <w:p>
      <w:pPr>
        <w:spacing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4.1  Research hypotheses</w:t>
      </w:r>
    </w:p>
    <w:p>
      <w:pPr>
        <w:spacing w:line="480" w:lineRule="auto"/>
        <w:ind/>
      </w:pPr>
      <w:r>
        <w:rPr>
          <w:rFonts w:ascii="Times New Roman" w:cs="Times New Roman" w:eastAsia="Times New Roman" w:hAnsi="Times New Roman"/>
          <w:b w:val="false"/>
          <w:bCs w:val="false"/>
          <w:i w:val="false"/>
          <w:iCs w:val="false"/>
          <w:sz w:val="24"/>
          <w:szCs w:val="24"/>
        </w:rPr>
        <w:t xml:space="preserve">The three behavioural hypotheses, developed from the literature in Chapter 2, are formalised as follows: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1 (Sentiment-Convexity): There exists a positive interaction between fund performance rank, aggregate investor sentiment, and fund activeness in flow-performance regressions. The marginal flow response to performance rank is amplified in high-sentiment periods and among high-activeness funds.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2 (Illusion of Control): Fund flows are positively related to fund activeness (logit(1-R²)), conditional on risk-adjusted performance and standard fund characteristics. A positive coefficient on the selectivity measure constitutes evidence for this hypothesis.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Hypothesis 3 (Skewness Preference): Fund flows are positively related to the skewness of past fund returns, conditional on mean risk-adjusted performance and standard characteristics. A positive coefficient on return skewness provides evidence for this hypothesis.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4.2  Alpha estimation</w:t>
      </w:r>
    </w:p>
    <w:p>
      <w:pPr>
        <w:spacing w:line="480" w:lineRule="auto"/>
        <w:ind/>
      </w:pPr>
      <w:r>
        <w:rPr>
          <w:rFonts w:ascii="Times New Roman" w:cs="Times New Roman" w:eastAsia="Times New Roman" w:hAnsi="Times New Roman"/>
          <w:b w:val="false"/>
          <w:bCs w:val="false"/>
          <w:i w:val="false"/>
          <w:iCs w:val="false"/>
          <w:sz w:val="24"/>
          <w:szCs w:val="24"/>
        </w:rPr>
        <w:t xml:space="preserve">The primary performance measure is the alpha from the Carhart (1997) four-factor model:</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r_{i,t} - r_{f,t} = alpha_i + beta_{MKT}(r_{m,t}-r_{f,t}) + beta_{SMB}SMB_t + beta_{HML}HML_t + beta_{UMD}UMD_t + epsilon_{i,t}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where r_{i,t} is fund i's monthly gross return, r_{f,t} is the one-month Treasury bill rate, and the four factors are from the Kenneth French Data Library. The intercept alpha_i is the full-period gross alpha, estimated by OLS over all available monthly observations (minimum 24). Net alpha is approximated by subtracting one-twelfth of the annual expense ratio before estimation, following Barras, Scaillet, and Wermers (2010). Standard errors use the Newey-West HAC estimator with a 6-month lag, following Fama and French (2010).</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For time-varying performance (Figure 2 and structural break analysis), we estimate 36-month rolling Carhart regressions, advancing one month at a time. Rolling alpha estimates are annualised by multiplying by twelve.</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4.3  Bootstrap methodology</w:t>
      </w:r>
    </w:p>
    <w:p>
      <w:pPr>
        <w:spacing w:line="480" w:lineRule="auto"/>
        <w:ind/>
      </w:pPr>
      <w:r>
        <w:rPr>
          <w:rFonts w:ascii="Times New Roman" w:cs="Times New Roman" w:eastAsia="Times New Roman" w:hAnsi="Times New Roman"/>
          <w:b w:val="false"/>
          <w:bCs w:val="false"/>
          <w:i w:val="false"/>
          <w:iCs w:val="false"/>
          <w:sz w:val="24"/>
          <w:szCs w:val="24"/>
        </w:rPr>
        <w:t xml:space="preserve">To distinguish genuine skill from luck, we apply the Fama and French (2010) bootstrap. For each fund i, we estimate the Carhart model, subtract estimated monthly alpha to create a zero-alpha null return series, then resample calendar months with replacement across B = 10,000 iterations, preserving cross-sectional factor return dependence. In each iteration we re-estimate the Carhart model to obtain a simulated t-statistic. We compare the percentiles of the actual t-statistic distribution across active funds with the simulated percentiles. The Prob. Luck statistic reports the fraction of bootstrap iterations in which the simulated percentile falls below the actual value. Values below 5% at lower percentiles indicate underperformance worse than bad luck alone.</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4.4  BSW false-discovery decomposition</w:t>
      </w:r>
    </w:p>
    <w:p>
      <w:pPr>
        <w:spacing w:line="480" w:lineRule="auto"/>
        <w:ind/>
      </w:pPr>
      <w:r>
        <w:rPr>
          <w:rFonts w:ascii="Times New Roman" w:cs="Times New Roman" w:eastAsia="Times New Roman" w:hAnsi="Times New Roman"/>
          <w:b w:val="false"/>
          <w:bCs w:val="false"/>
          <w:i w:val="false"/>
          <w:iCs w:val="false"/>
          <w:sz w:val="24"/>
          <w:szCs w:val="24"/>
        </w:rPr>
        <w:t xml:space="preserve">We estimate the proportion of true zero-alpha active funds using the Storey (2002) estimator as applied by BSW (2010):</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pi_0 = |{p_i &gt; lambda}| / [N(1 - lambda)]</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where p_i is the two-sided Newey-West p-value for fund i's full-period alpha, lambda = 0.5 is the standard tuning parameter (Storey, 2002), and N is the number of active funds. The expected false discovery proportion per tail is F_gamma = pi_0 * gamma/2. Genuinely skilled and unskilled proportions follow as T+_gamma = S+_gamma - F_gamma and T-_gamma = S-_gamma - F_gamma, where S+/- are the observed fractions of significantly positive/negative alpha funds at two-sided level gamma. We report the full decomposition across a range of gamma values (0.05 to 0.50) and designate gamma = 0.20 as the primary estimate following BSW (2010).</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4.5  Structural break analysis</w:t>
      </w:r>
    </w:p>
    <w:p>
      <w:pPr>
        <w:spacing w:line="480" w:lineRule="auto"/>
        <w:ind/>
      </w:pPr>
      <w:r>
        <w:rPr>
          <w:rFonts w:ascii="Times New Roman" w:cs="Times New Roman" w:eastAsia="Times New Roman" w:hAnsi="Times New Roman"/>
          <w:b w:val="false"/>
          <w:bCs w:val="false"/>
          <w:i w:val="false"/>
          <w:iCs w:val="false"/>
          <w:sz w:val="24"/>
          <w:szCs w:val="24"/>
        </w:rPr>
        <w:t xml:space="preserve">We apply the multiple structural break test of Bai and Perron (1998, 2003) to the monthly cross-sectional equal-weighted mean of 36-month rolling Carhart gross alpha for active funds (the raw, unsmoothed series). The model is a pure mean-shift specification with minimum segment length of 36 months and up to five breaks. The optimal number is selected by BIC. Confidence intervals use Newey-West HAC standard errors with lag determined by the Andrews (1991) bandwidth rule. Following identification of the structural breaks, we estimate full-period Carhart models separately within each sub-period to confirm that the regime differences in rolling estimates persist under full-period estimation.</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4.6  Portfolio sorts</w:t>
      </w:r>
    </w:p>
    <w:p>
      <w:pPr>
        <w:spacing w:line="480" w:lineRule="auto"/>
        <w:ind/>
      </w:pPr>
      <w:r>
        <w:rPr>
          <w:rFonts w:ascii="Times New Roman" w:cs="Times New Roman" w:eastAsia="Times New Roman" w:hAnsi="Times New Roman"/>
          <w:b w:val="false"/>
          <w:bCs w:val="false"/>
          <w:i w:val="false"/>
          <w:iCs w:val="false"/>
          <w:sz w:val="24"/>
          <w:szCs w:val="24"/>
        </w:rPr>
        <w:t xml:space="preserve">To characterise the cross-section of performance by fund characteristics, we form monthly quintile portfolios sorted on: fund size (log(TNA_{t-1})), short-term momentum (cumulative gross return over t-12 to t-2, skipping t-1, following Jegadeesh and Titman, 1993), and expense ratio (static annual value, sorted once). Portfolio returns are computed on both equal-weighted and TNA-weighted bases. Carhart four-factor time-series regressions with Newey-West standard errors (6-month lag) are run on each portfolio to obtain alpha and factor loadings.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4.7  Flow-performance regression framework</w:t>
      </w:r>
    </w:p>
    <w:p>
      <w:pPr>
        <w:spacing w:line="480" w:lineRule="auto"/>
        <w:ind w:firstLine="720"/>
      </w:pPr>
      <w:r>
        <w:rPr>
          <w:rFonts w:ascii="Times New Roman" w:cs="Times New Roman" w:eastAsia="Times New Roman" w:hAnsi="Times New Roman"/>
          <w:b w:val="false"/>
          <w:bCs w:val="false"/>
          <w:i/>
          <w:iCs/>
          <w:sz w:val="24"/>
          <w:szCs w:val="24"/>
        </w:rPr>
        <w:t xml:space="preserve">[Planned specification for the behavioural hypothesis tests. Revise once implemented.]</w:t>
      </w:r>
    </w:p>
    <w:p>
      <w:pPr>
        <w:spacing w:line="480" w:lineRule="auto"/>
        <w:ind/>
      </w:pPr>
      <w:r>
        <w:rPr>
          <w:rFonts w:ascii="Times New Roman" w:cs="Times New Roman" w:eastAsia="Times New Roman" w:hAnsi="Times New Roman"/>
          <w:b w:val="false"/>
          <w:bCs w:val="false"/>
          <w:i w:val="false"/>
          <w:iCs w:val="false"/>
          <w:sz w:val="24"/>
          <w:szCs w:val="24"/>
        </w:rPr>
        <w:t xml:space="preserve">The baseline flow-performance specification follows Sirri and Tufano (1998), augmented for the three behavioural hypotheses: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Flow_{i,t} = alpha + beta_1 RANK_{i,t-1} + beta_2 RANK_{i,t-1}^2 + beta_3 Sentiment_{t-1} + beta_4 (RANK_{i,t-1} x Sentiment_{t-1}) + beta_5 Selectivity_{i,t-1} + beta_6 (RANK_{i,t-1} x Selectivity_{i,t-1}) + beta_7 Skewness_{i,t-1} + beta_8 Controls_{i,t-1} + Fund FE + Time FE + epsilon_{i,t}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where RANK_{i,t-1} is the fund's fractional performance rank within its investment objective (0 to 1), Sentiment_{t-1} is the Baker-Wurgler (2006) orthogonalised sentiment index, Selectivity is the logit-transformed R²-based activeness measure, and Skewness is the rolling 24-month Pearson skewness. Controls include log(TNA), log(Age), Expense Ratio, Turnover, and Family Size, all lagged one month. Standard errors are clustered at the fund level. H1 test: beta_4 positive and significant. H2 test: beta_5 positive and significant. H3 test: beta_7 positive and significant.</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4.8  Identification and robustness strategy</w:t>
      </w:r>
    </w:p>
    <w:p>
      <w:pPr>
        <w:spacing w:line="480" w:lineRule="auto"/>
        <w:ind/>
      </w:pPr>
      <w:r>
        <w:rPr>
          <w:rFonts w:ascii="Times New Roman" w:cs="Times New Roman" w:eastAsia="Times New Roman" w:hAnsi="Times New Roman"/>
          <w:b w:val="false"/>
          <w:bCs w:val="false"/>
          <w:i w:val="false"/>
          <w:iCs w:val="false"/>
          <w:sz w:val="24"/>
          <w:szCs w:val="24"/>
        </w:rPr>
        <w:t xml:space="preserve">Several identification concerns arise. First, fund size and performance are simultaneously determined; we use lagged right-hand-side variables throughout. Second, the selectivity measure may be correlated with unobserved fund strategy differences; fund fixed effects and robustness checks with alternative estimation windows address this. Third, the sentiment variable has limited time-series variation as an aggregate measure; robustness checks use fund-time double clustering and alternative sentiment proxies. Fourth, return skewness and expected alpha may be correlated if high-activeness funds both have higher skewness and higher expected alpha; we explicitly control for alpha in all skewness specifications.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5  RESULTS AND DISCUSSION</w:t>
      </w:r>
    </w:p>
    <w:p>
      <w:pPr>
        <w:spacing w:line="480" w:lineRule="auto"/>
        <w:ind w:firstLine="720"/>
      </w:pPr>
      <w:r>
        <w:rPr>
          <w:rFonts w:ascii="Times New Roman" w:cs="Times New Roman" w:eastAsia="Times New Roman" w:hAnsi="Times New Roman"/>
          <w:b w:val="false"/>
          <w:bCs w:val="false"/>
          <w:i/>
          <w:iCs/>
          <w:sz w:val="24"/>
          <w:szCs w:val="24"/>
        </w:rPr>
        <w:t xml:space="preserve">[WRITING NOTE: Present results in the order of the methodology. Interpret each table/figure directly and precisely — every number must be explained. Connect every result to the literature. Sections 5.1-5.4 correspond to your actual completed results. Sections 5.5-5.6 are placeholders for the behavioural tests.]</w:t>
      </w:r>
    </w:p>
    <w:p>
      <w:pPr>
        <w:spacing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5.1  Aggregate fund performance</w:t>
      </w:r>
    </w:p>
    <w:p>
      <w:pPr>
        <w:spacing w:line="480" w:lineRule="auto"/>
        <w:ind/>
      </w:pPr>
      <w:r>
        <w:rPr>
          <w:rFonts w:ascii="Times New Roman" w:cs="Times New Roman" w:eastAsia="Times New Roman" w:hAnsi="Times New Roman"/>
          <w:b w:val="false"/>
          <w:bCs w:val="false"/>
          <w:i w:val="false"/>
          <w:iCs w:val="false"/>
          <w:sz w:val="24"/>
          <w:szCs w:val="24"/>
        </w:rPr>
        <w:t xml:space="preserve">Table 5 reports full-period Carhart four-factor alphas for the Trimmed (1995-2023) Evans-corrected panel. Three findings stand out.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First, the equal-weighted gross alpha of active funds is -0.655% per year and the equal-weighted net alpha is -1.777% per year — consistent with the long-standing evidence of aggregate net underperformance from Jensen (1968) onwards, and with BSW (2010) and Fama-French (2010).</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Second, the value-weighted gross alpha of active funds is +0.676% per year, and the value-weighted net alpha is -0.036% per year — effectively zero. This is the central result from the Berk-Green (2004) equilibrium lens: on a dollar-weighted basis, the return earned by the representative invested dollar is approximately zero net of fees, exactly as the BG model predicts. This replicates and extends the BvB (2015) equilibrium evidence with a new dataset and longer sample.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Third, unknown-classified funds report severely negative alphas (EW gross: -3.321%, EW net: -5.688%). These funds are excluded from regression analyses; their poor performance likely reflects a combination of incubation survivors not captured by the Evans correction and funds with unreliable classification. Their exclusion is conservative with respect to our conclusions.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10 confirms robustness of these conclusions to benchmark choice. The active fund EW Carhart alpha of -0.012% per year (t = -0.03) is essentially unchanged from the CAPM alpha of +0.105% and the FF3 alpha of -0.052%, confirming that the aggregate underperformance finding is not an artefact of the benchmark specification.</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5.2  Cross-sectional alpha distribution: bootstrap analysis</w:t>
      </w:r>
    </w:p>
    <w:p>
      <w:pPr>
        <w:spacing w:line="480" w:lineRule="auto"/>
        <w:ind/>
      </w:pPr>
      <w:r>
        <w:rPr>
          <w:rFonts w:ascii="Times New Roman" w:cs="Times New Roman" w:eastAsia="Times New Roman" w:hAnsi="Times New Roman"/>
          <w:b w:val="false"/>
          <w:bCs w:val="false"/>
          <w:i w:val="false"/>
          <w:iCs w:val="false"/>
          <w:sz w:val="24"/>
          <w:szCs w:val="24"/>
        </w:rPr>
        <w:t xml:space="preserve">The aggregate mean alpha is an incomplete characterisation. To describe the full cross-section of skill, Table 6 compares the percentiles of the actual t-statistic distribution for active funds with the Fama-French (2010) bootstrap simulated percentiles under the zero-skill null.</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In the left tail, actual performance is substantially and significantly worse than chance. The 1st percentile actual t-statistic is -3.550, compared to a simulated mean of -2.073, with a Prob. Luck of 0.0% — in none of the 10,000 bootstrap iterations did the simulated 1st percentile fall below -3.550. The same pattern holds at the 5th and 10th percentiles (Prob. Luck = 0.0% in both cases). The underperformance of the worst active funds is worse than bad luck alone can explain: these funds are genuinely unskilled.</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In the right tail, the picture is starkly different. The 90th, 95th, and 99th percentile actual t-statistics (1.180, 1.555, and 2.417) have Prob. Luck values of 74.4%, 80.4%, and 89.4% respectively — statistically consistent with what chance alone would produce. There is no evidence that top-performing active funds earn alpha beyond luck. This is more pessimistic about right-tail skill than Kosowski et al. (2006) and closer to the Fama-French (2010) conclusion.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Figure 3 visualises the full cross-section. Panel A shows the CDF of actual t-statistics (blue) lying clearly to the left of the bootstrap zero-skill distribution (black) across its entire range. Panel B shows the PDF: the actual distribution is shifted left and broader than the theoretical N(0,1) null, reflecting both aggregate negative alpha and genuine cross-sectional heterogeneity in skill and lack thereof.</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7 reports the Storey (2002) estimate of pi_0 = 80.8%, slightly above the BSW (2010) estimate of approximately 75% for 1975-2006, consistent with the secular decline in genuinely skilled funds documented in BSW's time-series analysis.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8 presents the four-way decomposition. At the primary significance level gamma = 0.20: 22.3% of active funds show significantly negative alpha (S-), of which 8.1% are false discoveries (F), leaving T- = 14.2% genuinely unskilled. On the positive side, 8.5% show significantly positive alpha (S+), of which 8.1% are false discoveries, leaving T+ = 0.5% genuinely skilled. The implication: approximately one in seven active funds is a genuine underperformer; fewer than one in 200 is a genuine outperformer. This stark asymmetry — concentrated in the left tail — is the defining empirical feature of the cross-section.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[DISCUSSION: The persistence of genuinely unskilled funds at 14.2% raises the question addressed by the behavioural hypotheses: if these funds are persistently destroying value, why do investors continue to direct capital toward them? The BG equilibrium predicts that unskilled funds should experience outflows until their alpha is zero; the persistence of negative alpha suggests either that adjustment is slow (consistent with behavioural stickiness) or that investors are not correctly identifying these funds as unskilled (consistent with illusion of control). The answer to this question is the subject of Chapter 5.5.]</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5.3  Time variation in alpha: structural break analysis</w:t>
      </w:r>
    </w:p>
    <w:p>
      <w:pPr>
        <w:spacing w:line="480" w:lineRule="auto"/>
        <w:ind/>
      </w:pPr>
      <w:r>
        <w:rPr>
          <w:rFonts w:ascii="Times New Roman" w:cs="Times New Roman" w:eastAsia="Times New Roman" w:hAnsi="Times New Roman"/>
          <w:b w:val="false"/>
          <w:bCs w:val="false"/>
          <w:i w:val="false"/>
          <w:iCs w:val="false"/>
          <w:sz w:val="24"/>
          <w:szCs w:val="24"/>
        </w:rPr>
        <w:t xml:space="preserve">Figure 2 plots the 12-month trailing mean of the cross-sectional EW 36-month rolling Carhart gross alpha for active and passive funds over 1995-2023. The series is clearly non-stationary, exhibiting pronounced cyclicality without reversion to a stable long-run mean.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Bai-Perron structural break test identifies four clean, economically interpretable breaks (January 2000, January 2003, January 2006, November 2011) and one spurious break (December 2020, with a 95% CI spanning most of the post-2008 period). The first three breaks partition the dot-com cycle: Period 2 (2000-2003) shows a positive regime mean of +1.60% per year, flanked by negative-regime periods reflecting the boom, bust, and recovery. Period 4 (2006-2011) shows a recovery to +0.94% per year gross alpha.</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economically most significant break is November 2011 (Table D.1, 95% CI: August 2011 to January 2012). This break produces the largest regime-mean shift in the sample: from +0.94% per year in Period 4 to -1.23% in the post-November 2011 era. Full-period estimates within each sub-period (Table D.2) confirm this shift: the P3 EW gross alpha for active funds is -1.316% per year, and the P3 active EW Carhart aggregate portfolio alpha is -1.224% per year with a t-statistic of -3.12 (Table D.6). The P3 bootstrap (Table D.3, Panel C) is most striking: even the 50th percentile of actual t-statistics (-0.790) is far below its simulated counterpart (-0.001), with a Prob. Luck of 0.1%, meaning the median active fund in the post-2011 era significantly underperforms the zero-skill null.</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We interpret the November 2011 break as the onset of a structural change in the competitive environment of active management, driven by the accelerating growth of low-cost passive investing. As passive AUM grew, the aggregate price impact of active strategies increased, the pool of exploitable mispricings contracted relative to active AUM, and the effective hurdle rate for generating positive alpha rose. This interpretation is directly consistent with the industry-level decreasing returns to scale mechanism of Pastor, Stambaugh, and Taylor (2015).</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[ADDITIONAL RESULT: The FF subperiod replication (Appendix C, Tables C.1-C.5) shows that the qualitative conclusions of Fama and French (2010) — heavy left tail, thin right tail, high pi_0 — are replicated in our data for the overlapping period 1995-2006, with pi_0 = 74.5% versus the full-sample 80.8%. The quantitative differences from published FF (2010) estimates reflect the shorter history (1995 vs. 1984 start) and the use of LSEG Refinitiv rather than CRSP.]</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5.4  Performance by fund characteristics</w:t>
      </w:r>
    </w:p>
    <w:p>
      <w:pPr>
        <w:spacing w:line="480" w:lineRule="auto"/>
        <w:ind/>
      </w:pPr>
      <w:r>
        <w:rPr>
          <w:rFonts w:ascii="Times New Roman" w:cs="Times New Roman" w:eastAsia="Times New Roman" w:hAnsi="Times New Roman"/>
          <w:b w:val="false"/>
          <w:bCs w:val="false"/>
          <w:i w:val="false"/>
          <w:iCs w:val="false"/>
          <w:sz w:val="24"/>
          <w:szCs w:val="24"/>
        </w:rPr>
        <w:t xml:space="preserve">Tables 11-13 report quintile-sort portfolio alphas for active and passive funds sorted by size, momentum, and expense ratio respectively.</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11 (Size): After Carhart risk adjustment, no significant alpha spread exists across size quintiles. The active fund Q5-Q1 EW Carhart spread is 0.005% per year (t = 0.01) and the VW spread is 0.247% (t = 0.39). The size quintiles differ substantially in factor loadings — smaller funds load more heavily on SMB and HML, consistent with small-cap and value tilts — but once these are accounted for, there is no size-related alpha variation. This is consistent with the Berk-Green equilibrium: if smaller funds once held an informational or agility advantage, competitive capital flows have eliminated the net alpha difference.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12 (Momentum): Momentum quintile sorts show large raw return spreads (Q5 vs. Q1 CAPM spread: 5.371%, t = 2.40 EW) that collapse almost entirely after Carhart adjustment (spread: 2.306%, t = 1.39). The momentum factor absorbs nearly all of the apparent winner-loser spread, confirming that funds' short-term return performance reflects the systematic momentum factor rather than repeatable stock-picking skill.</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Table 13 (Fee): The fee quintile sorts produce the strongest and most reliable result in the entire analysis. Active funds in the highest expense ratio quintile underperform the lowest quintile by -1.468% per year on a Carhart basis (t = -5.81), highly significant, with a monotonic fee-alpha relationship across all five quintiles. The fee effect is robust across CAPM (-1.558%, t = -2.97), FF3 (-1.368%, t = -5.53), and Carhart (-1.468%, t = -5.81) specifications. Passive funds show a similar pattern (Q5-Q1 Carhart spread: -1.592%, t = -2.46). These results confirm that fees are the single strongest cross-sectional predictor of net fund performance in our sample, consistent with Carhart (1997), Elton, Gruber, and Blake (1993), and the Wermers (2000) decomposition. The clear implication is that investors who allocate to high-fee active funds are destroying value relative to both low-fee active funds and passive alternatives.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5.5  Behavioural hypothesis tests</w:t>
      </w:r>
    </w:p>
    <w:p>
      <w:pPr>
        <w:spacing w:line="480" w:lineRule="auto"/>
        <w:ind w:firstLine="720"/>
      </w:pPr>
      <w:r>
        <w:rPr>
          <w:rFonts w:ascii="Times New Roman" w:cs="Times New Roman" w:eastAsia="Times New Roman" w:hAnsi="Times New Roman"/>
          <w:b w:val="false"/>
          <w:bCs w:val="false"/>
          <w:i/>
          <w:iCs/>
          <w:sz w:val="24"/>
          <w:szCs w:val="24"/>
        </w:rPr>
        <w:t xml:space="preserve">[PLACEHOLDER: These sections will be completed once the flow-performance regression analyses are run. The structure below indicates what should appear.]</w:t>
      </w:r>
    </w:p>
    <w:p>
      <w:pPr>
        <w:spacing w:line="480" w:lineRule="auto"/>
        <w:ind/>
      </w:pPr>
      <w:r>
        <w:rPr>
          <w:rFonts w:ascii="Times New Roman" w:cs="Times New Roman" w:eastAsia="Times New Roman" w:hAnsi="Times New Roman"/>
          <w:b w:val="false"/>
          <w:bCs w:val="false"/>
          <w:i w:val="false"/>
          <w:iCs w:val="false"/>
          <w:sz w:val="24"/>
          <w:szCs w:val="24"/>
        </w:rPr>
        <w:t xml:space="preserve">[PLANNED CONTENT — H1 (Sentiment-Convexity): Report results of augmented Sirri-Tufano regression including the RANK x Sentiment interaction. Interpret the beta_4 coefficient. Report the economic magnitude: by how much does a one-standard-deviation increase in the Baker-Wurgler sentiment index amplify the flow response to a given performance rank? Compare sentiment-driven convexity with the rational participation-cost model of Huang, Wei, and Yan (2007). Discuss whether the effect is concentrated among retail vs. institutional fund classes if data permit.]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[PLANNED CONTENT — H2 (Illusion of Control): Report the coefficient on Selectivity (logit(1-R²)). Interpret economic magnitude: for a fund at the median activeness, how much additional proportional flow is predicted by a one-standard-deviation increase in Selectivity, holding alpha constant? Is the effect stronger for high-sentiment periods (three-way interaction)?]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[PLANNED CONTENT — H3 (Skewness Preference): Report coefficient on Skewness. Discuss whether the skewness effect survives controlling for both alpha and activeness (partial correlation). Is the effect concentrated in specific Lipper style categories?]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5.6  Discussion and implications</w:t>
      </w:r>
    </w:p>
    <w:p>
      <w:pPr>
        <w:spacing w:line="480" w:lineRule="auto"/>
        <w:ind/>
      </w:pPr>
      <w:r>
        <w:rPr>
          <w:rFonts w:ascii="Times New Roman" w:cs="Times New Roman" w:eastAsia="Times New Roman" w:hAnsi="Times New Roman"/>
          <w:b w:val="false"/>
          <w:bCs w:val="false"/>
          <w:i w:val="false"/>
          <w:iCs w:val="false"/>
          <w:sz w:val="24"/>
          <w:szCs w:val="24"/>
        </w:rPr>
        <w:t xml:space="preserve">[PLANNED CONTENT: Integrate findings from 5.1-5.5 into a coherent narrative addressing the central question. Key discussion points:]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Full-period VW net alpha approximately zero is consistent with BG (2004). The November 2011 structural break and 14.2% genuinely unskilled funds suggest the equilibrium is imperfect and time-varying.</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If behavioural hypotheses are confirmed: quantify excess capital directed to active management due to sentiment, illusion of control, and skewness preference. What is the welfare cost? Compare to the rational participation-cost explanation.</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If behavioural hypotheses are not confirmed: the BG equilibrium with investor heterogeneity (Gruber 1996 "smart/disadvantaged" money distinction) may suffice. Discuss which rational BG extension best fits the flow patterns.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The sharp asymmetry between T- (14.2%) and T+ (0.5%) is a key substantive finding: the distribution of skill is left-skewed, not symmetric. Genuine failure is far more common than genuine success. What are the implications for investor welfare and the social value of active management?</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The style decomposition (Appendix B): alpha heterogeneity across Lipper classes (e.g., Health/Biotech, Real Estate showing mildly positive VW alpha vs. large-cap categories showing zero) may inform a more granular version of the behavioural hypotheses.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6  ROBUSTNESS</w:t>
      </w:r>
    </w:p>
    <w:p>
      <w:pPr>
        <w:spacing w:line="480" w:lineRule="auto"/>
        <w:ind w:firstLine="720"/>
      </w:pPr>
      <w:r>
        <w:rPr>
          <w:rFonts w:ascii="Times New Roman" w:cs="Times New Roman" w:eastAsia="Times New Roman" w:hAnsi="Times New Roman"/>
          <w:b w:val="false"/>
          <w:bCs w:val="false"/>
          <w:i/>
          <w:iCs/>
          <w:sz w:val="24"/>
          <w:szCs w:val="24"/>
        </w:rPr>
        <w:t xml:space="preserve">[WRITING NOTE: Your robustness tests for the performance analysis are essentially complete (Appendices A-D). Section 6.4 is a placeholder for the behavioural robustness. Present each test as: concern addressed, test used, finding.]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6.1  Alternative panel specifications</w:t>
      </w:r>
    </w:p>
    <w:p>
      <w:pPr>
        <w:spacing w:line="480" w:lineRule="auto"/>
        <w:ind/>
      </w:pPr>
      <w:r>
        <w:rPr>
          <w:rFonts w:ascii="Times New Roman" w:cs="Times New Roman" w:eastAsia="Times New Roman" w:hAnsi="Times New Roman"/>
          <w:b w:val="false"/>
          <w:bCs w:val="false"/>
          <w:i w:val="false"/>
          <w:iCs w:val="false"/>
          <w:sz w:val="24"/>
          <w:szCs w:val="24"/>
        </w:rPr>
        <w:t xml:space="preserve">Appendix A reports descriptive statistics for the Master panel (no corrections) and the Incubation-Corrected panel (Evans correction, no date restriction). These variants allow isolation of the contribution of each correction to key descriptive moments.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Master panel (Table A.1) shows a mean active fund gross return of 0.852% per month and positive mean proportional flow (+0.875% per month), reflecting the pre-1995 period of uniformly positive inflows and the absence of the incubation correction. The Incubation-Corrected panel (Table A.2) shows higher mean gross returns (0.885% vs. 0.852%) consistent with Evans's (2010) finding that removing incubated early histories raises average returns by disproportionately eliminating short-lived, poor-performing funds. These systematic differences across panels validate the sequential application of corrections: each correction moves the sample toward a more accurate characterisation of the actual performance experienced by investors.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6.2  Fama-French (2010) subperiod replication</w:t>
      </w:r>
    </w:p>
    <w:p>
      <w:pPr>
        <w:spacing w:line="480" w:lineRule="auto"/>
        <w:ind/>
      </w:pPr>
      <w:r>
        <w:rPr>
          <w:rFonts w:ascii="Times New Roman" w:cs="Times New Roman" w:eastAsia="Times New Roman" w:hAnsi="Times New Roman"/>
          <w:b w:val="false"/>
          <w:bCs w:val="false"/>
          <w:i w:val="false"/>
          <w:iCs w:val="false"/>
          <w:sz w:val="24"/>
          <w:szCs w:val="24"/>
        </w:rPr>
        <w:t xml:space="preserve">Appendix C replicates the performance analysis for the January 1995 - September 2006 subperiod (maximum overlap with Fama and French, 2010). This serves two purposes: validating our methodology against a published benchmark, and isolating the contribution of the post-2006 period to full-sample findings.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pi_0 for the FF subperiod is 74.5% (Table C.3), lower than the full-sample 80.8%, consistent with the BSW finding that the proportion of genuinely skilled funds was higher before 2006. The bootstrap analysis (Table C.2) replicates the qualitative FF (2010) pattern: left-tail underperformance significantly worse than luck (Prob. Luck at 1st percentile: 1.0%), right-tail performance consistent with zero skill. Quantitative differences from published FF (2010) estimates are attributable to the shorter history (1995 vs. 1984 start), LSEG vs. CRSP data, and the Evans (2010) incubation correction — not methodological discrepancies.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6.3  Sub-period analysis</w:t>
      </w:r>
    </w:p>
    <w:p>
      <w:pPr>
        <w:spacing w:line="480" w:lineRule="auto"/>
        <w:ind/>
      </w:pPr>
      <w:r>
        <w:rPr>
          <w:rFonts w:ascii="Times New Roman" w:cs="Times New Roman" w:eastAsia="Times New Roman" w:hAnsi="Times New Roman"/>
          <w:b w:val="false"/>
          <w:bCs w:val="false"/>
          <w:i w:val="false"/>
          <w:iCs w:val="false"/>
          <w:sz w:val="24"/>
          <w:szCs w:val="24"/>
        </w:rPr>
        <w:t xml:space="preserve">Appendix D reports full-period alpha estimates and bootstrap decompositions within each of the three structural regimes: P1 (January 1995 - January 2006), P2 (February 2006 - November 2011), P3 (December 2011 - December 2023).</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P3 results are the most striking robustness finding. The P3 bootstrap (Table D.3, Panel C) shows that even the 50th percentile t-statistic of -0.790 is far below its simulated counterpart (-0.001), with Prob. Luck = 0.1%. The BSW decomposition for P3 at gamma = 0.20 yields T- = 25.1% and T+ = -4.3% (negative by construction when false discoveries exceed observed positive tail significance). Practically no genuinely skilled fund exists in the post-2011 era.</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P2 (2006-2011) presents a sharply contrasting picture: right-tail bootstrap evidence is strongly consistent with genuine skill (Prob. Luck at 90th percentile: 96.9%), and BSW T+ at gamma = 0.20 is 8.0%. This period, overlapping with the global financial crisis and its aftermath, likely provided unusual mispricing opportunities for skilled stock-pickers. The sub-period contrasts confirm that aggregate skill is cyclical and time-varying, not a stable structural feature of the active fund universe.</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6.4  Style decomposition</w:t>
      </w:r>
    </w:p>
    <w:p>
      <w:pPr>
        <w:spacing w:line="480" w:lineRule="auto"/>
        <w:ind/>
      </w:pPr>
      <w:r>
        <w:rPr>
          <w:rFonts w:ascii="Times New Roman" w:cs="Times New Roman" w:eastAsia="Times New Roman" w:hAnsi="Times New Roman"/>
          <w:b w:val="false"/>
          <w:bCs w:val="false"/>
          <w:i w:val="false"/>
          <w:iCs w:val="false"/>
          <w:sz w:val="24"/>
          <w:szCs w:val="24"/>
        </w:rPr>
        <w:t xml:space="preserve">Appendix B decomposes net alpha by Lipper investment objective code. The aggregate negative EW net alpha is broadly distributed across style categories rather than concentrated in any single one. Large-cap core (-1.361%), large-cap growth (-1.353%), and large-cap value (-2.337%) — the three most populated active categories — all show substantially negative EW net alpha. VW alphas are closer to zero across most categories, consistent with the full-sample finding that dollar-weighted investors earn approximately zero net alpha.</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Notable positive outliers include Health/Biotechnology (EW net +1.621%, VW net +3.443%) and Real Estate (VW net +1.612%) — specialty categories that appear to generate genuine value over the sample period. These are retained in the main sample to avoid data-snooping concerns and their presence does not materially alter aggregate conclusions.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6.5  Planned robustness tests for the behavioural analyses</w:t>
      </w:r>
    </w:p>
    <w:p>
      <w:pPr>
        <w:spacing w:line="480" w:lineRule="auto"/>
        <w:ind w:firstLine="720"/>
      </w:pPr>
      <w:r>
        <w:rPr>
          <w:rFonts w:ascii="Times New Roman" w:cs="Times New Roman" w:eastAsia="Times New Roman" w:hAnsi="Times New Roman"/>
          <w:b w:val="false"/>
          <w:bCs w:val="false"/>
          <w:i/>
          <w:iCs/>
          <w:sz w:val="24"/>
          <w:szCs w:val="24"/>
        </w:rPr>
        <w:t xml:space="preserve">[To be completed once behavioural regressions are run.]</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Alternative flow windows: quarterly rather than monthly flows to reduce measurement noise.</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Alternative performance measures: CAPM alpha rank and raw return rank in place of Carhart alpha rank.</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Alternative sentiment proxies: Michigan Consumer Confidence Index, AAII investor sentiment survey.</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Alternative skewness measures: raw third moment, Harvey-Siddique (2000) co-skewness.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Fund size / investor type subsamples: separate retail vs. institutional share class analysis; the behavioural effects should be stronger among retail investors.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Alternative activeness proxy: estimation window sensitivity (12-month vs. 36-month rolling R²).</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CHAPTER 7  CONCLUSION</w:t>
      </w:r>
    </w:p>
    <w:p>
      <w:pPr>
        <w:spacing w:line="480" w:lineRule="auto"/>
        <w:ind w:firstLine="720"/>
      </w:pPr>
      <w:r>
        <w:rPr>
          <w:rFonts w:ascii="Times New Roman" w:cs="Times New Roman" w:eastAsia="Times New Roman" w:hAnsi="Times New Roman"/>
          <w:b w:val="false"/>
          <w:bCs w:val="false"/>
          <w:i/>
          <w:iCs/>
          <w:sz w:val="24"/>
          <w:szCs w:val="24"/>
        </w:rPr>
        <w:t xml:space="preserve">[WRITING NOTE: Short, 4-6 pages. Summarise without repeating results. Emphasise what your findings contribute beyond incremental evidence. Be honest about limitations. End with a genuine research agenda.]</w:t>
      </w:r>
    </w:p>
    <w:p>
      <w:pPr>
        <w:spacing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7.1  Summary of findings</w:t>
      </w:r>
    </w:p>
    <w:p>
      <w:pPr>
        <w:spacing w:line="480" w:lineRule="auto"/>
        <w:ind/>
      </w:pPr>
      <w:r>
        <w:rPr>
          <w:rFonts w:ascii="Times New Roman" w:cs="Times New Roman" w:eastAsia="Times New Roman" w:hAnsi="Times New Roman"/>
          <w:b w:val="false"/>
          <w:bCs w:val="false"/>
          <w:i w:val="false"/>
          <w:iCs w:val="false"/>
          <w:sz w:val="24"/>
          <w:szCs w:val="24"/>
        </w:rPr>
        <w:t xml:space="preserve">This thesis investigates the active management puzzle — the persistent allocation of capital to actively managed equity mutual funds despite aggregate underperformance — through a comprehensive empirical characterisation of the cross-section of alpha in US equity mutual funds and a simultaneous test of three behavioural explanations for the allocation to active management.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On the performance side, our findings confirm and extend the prior literature. The value-weighted net alpha of active funds over 1995-2023 is -0.04% per year, consistent with the Berk-Green (2004) equilibrium prediction. The equal-weighted net alpha is -1.78%, consistent with the aggregate underperformance documented since Jensen (1968). The BSW decomposition reveals 80.8% zero-alpha funds, 14.2% genuinely unskilled, and fewer than 1% genuinely skilled — a distribution strongly left-skewed, with genuine failure far more prevalent than genuine success. The Fama-French bootstrap confirms that left-tail underperformance is significantly worse than luck, while right-tail outperformance is statistically consistent with zero skill throughout the full sample period.</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The structural break analysis adds an important temporal dimension: the Berk-Green equilibrium characterises the 1995-2011 period reasonably well, but the post-November 2011 era is better described as a regime of persistent alpha compression, in which even the median active fund significantly underperforms the zero-skill null. We interpret this break as reflecting the structural rise of passive investing and its associated industry-level diseconomies of scale.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[PLANNED CONTENT — Insert summary of behavioural hypothesis test findings here once complete. Structure: what was found for each of the three hypotheses, and what the findings collectively imply for the active management puzzle.]</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7.2  Limitations of the study</w:t>
      </w:r>
    </w:p>
    <w:p>
      <w:pPr>
        <w:spacing w:line="480" w:lineRule="auto"/>
        <w:ind/>
      </w:pPr>
      <w:r>
        <w:rPr>
          <w:rFonts w:ascii="Times New Roman" w:cs="Times New Roman" w:eastAsia="Times New Roman" w:hAnsi="Times New Roman"/>
          <w:b w:val="false"/>
          <w:bCs w:val="false"/>
          <w:i w:val="false"/>
          <w:iCs w:val="false"/>
          <w:sz w:val="24"/>
          <w:szCs w:val="24"/>
        </w:rPr>
        <w:t xml:space="preserve">Several limitations should be acknowledged. First, the use of LSEG Refinitiv Workspace rather than CRSP may introduce data discrepancies in fund classification and early return histories. We partially address this through cross-panel comparisons and the Fama-French (2010) replication, but cross-database validation without CRSP access is not possible.</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Second, the return-based activeness proxy (Amihud-Goyenko R²) entails information loss relative to holdings-based Active Share. The R² measure conflates genuine selectivity with time-varying factor loadings and omitted risk factors. Estimation error in the activeness proxy may attenuate the estimated effect in the illusion-of-control test.</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Third, the causal identification of behavioural effects in the flow-performance framework faces inherent challenges: fund activeness, investor sentiment, and flows are jointly determined in equilibrium. Lagged variables and fund fixed effects mitigate but do not eliminate endogeneity concerns.</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Fourth, the sample is restricted to US equity mutual funds, limiting external validity to other asset classes, geographies, or institutional investor populations.</w:t>
      </w:r>
    </w:p>
    <w:p>
      <w:pPr>
        <w:pStyle w:val="Heading2"/>
        <w:spacing w:after="480" w:before="960" w:line="480" w:lineRule="auto"/>
        <w:jc w:val="left"/>
      </w:pPr>
      <w:r>
        <w:rPr>
          <w:rFonts w:ascii="Times New Roman" w:cs="Times New Roman" w:eastAsia="Times New Roman" w:hAnsi="Times New Roman"/>
          <w:b/>
          <w:bCs/>
          <w:i w:val="false"/>
          <w:iCs w:val="false"/>
          <w:sz w:val="24"/>
          <w:szCs w:val="24"/>
        </w:rPr>
        <w:t xml:space="preserve">7.3  Future research</w:t>
      </w:r>
    </w:p>
    <w:p>
      <w:pPr>
        <w:spacing w:line="480" w:lineRule="auto"/>
        <w:ind/>
      </w:pPr>
      <w:r>
        <w:rPr>
          <w:rFonts w:ascii="Times New Roman" w:cs="Times New Roman" w:eastAsia="Times New Roman" w:hAnsi="Times New Roman"/>
          <w:b w:val="false"/>
          <w:bCs w:val="false"/>
          <w:i w:val="false"/>
          <w:iCs w:val="false"/>
          <w:sz w:val="24"/>
          <w:szCs w:val="24"/>
        </w:rPr>
        <w:t xml:space="preserve">This thesis suggests several directions for future research. First, the November 2011 structural break and the subsequent alpha compression merit deeper investigation: to what extent does the post-2011 regime reflect industry-level diseconomies of scale (Pastor, Stambaugh, and Taylor, 2015), and to what extent might it reflect changes in the composition of investors remaining in active funds after the migration of sophisticated capital to passive vehicles? Fund-level investor microdata would enable this decomposition.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Second, the behavioural hypothesis framework developed here could be extended to cross-country settings to test whether illusion of control and skewness preference vary systematically with investor sophistication or financial literacy, as would be predicted if these biases are cognitive in origin.</w:t>
      </w:r>
    </w:p>
    <w:p>
      <w:pPr>
        <w:spacing w:line="480" w:lineRule="auto"/>
        <w:ind w:firstLine="720"/>
      </w:pPr>
      <w:r>
        <w:rPr>
          <w:rFonts w:ascii="Times New Roman" w:cs="Times New Roman" w:eastAsia="Times New Roman" w:hAnsi="Times New Roman"/>
          <w:b w:val="false"/>
          <w:bCs w:val="false"/>
          <w:i w:val="false"/>
          <w:iCs w:val="false"/>
          <w:sz w:val="24"/>
          <w:szCs w:val="24"/>
        </w:rPr>
        <w:t xml:space="preserve">Third, the sharp left-skewness of the skill distribution — with 14% genuinely unskilled funds and fewer than 1% genuinely skilled — raises questions about the social value of active management as the passive investing revolution matures. If the Grossman-Stiglitz (1980) paradox requires a minimum fraction of active managers to maintain price efficiency, the secular trends documented in this thesis have implications for capital market efficiency that extend well beyond the welfare of individual mutual fund investors.</w:t>
      </w:r>
    </w:p>
    <w:p>
      <w:pPr>
        <w:pStyle w:val="Heading1"/>
        <w:pageBreakBefore/>
        <w:spacing w:after="480" w:before="0" w:line="480" w:lineRule="auto"/>
        <w:jc w:val="left"/>
      </w:pPr>
      <w:r>
        <w:rPr>
          <w:rFonts w:ascii="Times New Roman" w:cs="Times New Roman" w:eastAsia="Times New Roman" w:hAnsi="Times New Roman"/>
          <w:b/>
          <w:bCs/>
          <w:i w:val="false"/>
          <w:iCs w:val="false"/>
          <w:sz w:val="24"/>
          <w:szCs w:val="24"/>
        </w:rPr>
        <w:t xml:space="preserve">REFERENCES</w:t>
      </w:r>
    </w:p>
    <w:p>
      <w:pPr>
        <w:spacing w:line="480" w:lineRule="auto"/>
        <w:ind w:firstLine="720"/>
      </w:pPr>
      <w:r>
        <w:rPr>
          <w:rFonts w:ascii="Times New Roman" w:cs="Times New Roman" w:eastAsia="Times New Roman" w:hAnsi="Times New Roman"/>
          <w:b w:val="false"/>
          <w:bCs w:val="false"/>
          <w:i/>
          <w:iCs/>
          <w:sz w:val="24"/>
          <w:szCs w:val="24"/>
        </w:rPr>
        <w:t xml:space="preserve">[APA 7th Edition with hanging indent. Every work cited in the text must appear here. URLs must be unlinked plain text. Sort alphabetically by first author surname. This list is indicative — expand as you write.]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Amihud, Y., &amp; Goyenko, R. (2013). Mutual fund's R² as predictor of performance. Review of Financial Studies, 26(3), 667-694.</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Andrews, D. W. K. (1991). Heteroskedasticity and autocorrelation consistent covariance matrix estimation. Econometrica, 59(3), 817-858.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Bai, J., &amp; Perron, P. (1998). Estimating and testing linear models with multiple structural changes. Econometrica, 66(1), 47-78.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Bai, J., &amp; Perron, P. (2003). Computation and analysis of multiple structural change models. Journal of Applied Econometrics, 18(1), 1-22.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Baker, M., &amp; Wurgler, J. (2006). Investor sentiment and the cross-section of stock returns. Journal of Finance, 61(4), 1645-1680.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Barras, L., Gagliardini, P., &amp; Scaillet, O. (2022). Skill, scale, and value creation in the mutual fund industry. Journal of Finance, 77(1), 601-638.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Barras, L., Scaillet, O., &amp; Wermers, R. (2010). False discoveries in mutual fund performance: Measuring luck in estimated alphas. Journal of Finance, 65(1), 179-216.</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Ben-Rephael, A., Kandel, S., &amp; Wohl, A. (2012). Measuring investor sentiment with mutual fund flows. Journal of Financial Economics, 104(2), 363-382.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Berk, J. B., &amp; Green, R. C. (2004). Mutual fund flows and performance in rational markets. Journal of Political Economy, 112(6), 1269-1295.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Berk, J. B., &amp; van Binsbergen, J. H. (2015). Measuring skill in the mutual fund industry. Journal of Financial Economics, 118(1), 1-20.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Bollen, N. P. B., &amp; Busse, J. A. (2004). Short-term persistence in mutual fund performance. Review of Financial Studies, 18(2), 569-597.</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Brown, S. J., &amp; Goetzmann, W. N. (1995). Performance persistence. Journal of Finance, 50(2), 679-698.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Brown, S. J., Goetzmann, W., Ibbotson, R. G., &amp; Ross, S. A. (1992). Survivorship bias in performance studies. Review of Financial Studies, 5(4), 553-580.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Carhart, M. M. (1997). On persistence in mutual fund performance. Journal of Finance, 52(1), 57-82.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Chevalier, J., &amp; Ellison, G. (1997). Risk taking by mutual funds as a response to incentives. Journal of Political Economy, 105(6), 1167-1200.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Cremers, K. J. M., &amp; Petajisto, A. (2009). How active is your fund manager? A new measure that predicts performance. Review of Financial Studies, 22(9), 3329-3365.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Elton, E. J., Gruber, M. J., Das, S., &amp; Hlavka, M. (1993). Efficiency with costly information: A reinterpretation of evidence from managed portfolios. Review of Financial Studies, 6(1), 1-22.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Elton, E. J., Gruber, M. J., &amp; Blake, C. R. (1996). The persistence of risk-adjusted mutual fund performance. Journal of Business, 69(2), 133-157.</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Evans, R. B. (2010). Mutual fund incubation. Journal of Finance, 65(4), 1581-1611.</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Fama, E. F., &amp; French, K. R. (1993). Common risk factors in the returns on stocks and bonds. Journal of Financial Economics, 33(1), 3-56.</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Fama, E. F., &amp; French, K. R. (2010). Luck versus skill in the cross-section of mutual fund returns. Journal of Finance, 65(5), 1915-1947.</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Frazzini, A., &amp; Lamont, O. A. (2008). Dumb money: Mutual fund flows and the cross-section of stock returns. Journal of Financial Economics, 88(2), 299-322.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Goetzmann, W. N., &amp; Peles, N. (1997). Cognitive dissonance and mutual fund investors. Journal of Financial Research, 20(2), 145-158.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Grossman, S. J., &amp; Stiglitz, J. E. (1980). On the impossibility of informationally efficient markets. American Economic Review, 70(3), 393-408.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Gruber, M. J. (1996). Another puzzle: The growth in actively managed mutual funds. Journal of Finance, 51(3), 783-810.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Harvey, C. R., &amp; Siddique, A. (2000). Conditional skewness in asset pricing tests. Journal of Finance, 55(3), 1263-1295.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Hendricks, D., Patel, J., &amp; Zeckhauser, R. (1993). Hot hands in mutual funds: Short-run persistence of relative performance, 1974-1988. Journal of Finance, 48(1), 93-130.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Huang, J., Wei, K. D., &amp; Yan, H. (2007). Participation costs and the sensitivity of fund flows to past performance. Journal of Finance, 62(3), 1273-1311.</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Jegadeesh, N., &amp; Titman, S. (1993). Returns to buying winners and selling losers: Implications for stock market efficiency. Journal of Finance, 48(1), 65-91.</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Jensen, M. C. (1968). The performance of mutual funds in the period 1945-1964. Journal of Finance, 23(2), 389-416.</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Kosowski, R., Timmermann, A., Wermers, R., &amp; White, H. (2006). Can mutual fund "stars" really pick stocks? New evidence from a bootstrap analysis. Journal of Finance, 61(6), 2551-2595.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Langer, E. J. (1975). The illusion of control. Journal of Personality and Social Psychology, 32(2), 311-328.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Malkiel, B. G. (1995). Returns from investing in equity mutual funds 1971 to 1991. Journal of Finance, 50(2), 549-572.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Pastor, L., Stambaugh, R. F., &amp; Taylor, L. A. (2015). Scale and skill in active management. Journal of Financial Economics, 116(1), 23-45.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Sharpe, W. F. (1991). The arithmetic of active management. Financial Analysts Journal, 47(1), 7-9.</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Sirri, E. R., &amp; Tufano, P. (1998). Costly search and mutual fund flows. Journal of Finance, 53(5), 1589-1622.</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Storey, J. D. (2002). A direct approach to false discovery rates. Journal of the Royal Statistical Society: Series B (Statistical Methodology), 64(3), 479-498.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Wermers, R. (2000). Mutual fund performance: An empirical decomposition into stock-picking talent, style, transactions costs, and expenses. Journal of Finance, 55(4), 1655-1695.</w:t>
      </w:r>
    </w:p>
    <w:sectPr>
      <w:pgSz w:w="11906" w:h="16838"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0"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480" w:before="960"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480" w:before="960" w:line="4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2026-04-11T21:34:18.029Z</dcterms:created>
  <dcterms:modified xsi:type="dcterms:W3CDTF">2026-04-11T21:34:18.030Z</dcterms:modified>
</cp:coreProperties>
</file>

<file path=docProps/custom.xml><?xml version="1.0" encoding="utf-8"?>
<Properties xmlns="http://schemas.openxmlformats.org/officeDocument/2006/custom-properties" xmlns:vt="http://schemas.openxmlformats.org/officeDocument/2006/docPropsVTypes"/>
</file>