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Empirical Vehicle Selection in the Study of Behavioral Determinants of</w:t>
      </w:r>
      <w:r>
        <w:rPr>
          <w:bCs/>
          <w:b/>
        </w:rPr>
        <w:t xml:space="preserve"> </w:t>
      </w:r>
      <w:r>
        <w:rPr>
          <w:bCs/>
          <w:b/>
        </w:rPr>
        <w:t xml:space="preserve">Fund Flows:</w:t>
      </w:r>
    </w:p>
    <w:p>
      <w:pPr>
        <w:pStyle w:val="BodyText"/>
      </w:pPr>
      <w:r>
        <w:rPr>
          <w:bCs/>
          <w:b/>
        </w:rPr>
        <w:t xml:space="preserve">The Case for Actively Managed Mutual Funds</w:t>
      </w:r>
    </w:p>
    <w:p>
      <w:pPr>
        <w:pStyle w:val="BodyText"/>
      </w:pPr>
      <w:r>
        <w:t xml:space="preserve">The selection of an appropriate empirical vehicle is a foundational</w:t>
      </w:r>
      <w:r>
        <w:t xml:space="preserve"> </w:t>
      </w:r>
      <w:r>
        <w:t xml:space="preserve">methodological decision in any study of the behavioral determinants of</w:t>
      </w:r>
      <w:r>
        <w:t xml:space="preserve"> </w:t>
      </w:r>
      <w:r>
        <w:t xml:space="preserve">fund flows. Two vehicle types present themselves as plausible</w:t>
      </w:r>
      <w:r>
        <w:t xml:space="preserve"> </w:t>
      </w:r>
      <w:r>
        <w:t xml:space="preserve">candidates: actively managed open-end mutual funds and exchange-traded</w:t>
      </w:r>
      <w:r>
        <w:t xml:space="preserve"> </w:t>
      </w:r>
      <w:r>
        <w:t xml:space="preserve">funds (ETFs). While both have attracted growing research attention, they</w:t>
      </w:r>
      <w:r>
        <w:t xml:space="preserve"> </w:t>
      </w:r>
      <w:r>
        <w:t xml:space="preserve">differ in ways that are directly material to behavioral inference. This</w:t>
      </w:r>
      <w:r>
        <w:t xml:space="preserve"> </w:t>
      </w:r>
      <w:r>
        <w:t xml:space="preserve">note argues that actively managed mutual funds constitute the superior</w:t>
      </w:r>
      <w:r>
        <w:t xml:space="preserve"> </w:t>
      </w:r>
      <w:r>
        <w:t xml:space="preserve">vehicle for the present study, on grounds of signal clarity, behavioral</w:t>
      </w:r>
      <w:r>
        <w:t xml:space="preserve"> </w:t>
      </w:r>
      <w:r>
        <w:t xml:space="preserve">interpretability, and data depth.</w:t>
      </w:r>
    </w:p>
    <w:p>
      <w:pPr>
        <w:pStyle w:val="BodyText"/>
      </w:pPr>
      <w:r>
        <w:t xml:space="preserve">The most consequential structural difference between the two vehicles</w:t>
      </w:r>
      <w:r>
        <w:t xml:space="preserve"> </w:t>
      </w:r>
      <w:r>
        <w:t xml:space="preserve">concerns the nature of the flow-generating mechanism. In an actively</w:t>
      </w:r>
      <w:r>
        <w:t xml:space="preserve"> </w:t>
      </w:r>
      <w:r>
        <w:t xml:space="preserve">managed mutual fund, every observable flow — whether a subscription or</w:t>
      </w:r>
      <w:r>
        <w:t xml:space="preserve"> </w:t>
      </w:r>
      <w:r>
        <w:t xml:space="preserve">a redemption — is the product of a deliberate investor decision. There</w:t>
      </w:r>
      <w:r>
        <w:t xml:space="preserve"> </w:t>
      </w:r>
      <w:r>
        <w:t xml:space="preserve">is no mechanical arbitrage layer, no institutional</w:t>
      </w:r>
      <w:r>
        <w:t xml:space="preserve"> </w:t>
      </w:r>
      <w:r>
        <w:t xml:space="preserve">creation-and-redemption activity, and no authorized participant (AP)</w:t>
      </w:r>
      <w:r>
        <w:t xml:space="preserve"> </w:t>
      </w:r>
      <w:r>
        <w:t xml:space="preserve">flow that is unrelated to investor beliefs or preferences. This property</w:t>
      </w:r>
      <w:r>
        <w:t xml:space="preserve"> </w:t>
      </w:r>
      <w:r>
        <w:t xml:space="preserve">ensures a clean mapping between observed flows and the behavioral</w:t>
      </w:r>
      <w:r>
        <w:t xml:space="preserve"> </w:t>
      </w:r>
      <w:r>
        <w:t xml:space="preserve">constructs under study. ETF flows, by contrast, are a composite of</w:t>
      </w:r>
      <w:r>
        <w:t xml:space="preserve"> </w:t>
      </w:r>
      <w:r>
        <w:t xml:space="preserve">retail investor decisions and institutional arbitrage activity executed</w:t>
      </w:r>
      <w:r>
        <w:t xml:space="preserve"> </w:t>
      </w:r>
      <w:r>
        <w:t xml:space="preserve">by APs in response to ETF price deviations from net asset value (NAV).</w:t>
      </w:r>
      <w:r>
        <w:t xml:space="preserve"> </w:t>
      </w:r>
      <w:r>
        <w:t xml:space="preserve">Ben-David, Franzoni, and Moussawi (2018) demonstrate that this arbitrage</w:t>
      </w:r>
      <w:r>
        <w:t xml:space="preserve"> </w:t>
      </w:r>
      <w:r>
        <w:t xml:space="preserve">mechanism generates substantial non-fundamental flow variation that is</w:t>
      </w:r>
      <w:r>
        <w:t xml:space="preserve"> </w:t>
      </w:r>
      <w:r>
        <w:t xml:space="preserve">difficult to separate from retail behavioral flows without proprietary</w:t>
      </w:r>
      <w:r>
        <w:t xml:space="preserve"> </w:t>
      </w:r>
      <w:r>
        <w:t xml:space="preserve">data. For a study whose primary objective is the identification of</w:t>
      </w:r>
      <w:r>
        <w:t xml:space="preserve"> </w:t>
      </w:r>
      <w:r>
        <w:t xml:space="preserve">behavioral drivers, this contamination represents a fundamental</w:t>
      </w:r>
      <w:r>
        <w:t xml:space="preserve"> </w:t>
      </w:r>
      <w:r>
        <w:t xml:space="preserve">identification problem.</w:t>
      </w:r>
    </w:p>
    <w:p>
      <w:pPr>
        <w:pStyle w:val="BodyText"/>
      </w:pPr>
      <w:r>
        <w:t xml:space="preserve">A second and equally important consideration is that investors in</w:t>
      </w:r>
      <w:r>
        <w:t xml:space="preserve"> </w:t>
      </w:r>
      <w:r>
        <w:t xml:space="preserve">actively managed funds are, by construction, making a behaviorally rich</w:t>
      </w:r>
      <w:r>
        <w:t xml:space="preserve"> </w:t>
      </w:r>
      <w:r>
        <w:t xml:space="preserve">decision. The choice to allocate capital to an active fund — one that</w:t>
      </w:r>
      <w:r>
        <w:t xml:space="preserve"> </w:t>
      </w:r>
      <w:r>
        <w:t xml:space="preserve">charges a fee premium above passive alternatives in exchange for the</w:t>
      </w:r>
      <w:r>
        <w:t xml:space="preserve"> </w:t>
      </w:r>
      <w:r>
        <w:t xml:space="preserve">promise of alpha — is itself an expression of beliefs about manager</w:t>
      </w:r>
      <w:r>
        <w:t xml:space="preserve"> </w:t>
      </w:r>
      <w:r>
        <w:t xml:space="preserve">skill, confidence in past performance as a signal of future returns, or</w:t>
      </w:r>
      <w:r>
        <w:t xml:space="preserve"> </w:t>
      </w:r>
      <w:r>
        <w:t xml:space="preserve">susceptibility to marketing and framing effects. This allows the</w:t>
      </w:r>
      <w:r>
        <w:t xml:space="preserve"> </w:t>
      </w:r>
      <w:r>
        <w:t xml:space="preserve">researcher to study not only how flows respond to performance, but why</w:t>
      </w:r>
      <w:r>
        <w:t xml:space="preserve"> </w:t>
      </w:r>
      <w:r>
        <w:t xml:space="preserve">investors hold active funds at all and how their beliefs update over</w:t>
      </w:r>
      <w:r>
        <w:t xml:space="preserve"> </w:t>
      </w:r>
      <w:r>
        <w:t xml:space="preserve">time. No equivalent behavioral object exists in the passive vehicle</w:t>
      </w:r>
      <w:r>
        <w:t xml:space="preserve"> </w:t>
      </w:r>
      <w:r>
        <w:t xml:space="preserve">setting, where the investment thesis makes no claim about skill. Sirri</w:t>
      </w:r>
      <w:r>
        <w:t xml:space="preserve"> </w:t>
      </w:r>
      <w:r>
        <w:t xml:space="preserve">and Tufano (1998) exploit precisely this feature of the active mutual</w:t>
      </w:r>
      <w:r>
        <w:t xml:space="preserve"> </w:t>
      </w:r>
      <w:r>
        <w:t xml:space="preserve">fund setting to identify how search costs and performance salience shape</w:t>
      </w:r>
      <w:r>
        <w:t xml:space="preserve"> </w:t>
      </w:r>
      <w:r>
        <w:t xml:space="preserve">the convex flow-performance relationship — a finding that has become</w:t>
      </w:r>
      <w:r>
        <w:t xml:space="preserve"> </w:t>
      </w:r>
      <w:r>
        <w:t xml:space="preserve">one of the most replicated results in behavioral finance.</w:t>
      </w:r>
    </w:p>
    <w:p>
      <w:pPr>
        <w:pStyle w:val="BodyText"/>
      </w:pPr>
      <w:r>
        <w:t xml:space="preserve">The active mutual fund setting also offers unmatched data</w:t>
      </w:r>
      <w:r>
        <w:t xml:space="preserve"> </w:t>
      </w:r>
      <w:r>
        <w:t xml:space="preserve">infrastructure. The CRSP Mutual Fund Database provides continuous US</w:t>
      </w:r>
      <w:r>
        <w:t xml:space="preserve"> </w:t>
      </w:r>
      <w:r>
        <w:t xml:space="preserve">coverage from 1961, with reliable monthly net flow data available from</w:t>
      </w:r>
      <w:r>
        <w:t xml:space="preserve"> </w:t>
      </w:r>
      <w:r>
        <w:t xml:space="preserve">the mid-1970s onward. This span encompasses multiple full business</w:t>
      </w:r>
      <w:r>
        <w:t xml:space="preserve"> </w:t>
      </w:r>
      <w:r>
        <w:t xml:space="preserve">cycles, bear markets, and structural shifts in the asset management</w:t>
      </w:r>
      <w:r>
        <w:t xml:space="preserve"> </w:t>
      </w:r>
      <w:r>
        <w:t xml:space="preserve">industry — a prerequisite for distinguishing robust behavioral</w:t>
      </w:r>
      <w:r>
        <w:t xml:space="preserve"> </w:t>
      </w:r>
      <w:r>
        <w:t xml:space="preserve">phenomena from episodic or regime-specific patterns. ETF data, by</w:t>
      </w:r>
      <w:r>
        <w:t xml:space="preserve"> </w:t>
      </w:r>
      <w:r>
        <w:t xml:space="preserve">contrast, is reliable only from the early 2000s, and the vehicle only</w:t>
      </w:r>
      <w:r>
        <w:t xml:space="preserve"> </w:t>
      </w:r>
      <w:r>
        <w:t xml:space="preserve">achieved sufficient market breadth for panel-based behavioral analysis</w:t>
      </w:r>
      <w:r>
        <w:t xml:space="preserve"> </w:t>
      </w:r>
      <w:r>
        <w:t xml:space="preserve">in the latter part of that decade. The availability of detailed fund</w:t>
      </w:r>
      <w:r>
        <w:t xml:space="preserve"> </w:t>
      </w:r>
      <w:r>
        <w:t xml:space="preserve">characteristics in CRSP and Morningstar Direct — expense ratios, load</w:t>
      </w:r>
      <w:r>
        <w:t xml:space="preserve"> </w:t>
      </w:r>
      <w:r>
        <w:t xml:space="preserve">structures, manager tenure, and Morningstar ratings — enables the</w:t>
      </w:r>
      <w:r>
        <w:t xml:space="preserve"> </w:t>
      </w:r>
      <w:r>
        <w:t xml:space="preserve">construction of the control variables required to isolate behavioral</w:t>
      </w:r>
      <w:r>
        <w:t xml:space="preserve"> </w:t>
      </w:r>
      <w:r>
        <w:t xml:space="preserve">effects from rational or mechanical explanations, as demonstrated by</w:t>
      </w:r>
      <w:r>
        <w:t xml:space="preserve"> </w:t>
      </w:r>
      <w:r>
        <w:t xml:space="preserve">Chevalier and Ellison (1997) and Barber, Odean, and Zheng (2005).</w:t>
      </w:r>
    </w:p>
    <w:p>
      <w:pPr>
        <w:pStyle w:val="BodyText"/>
      </w:pPr>
      <w:r>
        <w:t xml:space="preserve">The principal limitation of mutual fund data — the absence of intraday</w:t>
      </w:r>
      <w:r>
        <w:t xml:space="preserve"> </w:t>
      </w:r>
      <w:r>
        <w:t xml:space="preserve">flow observations — does not bear materially on the present study.</w:t>
      </w:r>
      <w:r>
        <w:t xml:space="preserve"> </w:t>
      </w:r>
      <w:r>
        <w:t xml:space="preserve">Research questions concerning behavioral drivers such as return-chasing,</w:t>
      </w:r>
      <w:r>
        <w:t xml:space="preserve"> </w:t>
      </w:r>
      <w:r>
        <w:t xml:space="preserve">disposition effects, and fee irrationality operate at monthly or</w:t>
      </w:r>
      <w:r>
        <w:t xml:space="preserve"> </w:t>
      </w:r>
      <w:r>
        <w:t xml:space="preserve">quarterly horizons and are well identified with once-daily NAV-based</w:t>
      </w:r>
      <w:r>
        <w:t xml:space="preserve"> </w:t>
      </w:r>
      <w:r>
        <w:t xml:space="preserve">flow data. Were the research focus to shift toward high-frequency</w:t>
      </w:r>
      <w:r>
        <w:t xml:space="preserve"> </w:t>
      </w:r>
      <w:r>
        <w:t xml:space="preserve">behavioral dynamics — intraday panic selling, social media-driven</w:t>
      </w:r>
      <w:r>
        <w:t xml:space="preserve"> </w:t>
      </w:r>
      <w:r>
        <w:t xml:space="preserve">attention effects, or real-time sentiment propagation — ETF data would</w:t>
      </w:r>
      <w:r>
        <w:t xml:space="preserve"> </w:t>
      </w:r>
      <w:r>
        <w:t xml:space="preserve">be better suited. For the present purposes, however, the precision</w:t>
      </w:r>
      <w:r>
        <w:t xml:space="preserve"> </w:t>
      </w:r>
      <w:r>
        <w:t xml:space="preserve">afforded by the clean behavioral signal in mutual fund flows, the</w:t>
      </w:r>
      <w:r>
        <w:t xml:space="preserve"> </w:t>
      </w:r>
      <w:r>
        <w:t xml:space="preserve">ability to study skill beliefs as a revealed preference, and the depth</w:t>
      </w:r>
      <w:r>
        <w:t xml:space="preserve"> </w:t>
      </w:r>
      <w:r>
        <w:t xml:space="preserve">and reliability of available data collectively make actively managed</w:t>
      </w:r>
      <w:r>
        <w:t xml:space="preserve"> </w:t>
      </w:r>
      <w:r>
        <w:t xml:space="preserve">mutual funds the appropriate and well-precedented vehicle of choice.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Barber, B. M., Odean, T., &amp; Zheng, L. (2005). Out of sight, out of mind:</w:t>
      </w:r>
      <w:r>
        <w:t xml:space="preserve"> </w:t>
      </w:r>
      <w:r>
        <w:t xml:space="preserve">The effects of expenses on mutual fund flows. Journal of Business,</w:t>
      </w:r>
      <w:r>
        <w:t xml:space="preserve"> </w:t>
      </w:r>
      <w:r>
        <w:t xml:space="preserve">78(6), 2095–2120.</w:t>
      </w:r>
    </w:p>
    <w:p>
      <w:pPr>
        <w:pStyle w:val="BodyText"/>
      </w:pPr>
      <w:r>
        <w:t xml:space="preserve">Ben-David, I., Franzoni, F., &amp; Moussawi, R. (2018). Do ETFs increase</w:t>
      </w:r>
      <w:r>
        <w:t xml:space="preserve"> </w:t>
      </w:r>
      <w:r>
        <w:t xml:space="preserve">volatility? Journal of Finance, 73(6), 2471–2535.</w:t>
      </w:r>
    </w:p>
    <w:p>
      <w:pPr>
        <w:pStyle w:val="BodyText"/>
      </w:pPr>
      <w:r>
        <w:t xml:space="preserve">Chevalier, J., &amp; Ellison, G. (1997). Risk taking by mutual funds as a</w:t>
      </w:r>
      <w:r>
        <w:t xml:space="preserve"> </w:t>
      </w:r>
      <w:r>
        <w:t xml:space="preserve">response to incentives. Journal of Political Economy, 105(6),</w:t>
      </w:r>
      <w:r>
        <w:t xml:space="preserve"> </w:t>
      </w:r>
      <w:r>
        <w:t xml:space="preserve">1167–1200.</w:t>
      </w:r>
    </w:p>
    <w:p>
      <w:pPr>
        <w:pStyle w:val="BodyText"/>
      </w:pPr>
      <w:r>
        <w:t xml:space="preserve">Sirri, E. R., &amp; Tufano, P. (1998). Costly search and mutual fund flows.</w:t>
      </w:r>
      <w:r>
        <w:t xml:space="preserve"> </w:t>
      </w:r>
      <w:r>
        <w:t xml:space="preserve">Journal of Finance, 53(5), 1589–1622.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2026-04-18T16:47:45Z</dcterms:created>
  <dcterms:modified xsi:type="dcterms:W3CDTF">2026-04-18T16:47:45Z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