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The bad news first:</w:t>
      </w:r>
      <w:r>
        <w:t xml:space="preserve"> Active Share fundamentally requires holdings</w:t>
      </w:r>
      <w:r>
        <w:t xml:space="preserve"> </w:t>
      </w:r>
      <w:r>
        <w:t xml:space="preserve">data — there's no algebraic way to derive portfolio weights from the</w:t>
      </w:r>
      <w:r>
        <w:t xml:space="preserve"> </w:t>
      </w:r>
      <w:r>
        <w:t xml:space="preserve">variables you have. Any proxy will be a noisy substitute, and you should</w:t>
      </w:r>
      <w:r>
        <w:t xml:space="preserve"> </w:t>
      </w:r>
      <w:r>
        <w:t xml:space="preserve">acknowledge that explicitly.</w:t>
      </w:r>
    </w:p>
    <w:p>
      <w:pPr>
        <w:pStyle w:val="BodyText"/>
      </w:pPr>
      <w:r>
        <w:rPr>
          <w:bCs/>
          <w:b/>
        </w:rPr>
        <w:t xml:space="preserve">However, your available variables can support a few reasonable</w:t>
      </w:r>
      <w:r>
        <w:rPr>
          <w:bCs/>
          <w:b/>
        </w:rPr>
        <w:t xml:space="preserve"> </w:t>
      </w:r>
      <w:r>
        <w:rPr>
          <w:bCs/>
          <w:b/>
        </w:rPr>
        <w:t xml:space="preserve">proxies:</w:t>
      </w:r>
    </w:p>
    <w:p>
      <w:pPr>
        <w:pStyle w:val="BodyText"/>
      </w:pPr>
      <w:r>
        <w:rPr>
          <w:bCs/>
          <w:b/>
        </w:rPr>
        <w:t xml:space="preserve">Tracking Error (best available proxy)</w:t>
      </w:r>
    </w:p>
    <w:p>
      <w:pPr>
        <w:numPr>
          <w:ilvl w:val="0"/>
          <w:numId w:val="1001"/>
        </w:numPr>
      </w:pPr>
      <w:r>
        <w:t xml:space="preserve">Calculated as the standard deviation of (fund gross return −</w:t>
      </w:r>
      <w:r>
        <w:t xml:space="preserve"> </w:t>
      </w:r>
      <w:r>
        <w:t xml:space="preserve">benchmark index return)</w:t>
      </w:r>
    </w:p>
    <w:p>
      <w:pPr>
        <w:numPr>
          <w:ilvl w:val="0"/>
          <w:numId w:val="1001"/>
        </w:numPr>
      </w:pPr>
      <w:r>
        <w:t xml:space="preserve">Cremers &amp; Petajisto (2009) themselves show Active Share and Tracking</w:t>
      </w:r>
      <w:r>
        <w:t xml:space="preserve"> </w:t>
      </w:r>
      <w:r>
        <w:t xml:space="preserve">Error capture different dimensions of activeness, but they're</w:t>
      </w:r>
      <w:r>
        <w:t xml:space="preserve"> </w:t>
      </w:r>
      <w:r>
        <w:t xml:space="preserve">correlated</w:t>
      </w:r>
    </w:p>
    <w:p>
      <w:pPr>
        <w:numPr>
          <w:ilvl w:val="0"/>
          <w:numId w:val="1001"/>
        </w:numPr>
      </w:pPr>
      <w:r>
        <w:t xml:space="preserve">High tracking error implies the fund deviates significantly from the</w:t>
      </w:r>
      <w:r>
        <w:t xml:space="preserve"> </w:t>
      </w:r>
      <w:r>
        <w:t xml:space="preserve">benchmark</w:t>
      </w:r>
    </w:p>
    <w:p>
      <w:pPr>
        <w:numPr>
          <w:ilvl w:val="0"/>
          <w:numId w:val="1001"/>
        </w:numPr>
      </w:pPr>
      <w:r>
        <w:t xml:space="preserve">You have gross returns, so this is computable if you pull benchmark</w:t>
      </w:r>
      <w:r>
        <w:t xml:space="preserve"> </w:t>
      </w:r>
      <w:r>
        <w:t xml:space="preserve">index returns alongside your data</w:t>
      </w:r>
    </w:p>
    <w:p>
      <w:pPr>
        <w:pStyle w:val="FirstParagraph"/>
      </w:pPr>
      <w:r>
        <w:rPr>
          <w:bCs/>
          <w:b/>
        </w:rPr>
        <w:t xml:space="preserve">R-squared from factor model</w:t>
      </w:r>
    </w:p>
    <w:p>
      <w:pPr>
        <w:numPr>
          <w:ilvl w:val="0"/>
          <w:numId w:val="1002"/>
        </w:numPr>
      </w:pPr>
      <w:r>
        <w:t xml:space="preserve">Run rolling Carhart 4-factor regressions for each fund</w:t>
      </w:r>
    </w:p>
    <w:p>
      <w:pPr>
        <w:numPr>
          <w:ilvl w:val="0"/>
          <w:numId w:val="1002"/>
        </w:numPr>
      </w:pPr>
      <w:r>
        <w:t xml:space="preserve">A low R² means the fund's returns are poorly explained by</w:t>
      </w:r>
      <w:r>
        <w:t xml:space="preserve"> </w:t>
      </w:r>
      <w:r>
        <w:t xml:space="preserve">systematic factors → more idiosyncratic/active</w:t>
      </w:r>
    </w:p>
    <w:p>
      <w:pPr>
        <w:numPr>
          <w:ilvl w:val="0"/>
          <w:numId w:val="1002"/>
        </w:numPr>
      </w:pPr>
      <w:r>
        <w:t xml:space="preserve">Directly computable from your return series with no additional data</w:t>
      </w:r>
      <w:r>
        <w:t xml:space="preserve"> </w:t>
      </w:r>
      <w:r>
        <w:t xml:space="preserve">needed</w:t>
      </w:r>
    </w:p>
    <w:p>
      <w:pPr>
        <w:numPr>
          <w:ilvl w:val="0"/>
          <w:numId w:val="1002"/>
        </w:numPr>
      </w:pPr>
      <w:r>
        <w:t xml:space="preserve">Used in the literature as an activeness measure (Amihud &amp; Goyenko,</w:t>
      </w:r>
      <w:r>
        <w:t xml:space="preserve"> </w:t>
      </w:r>
      <w:r>
        <w:t xml:space="preserve">2013 specifically propose this)</w:t>
      </w:r>
    </w:p>
    <w:p>
      <w:pPr>
        <w:pStyle w:val="FirstParagraph"/>
      </w:pPr>
      <w:r>
        <w:rPr>
          <w:bCs/>
          <w:b/>
        </w:rPr>
        <w:t xml:space="preserve">Turnover Ratio</w:t>
      </w:r>
    </w:p>
    <w:p>
      <w:pPr>
        <w:numPr>
          <w:ilvl w:val="0"/>
          <w:numId w:val="1003"/>
        </w:numPr>
      </w:pPr>
      <w:r>
        <w:t xml:space="preserve">You already have this as a last-value variable</w:t>
      </w:r>
    </w:p>
    <w:p>
      <w:pPr>
        <w:numPr>
          <w:ilvl w:val="0"/>
          <w:numId w:val="1003"/>
        </w:numPr>
      </w:pPr>
      <w:r>
        <w:t xml:space="preserve">Higher turnover implies more active trading and portfolio deviation</w:t>
      </w:r>
    </w:p>
    <w:p>
      <w:pPr>
        <w:numPr>
          <w:ilvl w:val="0"/>
          <w:numId w:val="1003"/>
        </w:numPr>
      </w:pPr>
      <w:r>
        <w:t xml:space="preserve">Weakness: a fund can have high turnover but still hug a benchmark,</w:t>
      </w:r>
      <w:r>
        <w:t xml:space="preserve"> </w:t>
      </w:r>
      <w:r>
        <w:t xml:space="preserve">so it's an imperfect proxy for distinctiveness specifically</w:t>
      </w:r>
    </w:p>
    <w:p>
      <w:pPr>
        <w:pStyle w:val="FirstParagraph"/>
      </w:pPr>
      <w:r>
        <w:rPr>
          <w:bCs/>
          <w:b/>
        </w:rPr>
        <w:t xml:space="preserve">The honest recommendation for your proposal:</w:t>
      </w:r>
    </w:p>
    <w:p>
      <w:pPr>
        <w:pStyle w:val="BodyText"/>
      </w:pPr>
      <w:r>
        <w:t xml:space="preserve">Given your data, the </w:t>
      </w:r>
      <w:r>
        <w:rPr>
          <w:bCs/>
          <w:b/>
        </w:rPr>
        <w:t xml:space="preserve">Amihud &amp; Goyenko (2013) R² measure</w:t>
      </w:r>
      <w:r>
        <w:t xml:space="preserve"> is your</w:t>
      </w:r>
      <w:r>
        <w:t xml:space="preserve"> </w:t>
      </w:r>
      <w:r>
        <w:t xml:space="preserve">strongest defensible proxy because it's grounded in an actual published</w:t>
      </w:r>
      <w:r>
        <w:t xml:space="preserve"> </w:t>
      </w:r>
      <w:r>
        <w:t xml:space="preserve">paper proposing it as an activeness measure, it's computable purely</w:t>
      </w:r>
      <w:r>
        <w:t xml:space="preserve"> </w:t>
      </w:r>
      <w:r>
        <w:t xml:space="preserve">from your return series, and it has a clean theoretical interpretation</w:t>
      </w:r>
      <w:r>
        <w:t xml:space="preserve"> </w:t>
      </w:r>
      <w:r>
        <w:t xml:space="preserve">— low R² means returns are driven by idiosyncratic bets rather than</w:t>
      </w:r>
      <w:r>
        <w:t xml:space="preserve"> </w:t>
      </w:r>
      <w:r>
        <w:t xml:space="preserve">systematic exposure, which is exactly the "lottery ticket"</w:t>
      </w:r>
      <w:r>
        <w:t xml:space="preserve"> </w:t>
      </w:r>
      <w:r>
        <w:t xml:space="preserve">characteristic you're trying to capture for H3.</w:t>
      </w:r>
    </w:p>
    <w:p>
      <w:pPr>
        <w:pStyle w:val="BodyText"/>
      </w:pPr>
      <w:r>
        <w:t xml:space="preserve">Tracking error would be your second proxy as a robustness check.</w:t>
      </w:r>
    </w:p>
    <w:p>
      <w:pPr>
        <w:pStyle w:val="BodyText"/>
      </w:pPr>
      <w:r>
        <w:t xml:space="preserve">Turnover can serve as a control or tertiary robustness variable, but</w:t>
      </w:r>
      <w:r>
        <w:t xml:space="preserve"> </w:t>
      </w:r>
      <w:r>
        <w:t xml:space="preserve">given you're already using it as a behavioral proxy (overconfidence),</w:t>
      </w:r>
      <w:r>
        <w:t xml:space="preserve"> </w:t>
      </w:r>
      <w:r>
        <w:t xml:space="preserve">conflating it as an Active Share proxy in the same regression would</w:t>
      </w:r>
      <w:r>
        <w:t xml:space="preserve"> </w:t>
      </w:r>
      <w:r>
        <w:t xml:space="preserve">create a multicollinearity problem — so be careful there.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2026-04-18T16:47:45Z</dcterms:created>
  <dcterms:modified xsi:type="dcterms:W3CDTF">2026-04-18T16:47:45Z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