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Appendix A.8</w:t>
      </w:r>
    </w:p>
    <w:p>
      <w:pPr>
        <w:pStyle w:val="BodyText"/>
      </w:pPr>
      <w:r>
        <w:rPr>
          <w:bCs/>
          <w:b/>
        </w:rPr>
        <w:t xml:space="preserve">Margin Debt Data: Construction, Scaling, and Regime Classification</w:t>
      </w:r>
    </w:p>
    <w:p>
      <w:pPr>
        <w:pStyle w:val="BodyText"/>
      </w:pPr>
      <w:r>
        <w:rPr>
          <w:iCs/>
          <w:i/>
        </w:rPr>
        <w:t xml:space="preserve">PhD Dissertation — Active Management Puzzle | Management Department,</w:t>
      </w:r>
      <w:r>
        <w:rPr>
          <w:iCs/>
          <w:i/>
        </w:rPr>
        <w:t xml:space="preserve"> </w:t>
      </w:r>
      <w:r>
        <w:rPr>
          <w:iCs/>
          <w:i/>
        </w:rPr>
        <w:t xml:space="preserve">Bogazici University | March 2026</w:t>
      </w:r>
    </w:p>
    <w:p>
      <w:pPr>
        <w:pStyle w:val="BodyText"/>
      </w:pPr>
      <w:r>
        <w:rPr>
          <w:bCs/>
          <w:b/>
        </w:rPr>
        <w:t xml:space="preserve">A.8.1 Raw Data Source</w:t>
      </w:r>
    </w:p>
    <w:p>
      <w:pPr>
        <w:pStyle w:val="BodyText"/>
      </w:pPr>
      <w:r>
        <w:t xml:space="preserve">Aggregate margin debt data are sourced from the Financial Industry</w:t>
      </w:r>
      <w:r>
        <w:t xml:space="preserve"> </w:t>
      </w:r>
      <w:r>
        <w:t xml:space="preserve">Regulatory Authority (FINRA), which publishes monthly end-of-month debit</w:t>
      </w:r>
      <w:r>
        <w:t xml:space="preserve"> </w:t>
      </w:r>
      <w:r>
        <w:t xml:space="preserve">balances in customers’ securities margin accounts pursuant to FINRA Rule</w:t>
      </w:r>
      <w:r>
        <w:t xml:space="preserve"> </w:t>
      </w:r>
      <w:r>
        <w:t xml:space="preserve">4521(d). The series used is</w:t>
      </w:r>
      <w:r>
        <w:t xml:space="preserve"> </w:t>
      </w:r>
      <w:r>
        <w:rPr>
          <w:iCs/>
          <w:i/>
        </w:rPr>
        <w:t xml:space="preserve">Debit Balances in Customers’ Securities</w:t>
      </w:r>
      <w:r>
        <w:rPr>
          <w:iCs/>
          <w:i/>
        </w:rPr>
        <w:t xml:space="preserve"> </w:t>
      </w:r>
      <w:r>
        <w:rPr>
          <w:iCs/>
          <w:i/>
        </w:rPr>
        <w:t xml:space="preserve">Margin Accounts</w:t>
      </w:r>
      <w:r>
        <w:t xml:space="preserve">, available at monthly frequency from January 1997.</w:t>
      </w:r>
      <w:r>
        <w:t xml:space="preserve"> </w:t>
      </w:r>
      <w:r>
        <w:t xml:space="preserve">FINRA does not publish data prior to this date through any public</w:t>
      </w:r>
      <w:r>
        <w:t xml:space="preserve"> </w:t>
      </w:r>
      <w:r>
        <w:t xml:space="preserve">channel; the pre-1997 NYSE margin series was suspended in December 2017</w:t>
      </w:r>
      <w:r>
        <w:t xml:space="preserve"> </w:t>
      </w:r>
      <w:r>
        <w:t xml:space="preserve">and is not recoverable within the data infrastructure of this study.</w:t>
      </w:r>
    </w:p>
    <w:p>
      <w:pPr>
        <w:pStyle w:val="BodyText"/>
      </w:pPr>
      <w:r>
        <w:t xml:space="preserve">Accordingly, the H2 estimation window is restricted to January</w:t>
      </w:r>
      <w:r>
        <w:t xml:space="preserve"> </w:t>
      </w:r>
      <w:r>
        <w:t xml:space="preserve">1998–December 2023, with the first twelve months (January–December</w:t>
      </w:r>
      <w:r>
        <w:t xml:space="preserve"> </w:t>
      </w:r>
      <w:r>
        <w:t xml:space="preserve">1997) consumed by the year-over-year differencing procedure described in</w:t>
      </w:r>
      <w:r>
        <w:t xml:space="preserve"> </w:t>
      </w:r>
      <w:r>
        <w:t xml:space="preserve">Section A.8.3 below. All other hypotheses (H1, H3, H4) are estimated on</w:t>
      </w:r>
      <w:r>
        <w:t xml:space="preserve"> </w:t>
      </w:r>
      <w:r>
        <w:t xml:space="preserve">the full 1993–2023 panel. The truncated H2 window encompasses multiple</w:t>
      </w:r>
      <w:r>
        <w:t xml:space="preserve"> </w:t>
      </w:r>
      <w:r>
        <w:t xml:space="preserve">complete sentiment and business cycles, including the dot-com bubble and</w:t>
      </w:r>
      <w:r>
        <w:t xml:space="preserve"> </w:t>
      </w:r>
      <w:r>
        <w:t xml:space="preserve">bust (1998–2002), the pre-GFC leverage build-up and crisis</w:t>
      </w:r>
      <w:r>
        <w:t xml:space="preserve"> </w:t>
      </w:r>
      <w:r>
        <w:t xml:space="preserve">(2003–2009), the post-crisis bull market (2010–2019), and the</w:t>
      </w:r>
      <w:r>
        <w:t xml:space="preserve"> </w:t>
      </w:r>
      <w:r>
        <w:t xml:space="preserve">COVID-era volatility cycle (2020–2023), and is therefore sufficient for</w:t>
      </w:r>
      <w:r>
        <w:t xml:space="preserve"> </w:t>
      </w:r>
      <w:r>
        <w:t xml:space="preserve">robust identification of the H2 mechanism.</w:t>
      </w:r>
    </w:p>
    <w:p>
      <w:pPr>
        <w:pStyle w:val="BodyText"/>
      </w:pPr>
      <w:r>
        <w:rPr>
          <w:bCs/>
          <w:b/>
        </w:rPr>
        <w:t xml:space="preserve">A.8.2 Scaling: Construction of the Margin Debt Ratio</w:t>
      </w:r>
    </w:p>
    <w:p>
      <w:pPr>
        <w:pStyle w:val="BodyText"/>
      </w:pPr>
      <w:r>
        <w:t xml:space="preserve">Raw margin debt balances grow mechanically with equity market size.</w:t>
      </w:r>
      <w:r>
        <w:t xml:space="preserve"> </w:t>
      </w:r>
      <w:r>
        <w:t xml:space="preserve">During a sustained bull market, nominal margin debt will increase even</w:t>
      </w:r>
      <w:r>
        <w:t xml:space="preserve"> </w:t>
      </w:r>
      <w:r>
        <w:t xml:space="preserve">if the degree of leveraged investor commitment—relative to the size of</w:t>
      </w:r>
      <w:r>
        <w:t xml:space="preserve"> </w:t>
      </w:r>
      <w:r>
        <w:t xml:space="preserve">the market being leveraged—is constant or declining. Using the raw</w:t>
      </w:r>
      <w:r>
        <w:t xml:space="preserve"> </w:t>
      </w:r>
      <w:r>
        <w:t xml:space="preserve">level or its raw percentage change as a behavioral proxy would therefore</w:t>
      </w:r>
      <w:r>
        <w:t xml:space="preserve"> </w:t>
      </w:r>
      <w:r>
        <w:t xml:space="preserve">conflate nominal market growth with genuine changes in investor</w:t>
      </w:r>
      <w:r>
        <w:t xml:space="preserve"> </w:t>
      </w:r>
      <w:r>
        <w:t xml:space="preserve">conviction, introducing a systematic upward bias during expansionary</w:t>
      </w:r>
      <w:r>
        <w:t xml:space="preserve"> </w:t>
      </w:r>
      <w:r>
        <w:t xml:space="preserve">periods and a downward bias during contractions.</w:t>
      </w:r>
    </w:p>
    <w:p>
      <w:pPr>
        <w:pStyle w:val="BodyText"/>
      </w:pPr>
      <w:r>
        <w:t xml:space="preserve">To isolate the behavioral signal, we scale monthly margin debt by a</w:t>
      </w:r>
      <w:r>
        <w:t xml:space="preserve"> </w:t>
      </w:r>
      <w:r>
        <w:t xml:space="preserve">measure of total US equity market size, constructing the margin debt</w:t>
      </w:r>
      <w:r>
        <w:t xml:space="preserve"> </w:t>
      </w:r>
      <w:r>
        <w:t xml:space="preserve">ratio:</w:t>
      </w:r>
    </w:p>
    <w:p>
      <w:pPr>
        <w:pStyle w:val="BodyText"/>
      </w:pPr>
      <w:r>
        <w:t xml:space="preserve">MDRatio(t) = MarginDebt(t) / W5KF(t)</w:t>
      </w:r>
      <w:r>
        <w:t xml:space="preserve"> </w:t>
      </w:r>
      <w:r>
        <w:rPr>
          <w:iCs/>
          <w:i/>
        </w:rPr>
        <w:t xml:space="preserve">(A.8.1)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MarginDebt(t)</w:t>
      </w:r>
      <w:r>
        <w:t xml:space="preserve"> </w:t>
      </w:r>
      <w:r>
        <w:t xml:space="preserve">is the FINRA end-of-month debit balance (in</w:t>
      </w:r>
      <w:r>
        <w:t xml:space="preserve"> </w:t>
      </w:r>
      <w:r>
        <w:t xml:space="preserve">millions of USD) and</w:t>
      </w:r>
      <w:r>
        <w:t xml:space="preserve"> </w:t>
      </w:r>
      <w:r>
        <w:rPr>
          <w:iCs/>
          <w:i/>
        </w:rPr>
        <w:t xml:space="preserve">W5KF(t)</w:t>
      </w:r>
      <w:r>
        <w:t xml:space="preserve"> </w:t>
      </w:r>
      <w:r>
        <w:t xml:space="preserve">is the end-of-month level of the Wilshire</w:t>
      </w:r>
      <w:r>
        <w:t xml:space="preserve"> </w:t>
      </w:r>
      <w:r>
        <w:t xml:space="preserve">5000 Full Capitalisation Index sourced from LSEG Workspace (RIC: .W5KF).</w:t>
      </w:r>
    </w:p>
    <w:p>
      <w:pPr>
        <w:pStyle w:val="BodyText"/>
      </w:pPr>
      <w:r>
        <w:t xml:space="preserve">The Wilshire 5000 Full Capitalisation Index is chosen as the scaling</w:t>
      </w:r>
      <w:r>
        <w:t xml:space="preserve"> </w:t>
      </w:r>
      <w:r>
        <w:t xml:space="preserve">denominator for three reasons. First, it covers virtually all actively</w:t>
      </w:r>
      <w:r>
        <w:t xml:space="preserve"> </w:t>
      </w:r>
      <w:r>
        <w:t xml:space="preserve">traded US equities across all capitalisation tiers, making it the</w:t>
      </w:r>
      <w:r>
        <w:t xml:space="preserve"> </w:t>
      </w:r>
      <w:r>
        <w:t xml:space="preserve">broadest available representation of the market against which margin</w:t>
      </w:r>
      <w:r>
        <w:t xml:space="preserve"> </w:t>
      </w:r>
      <w:r>
        <w:t xml:space="preserve">positions are held. Second, the full capitalisation variant—which</w:t>
      </w:r>
      <w:r>
        <w:t xml:space="preserve"> </w:t>
      </w:r>
      <w:r>
        <w:t xml:space="preserve">weights constituents by total shares outstanding rather than free</w:t>
      </w:r>
      <w:r>
        <w:t xml:space="preserve"> </w:t>
      </w:r>
      <w:r>
        <w:t xml:space="preserve">float—is the appropriate measure, since margin debt is computed</w:t>
      </w:r>
      <w:r>
        <w:t xml:space="preserve"> </w:t>
      </w:r>
      <w:r>
        <w:t xml:space="preserve">against total position values, not float-adjusted values. Third, the</w:t>
      </w:r>
      <w:r>
        <w:t xml:space="preserve"> </w:t>
      </w:r>
      <w:r>
        <w:t xml:space="preserve">series is available at daily frequency from LSEG Workspace, permitting</w:t>
      </w:r>
      <w:r>
        <w:t xml:space="preserve"> </w:t>
      </w:r>
      <w:r>
        <w:t xml:space="preserve">end-of-month alignment with the FINRA reporting convention.</w:t>
      </w:r>
    </w:p>
    <w:p>
      <w:pPr>
        <w:pStyle w:val="BlockText"/>
      </w:pPr>
      <w:r>
        <w:rPr>
          <w:iCs/>
          <w:i/>
        </w:rPr>
        <w:t xml:space="preserve">Note on units. The .W5KF series is an index level expressed in index</w:t>
      </w:r>
      <w:r>
        <w:rPr>
          <w:iCs/>
          <w:i/>
        </w:rPr>
        <w:t xml:space="preserve"> </w:t>
      </w:r>
      <w:r>
        <w:rPr>
          <w:iCs/>
          <w:i/>
        </w:rPr>
        <w:t xml:space="preserve">points, not a dollar market capitalisation figure denominated in</w:t>
      </w:r>
      <w:r>
        <w:rPr>
          <w:iCs/>
          <w:i/>
        </w:rPr>
        <w:t xml:space="preserve"> </w:t>
      </w:r>
      <w:r>
        <w:rPr>
          <w:iCs/>
          <w:i/>
        </w:rPr>
        <w:t xml:space="preserve">billions. Consequently, MDRatio(t) is not directly interpretable in</w:t>
      </w:r>
      <w:r>
        <w:rPr>
          <w:iCs/>
          <w:i/>
        </w:rPr>
        <w:t xml:space="preserve"> </w:t>
      </w:r>
      <w:r>
        <w:rPr>
          <w:iCs/>
          <w:i/>
        </w:rPr>
        <w:t xml:space="preserve">percentage-of-GDP or similar economic units. This is immaterial for</w:t>
      </w:r>
      <w:r>
        <w:rPr>
          <w:iCs/>
          <w:i/>
        </w:rPr>
        <w:t xml:space="preserve"> </w:t>
      </w:r>
      <w:r>
        <w:rPr>
          <w:iCs/>
          <w:i/>
        </w:rPr>
        <w:t xml:space="preserve">the purposes of this study: the regime dummy Dᴹᴰ_t is constructed from</w:t>
      </w:r>
      <w:r>
        <w:rPr>
          <w:iCs/>
          <w:i/>
        </w:rPr>
        <w:t xml:space="preserve"> </w:t>
      </w:r>
      <w:r>
        <w:rPr>
          <w:iCs/>
          <w:i/>
        </w:rPr>
        <w:t xml:space="preserve">percentile thresholds applied to the year-over-year change in MDRatio</w:t>
      </w:r>
      <w:r>
        <w:rPr>
          <w:iCs/>
          <w:i/>
        </w:rPr>
        <w:t xml:space="preserve"> </w:t>
      </w:r>
      <w:r>
        <w:rPr>
          <w:iCs/>
          <w:i/>
        </w:rPr>
        <w:t xml:space="preserve">(see Section A.8.3 below), and percentage changes in the ratio are</w:t>
      </w:r>
      <w:r>
        <w:rPr>
          <w:iCs/>
          <w:i/>
        </w:rPr>
        <w:t xml:space="preserve"> </w:t>
      </w:r>
      <w:r>
        <w:rPr>
          <w:iCs/>
          <w:i/>
        </w:rPr>
        <w:t xml:space="preserve">invariant to the arbitrary scaling of the denominator.</w:t>
      </w:r>
    </w:p>
    <w:p>
      <w:pPr>
        <w:pStyle w:val="FirstParagraph"/>
      </w:pPr>
      <w:r>
        <w:rPr>
          <w:bCs/>
          <w:b/>
        </w:rPr>
        <w:t xml:space="preserve">A.8.3 Year-over-Year Differencing</w:t>
      </w:r>
    </w:p>
    <w:p>
      <w:pPr>
        <w:pStyle w:val="BodyText"/>
      </w:pPr>
      <w:r>
        <w:t xml:space="preserve">The behavioral state variable entering the regression is the</w:t>
      </w:r>
      <w:r>
        <w:t xml:space="preserve"> </w:t>
      </w:r>
      <w:r>
        <w:t xml:space="preserve">year-over-year percentage change in the margin debt ratio:</w:t>
      </w:r>
    </w:p>
    <w:p>
      <w:pPr>
        <w:pStyle w:val="BodyText"/>
      </w:pPr>
      <w:r>
        <w:t xml:space="preserve">Δʸᵒʸ MDRatio(t) = [ MDRatio(t) − MDRatio(t−12) ] / MDRatio(t−12)</w:t>
      </w:r>
      <w:r>
        <w:t xml:space="preserve"> </w:t>
      </w:r>
      <w:r>
        <w:rPr>
          <w:iCs/>
          <w:i/>
        </w:rPr>
        <w:t xml:space="preserve">(A.8.2)</w:t>
      </w:r>
    </w:p>
    <w:p>
      <w:pPr>
        <w:pStyle w:val="BodyText"/>
      </w:pPr>
      <w:r>
        <w:t xml:space="preserve">Year-over-year differencing is preferred over month-over-month</w:t>
      </w:r>
      <w:r>
        <w:t xml:space="preserve"> </w:t>
      </w:r>
      <w:r>
        <w:t xml:space="preserve">differencing for two reasons.</w:t>
      </w:r>
    </w:p>
    <w:p>
      <w:pPr>
        <w:pStyle w:val="BodyText"/>
      </w:pPr>
      <w:r>
        <w:rPr>
          <w:bCs/>
          <w:b/>
        </w:rPr>
        <w:t xml:space="preserve">First, seasonality.</w:t>
      </w:r>
      <w:r>
        <w:t xml:space="preserve"> </w:t>
      </w:r>
      <w:r>
        <w:t xml:space="preserve">Margin debt exhibits a well-documented</w:t>
      </w:r>
      <w:r>
        <w:t xml:space="preserve"> </w:t>
      </w:r>
      <w:r>
        <w:t xml:space="preserve">intra-year seasonal pattern: balances tend to expand in the first</w:t>
      </w:r>
      <w:r>
        <w:t xml:space="preserve"> </w:t>
      </w:r>
      <w:r>
        <w:t xml:space="preserve">quarter as investors re-lever following year-end tax-loss harvesting,</w:t>
      </w:r>
      <w:r>
        <w:t xml:space="preserve"> </w:t>
      </w:r>
      <w:r>
        <w:t xml:space="preserve">and contract toward December. Month-over-month changes would absorb this</w:t>
      </w:r>
      <w:r>
        <w:t xml:space="preserve"> </w:t>
      </w:r>
      <w:r>
        <w:t xml:space="preserve">mechanical seasonality as a signal, contaminating the behavioral proxy</w:t>
      </w:r>
      <w:r>
        <w:t xml:space="preserve"> </w:t>
      </w:r>
      <w:r>
        <w:t xml:space="preserve">with variation that has no connection to investor conviction.</w:t>
      </w:r>
      <w:r>
        <w:t xml:space="preserve"> </w:t>
      </w:r>
      <w:r>
        <w:t xml:space="preserve">Year-over-year differencing eliminates the seasonal component by</w:t>
      </w:r>
      <w:r>
        <w:t xml:space="preserve"> </w:t>
      </w:r>
      <w:r>
        <w:t xml:space="preserve">construction, comparing each observation to the same calendar month in</w:t>
      </w:r>
      <w:r>
        <w:t xml:space="preserve"> </w:t>
      </w:r>
      <w:r>
        <w:t xml:space="preserve">the prior year.</w:t>
      </w:r>
    </w:p>
    <w:p>
      <w:pPr>
        <w:pStyle w:val="BodyText"/>
      </w:pPr>
      <w:r>
        <w:rPr>
          <w:bCs/>
          <w:b/>
        </w:rPr>
        <w:t xml:space="preserve">Second, theoretical alignment.</w:t>
      </w:r>
      <w:r>
        <w:t xml:space="preserve"> </w:t>
      </w:r>
      <w:r>
        <w:t xml:space="preserve">The H2 mechanism concerns the</w:t>
      </w:r>
      <w:r>
        <w:t xml:space="preserve"> </w:t>
      </w:r>
      <w:r>
        <w:t xml:space="preserve">accumulation of leveraged commitment over a sentiment cycle—the</w:t>
      </w:r>
      <w:r>
        <w:t xml:space="preserve"> </w:t>
      </w:r>
      <w:r>
        <w:t xml:space="preserve">gradual deepening of psychological ownership that makes subsequent loss</w:t>
      </w:r>
      <w:r>
        <w:t xml:space="preserve"> </w:t>
      </w:r>
      <w:r>
        <w:t xml:space="preserve">realisation disproportionately aversive (Langer, 1975; Thaler, 1980).</w:t>
      </w:r>
      <w:r>
        <w:t xml:space="preserve"> </w:t>
      </w:r>
      <w:r>
        <w:t xml:space="preserve">This is a medium-term phenomenon operating at the horizon of business</w:t>
      </w:r>
      <w:r>
        <w:t xml:space="preserve"> </w:t>
      </w:r>
      <w:r>
        <w:t xml:space="preserve">and sentiment cycles, not a one-month impulse. Month-over-month changes</w:t>
      </w:r>
      <w:r>
        <w:t xml:space="preserve"> </w:t>
      </w:r>
      <w:r>
        <w:t xml:space="preserve">are dominated by short-term noise from transient volatility spikes,</w:t>
      </w:r>
      <w:r>
        <w:t xml:space="preserve"> </w:t>
      </w:r>
      <w:r>
        <w:t xml:space="preserve">margin calls, and settlement timing effects, none of which constitute</w:t>
      </w:r>
      <w:r>
        <w:t xml:space="preserve"> </w:t>
      </w:r>
      <w:r>
        <w:t xml:space="preserve">the sustained leveraged conviction that is the theoretical object of H2.</w:t>
      </w:r>
      <w:r>
        <w:t xml:space="preserve"> </w:t>
      </w:r>
      <w:r>
        <w:t xml:space="preserve">Year-over-year changes capture the directional build-up and unwind of</w:t>
      </w:r>
      <w:r>
        <w:t xml:space="preserve"> </w:t>
      </w:r>
      <w:r>
        <w:t xml:space="preserve">leverage over economically meaningful horizons, consistent with the</w:t>
      </w:r>
      <w:r>
        <w:t xml:space="preserve"> </w:t>
      </w:r>
      <w:r>
        <w:t xml:space="preserve">slow-moving sentiment cycle framework of Baker and Wurgler (2006, 2007).</w:t>
      </w:r>
    </w:p>
    <w:p>
      <w:pPr>
        <w:pStyle w:val="BodyText"/>
      </w:pPr>
      <w:r>
        <w:rPr>
          <w:bCs/>
          <w:b/>
        </w:rPr>
        <w:t xml:space="preserve">A.8.4 Regime Dummy Construction</w:t>
      </w:r>
    </w:p>
    <w:p>
      <w:pPr>
        <w:pStyle w:val="BodyText"/>
      </w:pPr>
      <w:r>
        <w:t xml:space="preserve">Following Baker and Wurgler (2007), the high-margin-debt regime dummy is</w:t>
      </w:r>
      <w:r>
        <w:t xml:space="preserve"> </w:t>
      </w:r>
      <w:r>
        <w:t xml:space="preserve">defined as:</w:t>
      </w:r>
    </w:p>
    <w:p>
      <w:pPr>
        <w:pStyle w:val="BodyText"/>
      </w:pPr>
      <w:r>
        <w:t xml:space="preserve">Dᴹᴰ_t = 1[ Δʸᵒʸ MDRatio(t) &gt; Q₆₆( Δʸᵒʸ MDRatio ) ]</w:t>
      </w:r>
      <w:r>
        <w:t xml:space="preserve"> </w:t>
      </w:r>
      <w:r>
        <w:rPr>
          <w:iCs/>
          <w:i/>
        </w:rPr>
        <w:t xml:space="preserve">(A.8.3)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Q₆₆(·)</w:t>
      </w:r>
      <w:r>
        <w:t xml:space="preserve"> </w:t>
      </w:r>
      <w:r>
        <w:t xml:space="preserve">denotes the 66th percentile of the full in-sample</w:t>
      </w:r>
      <w:r>
        <w:t xml:space="preserve"> </w:t>
      </w:r>
      <w:r>
        <w:t xml:space="preserve">distribution of</w:t>
      </w:r>
      <w:r>
        <w:t xml:space="preserve"> </w:t>
      </w:r>
      <w:r>
        <w:rPr>
          <w:iCs/>
          <w:i/>
        </w:rPr>
        <w:t xml:space="preserve">Δʸᵒʸ MDRatio(t)</w:t>
      </w:r>
      <w:r>
        <w:t xml:space="preserve"> </w:t>
      </w:r>
      <w:r>
        <w:t xml:space="preserve">over the H2 estimation window, January</w:t>
      </w:r>
      <w:r>
        <w:t xml:space="preserve"> </w:t>
      </w:r>
      <w:r>
        <w:t xml:space="preserve">1998–December 2023. The threshold is computed once on the full sample</w:t>
      </w:r>
      <w:r>
        <w:t xml:space="preserve"> </w:t>
      </w:r>
      <w:r>
        <w:t xml:space="preserve">and held fixed throughout all regressions, ensuring that regime</w:t>
      </w:r>
      <w:r>
        <w:t xml:space="preserve"> </w:t>
      </w:r>
      <w:r>
        <w:t xml:space="preserve">classification is free of look-ahead bias. Months in which</w:t>
      </w:r>
      <w:r>
        <w:t xml:space="preserve"> </w:t>
      </w:r>
      <w:r>
        <w:rPr>
          <w:iCs/>
          <w:i/>
        </w:rPr>
        <w:t xml:space="preserve">Dᴹᴰ_t = 1</w:t>
      </w:r>
      <w:r>
        <w:t xml:space="preserve"> </w:t>
      </w:r>
      <w:r>
        <w:t xml:space="preserve">correspond to periods of above-trend acceleration in leveraged investor</w:t>
      </w:r>
      <w:r>
        <w:t xml:space="preserve"> </w:t>
      </w:r>
      <w:r>
        <w:t xml:space="preserve">commitment relative to market size, interpreted as elevated illusion of</w:t>
      </w:r>
      <w:r>
        <w:t xml:space="preserve"> </w:t>
      </w:r>
      <w:r>
        <w:t xml:space="preserve">control in the sense of Langer (1975).</w:t>
      </w:r>
    </w:p>
    <w:p>
      <w:pPr>
        <w:pStyle w:val="BodyText"/>
      </w:pPr>
      <w:r>
        <w:rPr>
          <w:bCs/>
          <w:b/>
        </w:rPr>
        <w:t xml:space="preserve">A.8.5 Robustness Proxy: CBOE Call-to-Put Ratio</w:t>
      </w:r>
    </w:p>
    <w:p>
      <w:pPr>
        <w:pStyle w:val="BodyText"/>
      </w:pPr>
      <w:r>
        <w:t xml:space="preserve">As a robustness check, the CBOE equity call-to-put ratio (</w:t>
      </w:r>
      <w:r>
        <w:rPr>
          <w:iCs/>
          <w:i/>
        </w:rPr>
        <w:t xml:space="preserve">C2P(t)</w:t>
      </w:r>
      <w:r>
        <w:t xml:space="preserve">),</w:t>
      </w:r>
      <w:r>
        <w:t xml:space="preserve"> </w:t>
      </w:r>
      <w:r>
        <w:t xml:space="preserve">available at daily frequency from CBOE from 1995 onward and aggregated</w:t>
      </w:r>
      <w:r>
        <w:t xml:space="preserve"> </w:t>
      </w:r>
      <w:r>
        <w:t xml:space="preserve">to monthly averages, is used as an alternative H2 regime proxy. A high</w:t>
      </w:r>
      <w:r>
        <w:t xml:space="preserve"> </w:t>
      </w:r>
      <w:r>
        <w:t xml:space="preserve">call-to-put ratio reflects widespread investor belief in directional</w:t>
      </w:r>
      <w:r>
        <w:t xml:space="preserve"> </w:t>
      </w:r>
      <w:r>
        <w:t xml:space="preserve">market predictability—a direct operationalisation of the control</w:t>
      </w:r>
      <w:r>
        <w:t xml:space="preserve"> </w:t>
      </w:r>
      <w:r>
        <w:t xml:space="preserve">illusion construct in the financial markets context—and provides an</w:t>
      </w:r>
      <w:r>
        <w:t xml:space="preserve"> </w:t>
      </w:r>
      <w:r>
        <w:t xml:space="preserve">independently sourced, options-market-based cross-check on the margin</w:t>
      </w:r>
      <w:r>
        <w:t xml:space="preserve"> </w:t>
      </w:r>
      <w:r>
        <w:t xml:space="preserve">debt results. The regime dummy for this proxy is constructed identically</w:t>
      </w:r>
      <w:r>
        <w:t xml:space="preserve"> </w:t>
      </w:r>
      <w:r>
        <w:t xml:space="preserve">to Equation A.8.3, with the 66th percentile threshold applied to the</w:t>
      </w:r>
      <w:r>
        <w:t xml:space="preserve"> </w:t>
      </w:r>
      <w:r>
        <w:t xml:space="preserve">full in-sample distribution of</w:t>
      </w:r>
      <w:r>
        <w:t xml:space="preserve"> </w:t>
      </w:r>
      <w:r>
        <w:rPr>
          <w:iCs/>
          <w:i/>
        </w:rPr>
        <w:t xml:space="preserve">C2P(t)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A.8.1 — Summary of H2 Behavioral State Variable Construction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738"/>
        <w:gridCol w:w="1835"/>
        <w:gridCol w:w="1545"/>
        <w:gridCol w:w="1255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Δʸᵒʸ MDRatio(t)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FINRA margin debt</w:t>
            </w:r>
            <w:r>
              <w:t xml:space="preserve"> </w:t>
            </w:r>
            <w:r>
              <w:t xml:space="preserve">/ LSEG .W5KF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(EOM)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66th pctile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C2P(t)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[robustness]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CBOE equity</w:t>
            </w:r>
            <w:r>
              <w:t xml:space="preserve"> </w:t>
            </w:r>
            <w:r>
              <w:t xml:space="preserve">call-to-put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avg. of</w:t>
            </w:r>
            <w:r>
              <w:t xml:space="preserve"> </w:t>
            </w: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66th pctile</w:t>
            </w:r>
          </w:p>
        </w:tc>
      </w:tr>
    </w:tbl>
    <w:p>
      <w:pPr>
        <w:pStyle w:val="BlockText"/>
      </w:pPr>
      <w:r>
        <w:rPr>
          <w:iCs/>
          <w:i/>
        </w:rPr>
        <w:t xml:space="preserve">EOM = end of month. The 66th percentile threshold for both proxies is</w:t>
      </w:r>
      <w:r>
        <w:rPr>
          <w:iCs/>
          <w:i/>
        </w:rPr>
        <w:t xml:space="preserve"> </w:t>
      </w:r>
      <w:r>
        <w:rPr>
          <w:iCs/>
          <w:i/>
        </w:rPr>
        <w:t xml:space="preserve">computed over the full in-sample distribution of the respective</w:t>
      </w:r>
      <w:r>
        <w:rPr>
          <w:iCs/>
          <w:i/>
        </w:rPr>
        <w:t xml:space="preserve"> </w:t>
      </w:r>
      <w:r>
        <w:rPr>
          <w:iCs/>
          <w:i/>
        </w:rPr>
        <w:t xml:space="preserve">variable, held fixed across all regression specifications. C2P(t)</w:t>
      </w:r>
      <w:r>
        <w:rPr>
          <w:iCs/>
          <w:i/>
        </w:rPr>
        <w:t xml:space="preserve"> </w:t>
      </w:r>
      <w:r>
        <w:rPr>
          <w:iCs/>
          <w:i/>
        </w:rPr>
        <w:t xml:space="preserve">serves as a robustness check only and does not enter the primary H2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specification.</w:t>
      </w:r>
    </w:p>
    <w:p>
      <w:pPr>
        <w:pStyle w:val="FirstParagraph"/>
      </w:pPr>
      <w:r>
        <w:rPr>
          <w:iCs/>
          <w:i/>
        </w:rPr>
        <w:t xml:space="preserve">Last updated: March 2026 — Bogazici University, Management Department</w:t>
      </w:r>
      <w:r>
        <w:rPr>
          <w:iCs/>
          <w:i/>
        </w:rPr>
        <w:t xml:space="preserve"> </w:t>
      </w:r>
      <w:r>
        <w:rPr>
          <w:iCs/>
          <w:i/>
        </w:rPr>
        <w:t xml:space="preserve">—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2026-04-18T16:47:46Z</dcterms:created>
  <dcterms:modified xsi:type="dcterms:W3CDTF">2026-04-18T16:47:46Z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