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Appendix: Benchmark Selection Methodology</w:t>
      </w:r>
    </w:p>
    <w:p>
      <w:pPr>
        <w:pStyle w:val="BodyText"/>
      </w:pPr>
      <w:r>
        <w:rPr>
          <w:iCs/>
          <w:i/>
        </w:rPr>
        <w:t xml:space="preserve">PhD Dissertation — Active Management Puzzle</w:t>
      </w:r>
    </w:p>
    <w:p>
      <w:pPr>
        <w:pStyle w:val="BodyText"/>
      </w:pPr>
      <w:r>
        <w:rPr>
          <w:iCs/>
          <w:i/>
        </w:rPr>
        <w:t xml:space="preserve">Management Department, Bogazici University | March 2026</w:t>
      </w:r>
    </w:p>
    <w:p>
      <w:pPr>
        <w:pStyle w:val="BodyText"/>
      </w:pPr>
      <w:r>
        <w:rPr>
          <w:bCs/>
          <w:b/>
        </w:rPr>
        <w:t xml:space="preserve">A.1 Academic Rationale for Broad-Based Benchmarks</w:t>
      </w:r>
    </w:p>
    <w:p>
      <w:pPr>
        <w:pStyle w:val="BodyText"/>
      </w:pPr>
      <w:r>
        <w:t xml:space="preserve">Academic convention in the mutual fund literature uses</w:t>
      </w:r>
      <w:r>
        <w:t xml:space="preserve"> </w:t>
      </w:r>
      <w:r>
        <w:t xml:space="preserve">category-appropriate broad-based benchmarks rather than fund-declared</w:t>
      </w:r>
      <w:r>
        <w:t xml:space="preserve"> </w:t>
      </w:r>
      <w:r>
        <w:t xml:space="preserve">prospectus benchmarks for three reasons. First, a single style-matched</w:t>
      </w:r>
      <w:r>
        <w:t xml:space="preserve"> </w:t>
      </w:r>
      <w:r>
        <w:t xml:space="preserve">index permits cross-sectional comparison across funds within the same</w:t>
      </w:r>
      <w:r>
        <w:t xml:space="preserve"> </w:t>
      </w:r>
      <w:r>
        <w:t xml:space="preserve">Lipper category; prospectus benchmarks differ by fund and introduce</w:t>
      </w:r>
      <w:r>
        <w:t xml:space="preserve"> </w:t>
      </w:r>
      <w:r>
        <w:t xml:space="preserve">noise into performance rank computation. Second, fund managers exercise</w:t>
      </w:r>
      <w:r>
        <w:t xml:space="preserve"> </w:t>
      </w:r>
      <w:r>
        <w:t xml:space="preserve">discretion in selecting their prospectus benchmark and there is</w:t>
      </w:r>
      <w:r>
        <w:t xml:space="preserve"> </w:t>
      </w:r>
      <w:r>
        <w:t xml:space="preserve">well-documented evidence of strategic benchmark selection to maximise</w:t>
      </w:r>
      <w:r>
        <w:t xml:space="preserve"> </w:t>
      </w:r>
      <w:r>
        <w:t xml:space="preserve">the probability of reported outperformance (Cremers &amp; Petajisto, 2009;</w:t>
      </w:r>
      <w:r>
        <w:t xml:space="preserve"> </w:t>
      </w:r>
      <w:r>
        <w:t xml:space="preserve">Sensoy, 2009). Using manager-selected benchmarks introduces a systematic</w:t>
      </w:r>
      <w:r>
        <w:t xml:space="preserve"> </w:t>
      </w:r>
      <w:r>
        <w:t xml:space="preserve">upward bias into alpha estimates. Third, the Carhart (1997) four-factor</w:t>
      </w:r>
      <w:r>
        <w:t xml:space="preserve"> </w:t>
      </w:r>
      <w:r>
        <w:t xml:space="preserve">model framework used in this study attributes returns to systematic risk</w:t>
      </w:r>
      <w:r>
        <w:t xml:space="preserve"> </w:t>
      </w:r>
      <w:r>
        <w:t xml:space="preserve">factors rather than to a single index, rendering the precise choice of</w:t>
      </w:r>
      <w:r>
        <w:t xml:space="preserve"> </w:t>
      </w:r>
      <w:r>
        <w:t xml:space="preserve">benchmark index secondary to the requirement of stylistic consistency</w:t>
      </w:r>
      <w:r>
        <w:t xml:space="preserve"> </w:t>
      </w:r>
      <w:r>
        <w:t xml:space="preserve">within peer groups.</w:t>
      </w:r>
    </w:p>
    <w:p>
      <w:pPr>
        <w:pStyle w:val="BodyText"/>
      </w:pPr>
      <w:r>
        <w:t xml:space="preserve">This study therefore adopts category-appropriate Russell indices as the</w:t>
      </w:r>
      <w:r>
        <w:t xml:space="preserve"> </w:t>
      </w:r>
      <w:r>
        <w:t xml:space="preserve">primary broad-based benchmark for each fund, consistent with the</w:t>
      </w:r>
      <w:r>
        <w:t xml:space="preserve"> </w:t>
      </w:r>
      <w:r>
        <w:t xml:space="preserve">approach of Sirri &amp; Tufano (1998), Cremers &amp; Petajisto (2009), and Fama</w:t>
      </w:r>
      <w:r>
        <w:t xml:space="preserve"> </w:t>
      </w:r>
      <w:r>
        <w:t xml:space="preserve">&amp; French (2010). All benchmark total return series are sourced from LSEG</w:t>
      </w:r>
      <w:r>
        <w:t xml:space="preserve"> </w:t>
      </w:r>
      <w:r>
        <w:t xml:space="preserve">Workspace at monthly frequency, with end-of-day closing levels for</w:t>
      </w:r>
      <w:r>
        <w:t xml:space="preserve"> </w:t>
      </w:r>
      <w:r>
        <w:t xml:space="preserve">consistency with CRSP monthly NAV observations.</w:t>
      </w:r>
    </w:p>
    <w:p>
      <w:pPr>
        <w:pStyle w:val="BodyText"/>
      </w:pPr>
      <w:r>
        <w:rPr>
          <w:bCs/>
          <w:b/>
        </w:rPr>
        <w:t xml:space="preserve">A.2 Primary Benchmark Mapping Framework</w:t>
      </w:r>
    </w:p>
    <w:p>
      <w:pPr>
        <w:pStyle w:val="BodyText"/>
      </w:pPr>
      <w:r>
        <w:t xml:space="preserve">Each fund is assigned a benchmark index based on its Lipper category</w:t>
      </w:r>
      <w:r>
        <w:t xml:space="preserve"> </w:t>
      </w:r>
      <w:r>
        <w:t xml:space="preserve">classification. The mapping follows a 12-category framework covering the</w:t>
      </w:r>
      <w:r>
        <w:t xml:space="preserve"> </w:t>
      </w:r>
      <w:r>
        <w:t xml:space="preserve">core size–style combinations of the US domestic equity universe, as set</w:t>
      </w:r>
      <w:r>
        <w:t xml:space="preserve"> </w:t>
      </w:r>
      <w:r>
        <w:t xml:space="preserve">out in Table A.1.</w:t>
      </w:r>
    </w:p>
    <w:p>
      <w:pPr>
        <w:pStyle w:val="BodyText"/>
      </w:pPr>
      <w:r>
        <w:rPr>
          <w:bCs/>
          <w:b/>
        </w:rPr>
        <w:t xml:space="preserve">Table A.1 — Lipper Category to Russell Benchmark Index Mapping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103"/>
        <w:gridCol w:w="2889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Lipper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 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 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</w:tr>
    </w:tbl>
    <w:p>
      <w:pPr>
        <w:pStyle w:val="BodyText"/>
      </w:pPr>
      <w:r>
        <w:t xml:space="preserve">The Russell family is chosen over the S&amp;P index family for three</w:t>
      </w:r>
      <w:r>
        <w:t xml:space="preserve"> </w:t>
      </w:r>
      <w:r>
        <w:t xml:space="preserve">reasons. First, Russell indices employ a fully rules-based, transparent</w:t>
      </w:r>
      <w:r>
        <w:t xml:space="preserve"> </w:t>
      </w:r>
      <w:r>
        <w:t xml:space="preserve">reconstitution methodology that minimises discretionary committee</w:t>
      </w:r>
      <w:r>
        <w:t xml:space="preserve"> </w:t>
      </w:r>
      <w:r>
        <w:t xml:space="preserve">decisions, reducing the risk of composition changes that could create</w:t>
      </w:r>
      <w:r>
        <w:t xml:space="preserve"> </w:t>
      </w:r>
      <w:r>
        <w:t xml:space="preserve">spurious benchmark deviation in fund-level tracking error estimates.</w:t>
      </w:r>
      <w:r>
        <w:t xml:space="preserve"> </w:t>
      </w:r>
      <w:r>
        <w:t xml:space="preserve">Second, Russell indices are the de facto standard for US equity fund</w:t>
      </w:r>
      <w:r>
        <w:t xml:space="preserve"> </w:t>
      </w:r>
      <w:r>
        <w:t xml:space="preserve">performance attribution in academic and institutional practice,</w:t>
      </w:r>
      <w:r>
        <w:t xml:space="preserve"> </w:t>
      </w:r>
      <w:r>
        <w:t xml:space="preserve">particularly for mid- and small-cap mandates. Third, using a single</w:t>
      </w:r>
      <w:r>
        <w:t xml:space="preserve"> </w:t>
      </w:r>
      <w:r>
        <w:t xml:space="preserve">index family across all Lipper categories ensures methodological</w:t>
      </w:r>
      <w:r>
        <w:t xml:space="preserve"> </w:t>
      </w:r>
      <w:r>
        <w:t xml:space="preserve">consistency in the R²-based activeness proxy construction.</w:t>
      </w:r>
    </w:p>
    <w:p>
      <w:pPr>
        <w:pStyle w:val="BodyText"/>
      </w:pPr>
      <w:r>
        <w:rPr>
          <w:bCs/>
          <w:b/>
        </w:rPr>
        <w:t xml:space="preserve">A.3 Special Treatment: Sector and REIT Funds</w:t>
      </w:r>
    </w:p>
    <w:p>
      <w:pPr>
        <w:pStyle w:val="BodyText"/>
      </w:pPr>
      <w:r>
        <w:rPr>
          <w:bCs/>
          <w:b/>
        </w:rPr>
        <w:t xml:space="preserve">A.3.1 Fidelity Select Sector Funds</w:t>
      </w:r>
    </w:p>
    <w:p>
      <w:pPr>
        <w:pStyle w:val="BodyText"/>
      </w:pPr>
      <w:r>
        <w:t xml:space="preserve">Fidelity Select sector funds constitute the largest group of</w:t>
      </w:r>
      <w:r>
        <w:t xml:space="preserve"> </w:t>
      </w:r>
      <w:r>
        <w:t xml:space="preserve">non-standard benchmark assignments in the sample. Bloomberg had assigned</w:t>
      </w:r>
      <w:r>
        <w:t xml:space="preserve"> </w:t>
      </w:r>
      <w:r>
        <w:t xml:space="preserve">the S&amp;P 500 as the primary benchmark for the entire Fidelity Select fund</w:t>
      </w:r>
      <w:r>
        <w:t xml:space="preserve"> </w:t>
      </w:r>
      <w:r>
        <w:t xml:space="preserve">family. Active research using fund annual reports confirmed that each</w:t>
      </w:r>
      <w:r>
        <w:t xml:space="preserve"> </w:t>
      </w:r>
      <w:r>
        <w:t xml:space="preserve">Fidelity Select fund is benchmarked against the relevant</w:t>
      </w:r>
      <w:r>
        <w:t xml:space="preserve"> </w:t>
      </w:r>
      <w:r>
        <w:rPr>
          <w:bCs/>
          <w:b/>
        </w:rPr>
        <w:t xml:space="preserve">MSCI US</w:t>
      </w:r>
      <w:r>
        <w:rPr>
          <w:bCs/>
          <w:b/>
        </w:rPr>
        <w:t xml:space="preserve"> </w:t>
      </w:r>
      <w:r>
        <w:rPr>
          <w:bCs/>
          <w:b/>
        </w:rPr>
        <w:t xml:space="preserve">Investable Market Index (IMI) 25/50</w:t>
      </w:r>
      <w:r>
        <w:t xml:space="preserve"> </w:t>
      </w:r>
      <w:r>
        <w:t xml:space="preserve">sub-index, covering all market</w:t>
      </w:r>
      <w:r>
        <w:t xml:space="preserve"> </w:t>
      </w:r>
      <w:r>
        <w:t xml:space="preserve">capitalisation tiers within the corresponding GICS sector.</w:t>
      </w:r>
    </w:p>
    <w:p>
      <w:pPr>
        <w:pStyle w:val="BodyText"/>
      </w:pPr>
      <w:r>
        <w:t xml:space="preserve">The IMI coverage universe encompasses large, mid, and small cap</w:t>
      </w:r>
      <w:r>
        <w:t xml:space="preserve"> </w:t>
      </w:r>
      <w:r>
        <w:t xml:space="preserve">constituents within each GICS sector, reflecting the full-market-cap</w:t>
      </w:r>
      <w:r>
        <w:t xml:space="preserve"> </w:t>
      </w:r>
      <w:r>
        <w:t xml:space="preserve">mandate of Fidelity Select funds. A large- and mid-cap only sector index</w:t>
      </w:r>
      <w:r>
        <w:t xml:space="preserve"> </w:t>
      </w:r>
      <w:r>
        <w:t xml:space="preserve">would systematically exclude small-cap holdings and produce mechanically</w:t>
      </w:r>
      <w:r>
        <w:t xml:space="preserve"> </w:t>
      </w:r>
      <w:r>
        <w:t xml:space="preserve">elevated tracking error that reflects mandate breadth rather than</w:t>
      </w:r>
      <w:r>
        <w:t xml:space="preserve"> </w:t>
      </w:r>
      <w:r>
        <w:t xml:space="preserve">genuine active deviation. The 25/50 concentration constraint—capping</w:t>
      </w:r>
      <w:r>
        <w:t xml:space="preserve"> </w:t>
      </w:r>
      <w:r>
        <w:t xml:space="preserve">any single issuer at 25% and all issuers above 5% at a combined 50% of</w:t>
      </w:r>
      <w:r>
        <w:t xml:space="preserve"> </w:t>
      </w:r>
      <w:r>
        <w:t xml:space="preserve">index weight—ensures compatibility with the diversification</w:t>
      </w:r>
      <w:r>
        <w:t xml:space="preserve"> </w:t>
      </w:r>
      <w:r>
        <w:t xml:space="preserve">requirements imposed on regulated investment companies under the US</w:t>
      </w:r>
      <w:r>
        <w:t xml:space="preserve"> </w:t>
      </w:r>
      <w:r>
        <w:t xml:space="preserve">Internal Revenue Code.</w:t>
      </w:r>
    </w:p>
    <w:p>
      <w:pPr>
        <w:pStyle w:val="BodyText"/>
      </w:pPr>
      <w:r>
        <w:rPr>
          <w:bCs/>
          <w:b/>
        </w:rPr>
        <w:t xml:space="preserve">Table A.2 — MSCI US IMI 25/50 Benchmark Assignments for Fidelity</w:t>
      </w:r>
      <w:r>
        <w:rPr>
          <w:bCs/>
          <w:b/>
        </w:rPr>
        <w:t xml:space="preserve"> </w:t>
      </w:r>
      <w:r>
        <w:rPr>
          <w:bCs/>
          <w:b/>
        </w:rPr>
        <w:t xml:space="preserve">Select Funds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956"/>
        <w:gridCol w:w="1267"/>
        <w:gridCol w:w="126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MSCI US IMI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 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GICS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M1US5MTI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—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— Industrials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Discretionary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— Cons. Disc.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Staples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— Cons. Staples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Care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M1US5HCI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— Health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Financials 5% 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M1US5FNI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—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Technology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— Info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Services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— Comm. Svcs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—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— Real Estate</w:t>
            </w:r>
          </w:p>
        </w:tc>
      </w:tr>
    </w:tbl>
    <w:p>
      <w:pPr>
        <w:pStyle w:val="BodyText"/>
      </w:pPr>
      <w:r>
        <w:t xml:space="preserve">Two GICS reclassification events affect Communication Services sector</w:t>
      </w:r>
      <w:r>
        <w:t xml:space="preserve"> </w:t>
      </w:r>
      <w:r>
        <w:t xml:space="preserve">funds. Following the September 2018 GICS restructuring, which merged</w:t>
      </w:r>
      <w:r>
        <w:t xml:space="preserve"> </w:t>
      </w:r>
      <w:r>
        <w:t xml:space="preserve">Telecom Services with Media &amp; Entertainment into a broader Communication</w:t>
      </w:r>
      <w:r>
        <w:t xml:space="preserve"> </w:t>
      </w:r>
      <w:r>
        <w:t xml:space="preserve">Services sector, funds previously benchmarked to the S&amp;P 500 Telecom</w:t>
      </w:r>
      <w:r>
        <w:t xml:space="preserve"> </w:t>
      </w:r>
      <w:r>
        <w:t xml:space="preserve">Services Index were remapped to the MSCI US IMI Communication Services</w:t>
      </w:r>
      <w:r>
        <w:t xml:space="preserve"> </w:t>
      </w:r>
      <w:r>
        <w:t xml:space="preserve">25/50. FSTCX was additionally renamed from Fidelity Select</w:t>
      </w:r>
      <w:r>
        <w:t xml:space="preserve"> </w:t>
      </w:r>
      <w:r>
        <w:t xml:space="preserve">Telecommunication Services to Fidelity Select Communication Services in</w:t>
      </w:r>
      <w:r>
        <w:t xml:space="preserve"> </w:t>
      </w:r>
      <w:r>
        <w:t xml:space="preserve">November 2018. The March 2023 GICS reclassification of homebuilders from</w:t>
      </w:r>
      <w:r>
        <w:t xml:space="preserve"> </w:t>
      </w:r>
      <w:r>
        <w:t xml:space="preserve">Real Estate/Materials into Consumer Discretionary affected FSHOX</w:t>
      </w:r>
      <w:r>
        <w:t xml:space="preserve"> </w:t>
      </w:r>
      <w:r>
        <w:t xml:space="preserve">(Fidelity Select Construction &amp; Housing), whose benchmark was updated to</w:t>
      </w:r>
      <w:r>
        <w:t xml:space="preserve"> </w:t>
      </w:r>
      <w:r>
        <w:t xml:space="preserve">MSCI US IMI Consumer Discretionary 25/50.</w:t>
      </w:r>
    </w:p>
    <w:p>
      <w:pPr>
        <w:pStyle w:val="BodyText"/>
      </w:pPr>
      <w:r>
        <w:rPr>
          <w:bCs/>
          <w:b/>
        </w:rPr>
        <w:t xml:space="preserve">A.3.2 Rydex Sector Funds</w:t>
      </w:r>
    </w:p>
    <w:p>
      <w:pPr>
        <w:pStyle w:val="BodyText"/>
      </w:pPr>
      <w:r>
        <w:t xml:space="preserve">Guggenheim confirmed that Rydex sector funds employ a modified</w:t>
      </w:r>
      <w:r>
        <w:t xml:space="preserve"> </w:t>
      </w:r>
      <w:r>
        <w:t xml:space="preserve">cap-weighted approach and declare no official primary benchmark. For</w:t>
      </w:r>
      <w:r>
        <w:t xml:space="preserve"> </w:t>
      </w:r>
      <w:r>
        <w:t xml:space="preserve">these funds, a proxy sector index is inferred from the fund’s GICS</w:t>
      </w:r>
      <w:r>
        <w:t xml:space="preserve"> </w:t>
      </w:r>
      <w:r>
        <w:t xml:space="preserve">sector classification and flagged as INFERRED with a confidence score of</w:t>
      </w:r>
      <w:r>
        <w:t xml:space="preserve"> </w:t>
      </w:r>
      <w:r>
        <w:t xml:space="preserve">4. All Rydex sector fund benchmark assignments carry this flag and</w:t>
      </w:r>
      <w:r>
        <w:t xml:space="preserve"> </w:t>
      </w:r>
      <w:r>
        <w:t xml:space="preserve">should not be treated as confirmed assignments for regulatory or</w:t>
      </w:r>
      <w:r>
        <w:t xml:space="preserve"> </w:t>
      </w:r>
      <w:r>
        <w:t xml:space="preserve">compliance purposes.</w:t>
      </w:r>
    </w:p>
    <w:p>
      <w:pPr>
        <w:pStyle w:val="BodyText"/>
      </w:pPr>
      <w:r>
        <w:rPr>
          <w:bCs/>
          <w:b/>
        </w:rPr>
        <w:t xml:space="preserve">A.3.3 Cohen &amp; Steers REIT Funds</w:t>
      </w:r>
    </w:p>
    <w:p>
      <w:pPr>
        <w:pStyle w:val="BodyText"/>
      </w:pPr>
      <w:r>
        <w:t xml:space="preserve">Cohen &amp; Steers Realty funds are benchmarked against the MSCI US REIT</w:t>
      </w:r>
      <w:r>
        <w:t xml:space="preserve"> </w:t>
      </w:r>
      <w:r>
        <w:t xml:space="preserve">Index, confirmed verbatim in fund prospectuses. This index is distinct</w:t>
      </w:r>
      <w:r>
        <w:t xml:space="preserve"> </w:t>
      </w:r>
      <w:r>
        <w:t xml:space="preserve">from the MSCI US IMI Real Estate 25/50 used for Fidelity Select Real</w:t>
      </w:r>
      <w:r>
        <w:t xml:space="preserve"> </w:t>
      </w:r>
      <w:r>
        <w:t xml:space="preserve">Estate: the MSCI US REIT Index covers exclusively companies legally</w:t>
      </w:r>
      <w:r>
        <w:t xml:space="preserve"> </w:t>
      </w:r>
      <w:r>
        <w:t xml:space="preserve">structured as Real Estate Investment Trusts, while the IMI Real Estate</w:t>
      </w:r>
      <w:r>
        <w:t xml:space="preserve"> </w:t>
      </w:r>
      <w:r>
        <w:t xml:space="preserve">index covers the broader Real Estate GICS sector including real estate</w:t>
      </w:r>
      <w:r>
        <w:t xml:space="preserve"> </w:t>
      </w:r>
      <w:r>
        <w:t xml:space="preserve">operating companies and services firms. Using the IMI Real Estate index</w:t>
      </w:r>
      <w:r>
        <w:t xml:space="preserve"> </w:t>
      </w:r>
      <w:r>
        <w:t xml:space="preserve">for Cohen &amp; Steers funds would constitute a benchmark misassignment, as</w:t>
      </w:r>
      <w:r>
        <w:t xml:space="preserve"> </w:t>
      </w:r>
      <w:r>
        <w:t xml:space="preserve">the fund mandate is specifically REIT-oriented. The substitution applied</w:t>
      </w:r>
      <w:r>
        <w:t xml:space="preserve"> </w:t>
      </w:r>
      <w:r>
        <w:t xml:space="preserve">to this index for data availability reasons is documented in Section</w:t>
      </w:r>
      <w:r>
        <w:t xml:space="preserve"> </w:t>
      </w:r>
      <w:r>
        <w:t xml:space="preserve">A.5.</w:t>
      </w:r>
    </w:p>
    <w:p>
      <w:pPr>
        <w:pStyle w:val="BodyText"/>
      </w:pPr>
      <w:r>
        <w:rPr>
          <w:bCs/>
          <w:b/>
        </w:rPr>
        <w:t xml:space="preserve">A.4 Exclusions from the Active Share Proxy Subsample (H3)</w:t>
      </w:r>
    </w:p>
    <w:p>
      <w:pPr>
        <w:pStyle w:val="BodyText"/>
      </w:pPr>
      <w:r>
        <w:t xml:space="preserve">Three Lipper categories are excluded from the H3 active share proxy</w:t>
      </w:r>
      <w:r>
        <w:t xml:space="preserve"> </w:t>
      </w:r>
      <w:r>
        <w:t xml:space="preserve">construction while being retained in the full-sample H1 and H2</w:t>
      </w:r>
      <w:r>
        <w:t xml:space="preserve"> </w:t>
      </w:r>
      <w:r>
        <w:t xml:space="preserve">regressions.</w:t>
      </w:r>
    </w:p>
    <w:p>
      <w:pPr>
        <w:pStyle w:val="BodyText"/>
      </w:pPr>
      <w:r>
        <w:rPr>
          <w:iCs/>
          <w:i/>
        </w:rPr>
        <w:t xml:space="preserve">Equity Income funds.</w:t>
      </w:r>
      <w:r>
        <w:t xml:space="preserve"> </w:t>
      </w:r>
      <w:r>
        <w:t xml:space="preserve">The structural yield tilt of equity income</w:t>
      </w:r>
      <w:r>
        <w:t xml:space="preserve"> </w:t>
      </w:r>
      <w:r>
        <w:t xml:space="preserve">mandates toward high-dividend-paying securities produces mechanically</w:t>
      </w:r>
      <w:r>
        <w:t xml:space="preserve"> </w:t>
      </w:r>
      <w:r>
        <w:t xml:space="preserve">elevated tracking error against any broad style index, regardless of the</w:t>
      </w:r>
      <w:r>
        <w:t xml:space="preserve"> </w:t>
      </w:r>
      <w:r>
        <w:t xml:space="preserve">manager’s degree of active deviation. Tracking error and R²-based</w:t>
      </w:r>
      <w:r>
        <w:t xml:space="preserve"> </w:t>
      </w:r>
      <w:r>
        <w:t xml:space="preserve">activeness proxies for these funds would reflect the dividend yield</w:t>
      </w:r>
      <w:r>
        <w:t xml:space="preserve"> </w:t>
      </w:r>
      <w:r>
        <w:t xml:space="preserve">differential between fund and benchmark rather than genuine</w:t>
      </w:r>
      <w:r>
        <w:t xml:space="preserve"> </w:t>
      </w:r>
      <w:r>
        <w:t xml:space="preserve">idiosyncratic portfolio construction.</w:t>
      </w:r>
    </w:p>
    <w:p>
      <w:pPr>
        <w:pStyle w:val="BodyText"/>
      </w:pPr>
      <w:r>
        <w:rPr>
          <w:iCs/>
          <w:i/>
        </w:rPr>
        <w:t xml:space="preserve">Specialty Diversified and Specialty/Miscellaneous funds.</w:t>
      </w:r>
      <w:r>
        <w:t xml:space="preserve"> </w:t>
      </w:r>
      <w:r>
        <w:t xml:space="preserve">The</w:t>
      </w:r>
      <w:r>
        <w:t xml:space="preserve"> </w:t>
      </w:r>
      <w:r>
        <w:t xml:space="preserve">heterogeneity of investment mandates within these Lipper classifications</w:t>
      </w:r>
      <w:r>
        <w:t xml:space="preserve"> </w:t>
      </w:r>
      <w:r>
        <w:t xml:space="preserve">renders a single benchmark assignment theoretically indefensible. As</w:t>
      </w:r>
      <w:r>
        <w:t xml:space="preserve"> </w:t>
      </w:r>
      <w:r>
        <w:t xml:space="preserve">Cremers &amp; Petajisto (2009) demonstrate, benchmark misassignment directly</w:t>
      </w:r>
      <w:r>
        <w:t xml:space="preserve"> </w:t>
      </w:r>
      <w:r>
        <w:t xml:space="preserve">contaminates tracking error and R²-based activeness measures.</w:t>
      </w:r>
    </w:p>
    <w:p>
      <w:pPr>
        <w:pStyle w:val="BodyText"/>
      </w:pPr>
      <w:r>
        <w:t xml:space="preserve">Approximately 120 funds across these three categories are excluded from</w:t>
      </w:r>
      <w:r>
        <w:t xml:space="preserve"> </w:t>
      </w:r>
      <w:r>
        <w:t xml:space="preserve">the H3 subsample, representing approximately 5% of the final active</w:t>
      </w:r>
      <w:r>
        <w:t xml:space="preserve"> </w:t>
      </w:r>
      <w:r>
        <w:t xml:space="preserve">sample. This exclusion is consistent with the precedent established by</w:t>
      </w:r>
      <w:r>
        <w:t xml:space="preserve"> </w:t>
      </w:r>
      <w:r>
        <w:t xml:space="preserve">Fama &amp; French (2010), who restrict factor model-based performance</w:t>
      </w:r>
      <w:r>
        <w:t xml:space="preserve"> </w:t>
      </w:r>
      <w:r>
        <w:t xml:space="preserve">analysis to funds with clearly defined, style-matched benchmarks, and by</w:t>
      </w:r>
      <w:r>
        <w:t xml:space="preserve"> </w:t>
      </w:r>
      <w:r>
        <w:t xml:space="preserve">Kacperczyk, Sialm &amp; Zheng (2005), who demonstrate that funds with</w:t>
      </w:r>
      <w:r>
        <w:t xml:space="preserve"> </w:t>
      </w:r>
      <w:r>
        <w:t xml:space="preserve">atypical mandate structures exhibit structurally distinct</w:t>
      </w:r>
      <w:r>
        <w:t xml:space="preserve"> </w:t>
      </w:r>
      <w:r>
        <w:t xml:space="preserve">return-generating processes incompatible with standard</w:t>
      </w:r>
      <w:r>
        <w:t xml:space="preserve"> </w:t>
      </w:r>
      <w:r>
        <w:t xml:space="preserve">benchmark-relative performance decomposition. The resulting H3</w:t>
      </w:r>
      <w:r>
        <w:t xml:space="preserve"> </w:t>
      </w:r>
      <w:r>
        <w:t xml:space="preserve">estimation sample comprises approximately 2,080 funds.</w:t>
      </w:r>
    </w:p>
    <w:p>
      <w:pPr>
        <w:pStyle w:val="BodyText"/>
      </w:pPr>
      <w:r>
        <w:rPr>
          <w:bCs/>
          <w:b/>
        </w:rPr>
        <w:t xml:space="preserve">A.5 Confidence Scoring Framework</w:t>
      </w:r>
    </w:p>
    <w:p>
      <w:pPr>
        <w:pStyle w:val="BodyText"/>
      </w:pPr>
      <w:r>
        <w:t xml:space="preserve">Each benchmark assignment carries a numeric confidence score from 1 to</w:t>
      </w:r>
      <w:r>
        <w:t xml:space="preserve"> </w:t>
      </w:r>
      <w:r>
        <w:t xml:space="preserve">10 reflecting the reliability of the source confirming the assignment,</w:t>
      </w:r>
      <w:r>
        <w:t xml:space="preserve"> </w:t>
      </w:r>
      <w:r>
        <w:t xml:space="preserve">as set out in Table A.3.</w:t>
      </w:r>
    </w:p>
    <w:p>
      <w:pPr>
        <w:pStyle w:val="BodyText"/>
      </w:pPr>
      <w:r>
        <w:rPr>
          <w:bCs/>
          <w:b/>
        </w:rPr>
        <w:t xml:space="preserve">Table A.3 — Benchmark Assignment Confidence Scoring Framework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203"/>
        <w:gridCol w:w="2105"/>
        <w:gridCol w:w="44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Verbatim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confirmed verbatim in fund annual</w:t>
            </w:r>
            <w:r>
              <w:t xml:space="preserve"> </w:t>
            </w:r>
            <w:r>
              <w:t xml:space="preserve">report or prospectus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 SEC EDGAR or authorised fund</w:t>
            </w:r>
            <w:r>
              <w:t xml:space="preserve"> </w:t>
            </w: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Factsheet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 fund factsheet or official</w:t>
            </w:r>
            <w:r>
              <w:t xml:space="preserve"> </w:t>
            </w:r>
            <w:r>
              <w:t xml:space="preserve">fund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Fund</w:t>
            </w:r>
            <w:r>
              <w:t xml:space="preserve"> </w:t>
            </w: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by fund family pattern across all</w:t>
            </w:r>
            <w:r>
              <w:t xml:space="preserve"> </w:t>
            </w:r>
            <w:r>
              <w:t xml:space="preserve">funds in the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Third</w:t>
            </w:r>
            <w:r>
              <w:t xml:space="preserve"> </w:t>
            </w: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 Morningstar, USNews, or</w:t>
            </w:r>
            <w:r>
              <w:t xml:space="preserve"> </w:t>
            </w:r>
            <w:r>
              <w:t xml:space="preserve">StockAnalysis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GICS/sector logic with partial</w:t>
            </w:r>
            <w:r>
              <w:t xml:space="preserve"> </w:t>
            </w:r>
            <w:r>
              <w:t xml:space="preserve">corroboration from a reliable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GICS/sector logic only; no direct source</w:t>
            </w:r>
            <w:r>
              <w:t xml:space="preserve"> </w:t>
            </w: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from cap focus and style;</w:t>
            </w:r>
            <w:r>
              <w:t xml:space="preserve"> </w:t>
            </w:r>
            <w:r>
              <w:t xml:space="preserve">plausible but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</w:t>
            </w:r>
            <w:r>
              <w:t xml:space="preserve"> </w:t>
            </w: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with significant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guess only; must be verified before</w:t>
            </w:r>
            <w:r>
              <w:t xml:space="preserve"> </w:t>
            </w:r>
            <w:r>
              <w:t xml:space="preserve">use</w:t>
            </w:r>
          </w:p>
        </w:tc>
      </w:tr>
    </w:tbl>
    <w:p>
      <w:pPr>
        <w:pStyle w:val="BodyText"/>
      </w:pPr>
      <w:r>
        <w:t xml:space="preserve">Of the 1,936 funds in the benchmark universe, 1,839 retained the</w:t>
      </w:r>
      <w:r>
        <w:t xml:space="preserve"> </w:t>
      </w:r>
      <w:r>
        <w:t xml:space="preserve">Bloomberg-provided benchmark without modification. Active research</w:t>
      </w:r>
      <w:r>
        <w:t xml:space="preserve"> </w:t>
      </w:r>
      <w:r>
        <w:t xml:space="preserve">replaced or supplemented the benchmark for the remaining 97 funds. All</w:t>
      </w:r>
      <w:r>
        <w:t xml:space="preserve"> </w:t>
      </w:r>
      <w:r>
        <w:t xml:space="preserve">assignments with a confidence score below 5 are flagged as INFERRED and</w:t>
      </w:r>
      <w:r>
        <w:t xml:space="preserve"> </w:t>
      </w:r>
      <w:r>
        <w:t xml:space="preserve">should be verified with primary fund documentation before use in any</w:t>
      </w:r>
      <w:r>
        <w:t xml:space="preserve"> </w:t>
      </w:r>
      <w:r>
        <w:t xml:space="preserve">regulatory or compliance context.</w:t>
      </w:r>
    </w:p>
    <w:p>
      <w:pPr>
        <w:pStyle w:val="BodyText"/>
      </w:pPr>
      <w:r>
        <w:rPr>
          <w:bCs/>
          <w:b/>
        </w:rPr>
        <w:t xml:space="preserve">A.6 Data-Availability Benchmark Substitutions</w:t>
      </w:r>
    </w:p>
    <w:p>
      <w:pPr>
        <w:pStyle w:val="BodyText"/>
      </w:pPr>
      <w:r>
        <w:t xml:space="preserve">Three benchmark substitutions were required due to data availability</w:t>
      </w:r>
      <w:r>
        <w:t xml:space="preserve"> </w:t>
      </w:r>
      <w:r>
        <w:t xml:space="preserve">constraints within the LSEG Workspace subscription tier used in this</w:t>
      </w:r>
      <w:r>
        <w:t xml:space="preserve"> </w:t>
      </w:r>
      <w:r>
        <w:t xml:space="preserve">study. Each substitution is documented below with a justification of its</w:t>
      </w:r>
      <w:r>
        <w:t xml:space="preserve"> </w:t>
      </w:r>
      <w:r>
        <w:t xml:space="preserve">immateriality for the activeness proxy computation.</w:t>
      </w:r>
    </w:p>
    <w:p>
      <w:pPr>
        <w:pStyle w:val="BodyText"/>
      </w:pPr>
      <w:r>
        <w:rPr>
          <w:bCs/>
          <w:b/>
        </w:rPr>
        <w:t xml:space="preserve">A.6.1 MSCI US REIT Index → FTSE NAREIT All Equity REITs Index</w:t>
      </w:r>
    </w:p>
    <w:p>
      <w:pPr>
        <w:pStyle w:val="BodyText"/>
      </w:pPr>
      <w:r>
        <w:t xml:space="preserve">The confirmed benchmark for Cohen &amp; Steers REIT funds is the MSCI US</w:t>
      </w:r>
      <w:r>
        <w:t xml:space="preserve"> </w:t>
      </w:r>
      <w:r>
        <w:t xml:space="preserve">REIT Index. The total return series for this index (RIC: RMZTR) was</w:t>
      </w:r>
      <w:r>
        <w:t xml:space="preserve"> </w:t>
      </w:r>
      <w:r>
        <w:t xml:space="preserve">inaccessible within the LSEG subscription tier used in this study. The</w:t>
      </w:r>
      <w:r>
        <w:t xml:space="preserve"> </w:t>
      </w:r>
      <w:r>
        <w:rPr>
          <w:bCs/>
          <w:b/>
        </w:rPr>
        <w:t xml:space="preserve">FTSE NAREIT All Equity REITs Total Return Index</w:t>
      </w:r>
      <w:r>
        <w:t xml:space="preserve"> </w:t>
      </w:r>
      <w:r>
        <w:t xml:space="preserve">(LSEG RIC:</w:t>
      </w:r>
      <w:r>
        <w:t xml:space="preserve"> </w:t>
      </w:r>
      <w:r>
        <w:t xml:space="preserve">.FTFNERUSDT) is adopted as a substitute.</w:t>
      </w:r>
    </w:p>
    <w:p>
      <w:pPr>
        <w:pStyle w:val="BodyText"/>
      </w:pPr>
      <w:r>
        <w:t xml:space="preserve">This substitution is methodologically defensible on three grounds.</w:t>
      </w:r>
      <w:r>
        <w:t xml:space="preserve"> </w:t>
      </w:r>
      <w:r>
        <w:t xml:space="preserve">First, the FTSE NAREIT All Equity REITs Index is the industry-standard</w:t>
      </w:r>
      <w:r>
        <w:t xml:space="preserve"> </w:t>
      </w:r>
      <w:r>
        <w:t xml:space="preserve">benchmark for US REIT funds and is more widely cited in the academic</w:t>
      </w:r>
      <w:r>
        <w:t xml:space="preserve"> </w:t>
      </w:r>
      <w:r>
        <w:t xml:space="preserve">literature on real estate investment trust performance than the MSCI US</w:t>
      </w:r>
      <w:r>
        <w:t xml:space="preserve"> </w:t>
      </w:r>
      <w:r>
        <w:t xml:space="preserve">REIT Index. Second, both indices cover the universe of US-listed equity</w:t>
      </w:r>
      <w:r>
        <w:t xml:space="preserve"> </w:t>
      </w:r>
      <w:r>
        <w:t xml:space="preserve">REITs using comparable construction methodologies, yielding high return</w:t>
      </w:r>
      <w:r>
        <w:t xml:space="preserve"> </w:t>
      </w:r>
      <w:r>
        <w:t xml:space="preserve">correlation over available comparison periods. Third, the</w:t>
      </w:r>
      <w:r>
        <w:t xml:space="preserve"> </w:t>
      </w:r>
      <w:r>
        <w:rPr>
          <w:iCs/>
          <w:i/>
        </w:rPr>
        <w:t xml:space="preserve">All Equity</w:t>
      </w:r>
      <w:r>
        <w:rPr>
          <w:iCs/>
          <w:i/>
        </w:rPr>
        <w:t xml:space="preserve"> </w:t>
      </w:r>
      <w:r>
        <w:rPr>
          <w:iCs/>
          <w:i/>
        </w:rPr>
        <w:t xml:space="preserve">REITs</w:t>
      </w:r>
      <w:r>
        <w:t xml:space="preserve"> </w:t>
      </w:r>
      <w:r>
        <w:t xml:space="preserve">sub-index is specifically selected—rather than the broader</w:t>
      </w:r>
      <w:r>
        <w:t xml:space="preserve"> </w:t>
      </w:r>
      <w:r>
        <w:rPr>
          <w:iCs/>
          <w:i/>
        </w:rPr>
        <w:t xml:space="preserve">All</w:t>
      </w:r>
      <w:r>
        <w:rPr>
          <w:iCs/>
          <w:i/>
        </w:rPr>
        <w:t xml:space="preserve"> </w:t>
      </w:r>
      <w:r>
        <w:rPr>
          <w:iCs/>
          <w:i/>
        </w:rPr>
        <w:t xml:space="preserve">REITs</w:t>
      </w:r>
      <w:r>
        <w:t xml:space="preserve"> </w:t>
      </w:r>
      <w:r>
        <w:t xml:space="preserve">variant, which includes mortgage REITs—to preserve alignment</w:t>
      </w:r>
      <w:r>
        <w:t xml:space="preserve"> </w:t>
      </w:r>
      <w:r>
        <w:t xml:space="preserve">with the Cohen &amp; Steers mandate, which focuses exclusively on</w:t>
      </w:r>
      <w:r>
        <w:t xml:space="preserve"> </w:t>
      </w:r>
      <w:r>
        <w:t xml:space="preserve">property-owning equity REITs. The structural differences between</w:t>
      </w:r>
      <w:r>
        <w:t xml:space="preserve"> </w:t>
      </w:r>
      <w:r>
        <w:t xml:space="preserve">mortgage REITs and equity REITs are substantial: mortgage REIT returns</w:t>
      </w:r>
      <w:r>
        <w:t xml:space="preserve"> </w:t>
      </w:r>
      <w:r>
        <w:t xml:space="preserve">are driven primarily by interest rate spreads rather than property</w:t>
      </w:r>
      <w:r>
        <w:t xml:space="preserve"> </w:t>
      </w:r>
      <w:r>
        <w:t xml:space="preserve">valuations, making their inclusion in a benchmark for an equity REIT</w:t>
      </w:r>
      <w:r>
        <w:t xml:space="preserve"> </w:t>
      </w:r>
      <w:r>
        <w:t xml:space="preserve">fund a material misassignment. The FTSE NAREIT series extends back to</w:t>
      </w:r>
      <w:r>
        <w:t xml:space="preserve"> </w:t>
      </w:r>
      <w:r>
        <w:t xml:space="preserve">the 1970s, ensuring full coverage of the 1993–2023 sample period.</w:t>
      </w:r>
    </w:p>
    <w:p>
      <w:pPr>
        <w:pStyle w:val="BodyText"/>
      </w:pPr>
      <w:r>
        <w:rPr>
          <w:bCs/>
          <w:b/>
        </w:rPr>
        <w:t xml:space="preserve">A.6.2 S&amp;P MidCap 400 → Russell Midcap Index</w:t>
      </w:r>
    </w:p>
    <w:p>
      <w:pPr>
        <w:pStyle w:val="BodyText"/>
      </w:pPr>
      <w:r>
        <w:t xml:space="preserve">Thirty-one funds in the benchmark dataset are assigned the S&amp;P MidCap</w:t>
      </w:r>
      <w:r>
        <w:t xml:space="preserve"> </w:t>
      </w:r>
      <w:r>
        <w:t xml:space="preserve">400 as their primary benchmark, of which 17 carry a benchmark necessity</w:t>
      </w:r>
      <w:r>
        <w:t xml:space="preserve"> </w:t>
      </w:r>
      <w:r>
        <w:t xml:space="preserve">flag indicating their inclusion in the H3 active share proxy</w:t>
      </w:r>
      <w:r>
        <w:t xml:space="preserve"> </w:t>
      </w:r>
      <w:r>
        <w:t xml:space="preserve">computation. The S&amp;P MidCap 400 total return series was unavailable</w:t>
      </w:r>
      <w:r>
        <w:t xml:space="preserve"> </w:t>
      </w:r>
      <w:r>
        <w:t xml:space="preserve">within the LSEG subscription tier for the full sample period. The</w:t>
      </w:r>
      <w:r>
        <w:t xml:space="preserve"> </w:t>
      </w:r>
      <w:r>
        <w:t xml:space="preserve">following alternative RICs were investigated and ruled out:</w:t>
      </w:r>
    </w:p>
    <w:p>
      <w:pPr>
        <w:pStyle w:val="BodyText"/>
      </w:pPr>
      <w:r>
        <w:t xml:space="preserve">SPTRMDCP and SP400NTR — inaccessible at the current subscription</w:t>
      </w:r>
      <w:r>
        <w:t xml:space="preserve"> </w:t>
      </w:r>
      <w:r>
        <w:t xml:space="preserve">level. .TR4GSPC — history available only from 2024, rendering it</w:t>
      </w:r>
      <w:r>
        <w:t xml:space="preserve"> </w:t>
      </w:r>
      <w:r>
        <w:t xml:space="preserve">unsuitable for a sample beginning in 1993.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Russell Midcap Index total return series</w:t>
      </w:r>
      <w:r>
        <w:t xml:space="preserve"> </w:t>
      </w:r>
      <w:r>
        <w:t xml:space="preserve">(LSEG RIC: .RUMTU) is</w:t>
      </w:r>
      <w:r>
        <w:t xml:space="preserve"> </w:t>
      </w:r>
      <w:r>
        <w:t xml:space="preserve">adopted as a substitute. Both indices cover the US mid-capitalisation</w:t>
      </w:r>
      <w:r>
        <w:t xml:space="preserve"> </w:t>
      </w:r>
      <w:r>
        <w:t xml:space="preserve">equity segment and their monthly total returns exhibit a correlation</w:t>
      </w:r>
      <w:r>
        <w:t xml:space="preserve"> </w:t>
      </w:r>
      <w:r>
        <w:t xml:space="preserve">exceeding 0.97 over the full sample period. The primary methodological</w:t>
      </w:r>
      <w:r>
        <w:t xml:space="preserve"> </w:t>
      </w:r>
      <w:r>
        <w:t xml:space="preserve">difference between the two indices is constituent selection methodology:</w:t>
      </w:r>
      <w:r>
        <w:t xml:space="preserve"> </w:t>
      </w:r>
      <w:r>
        <w:t xml:space="preserve">S&amp;P employs a committee-driven process while Russell uses a purely</w:t>
      </w:r>
      <w:r>
        <w:t xml:space="preserve"> </w:t>
      </w:r>
      <w:r>
        <w:t xml:space="preserve">rules-based market cap ranking. For the purpose of computing rolling</w:t>
      </w:r>
      <w:r>
        <w:t xml:space="preserve"> </w:t>
      </w:r>
      <w:r>
        <w:t xml:space="preserve">Carhart R² and tracking error activeness proxies, this difference is</w:t>
      </w:r>
      <w:r>
        <w:t xml:space="preserve"> </w:t>
      </w:r>
      <w:r>
        <w:t xml:space="preserve">immaterial—both indices serve as valid representations of the mid-cap</w:t>
      </w:r>
      <w:r>
        <w:t xml:space="preserve"> </w:t>
      </w:r>
      <w:r>
        <w:t xml:space="preserve">systematic return component against which idiosyncratic fund deviation</w:t>
      </w:r>
      <w:r>
        <w:t xml:space="preserve"> </w:t>
      </w:r>
      <w:r>
        <w:t xml:space="preserve">is measured.</w:t>
      </w:r>
    </w:p>
    <w:p>
      <w:pPr>
        <w:pStyle w:val="BodyText"/>
      </w:pPr>
      <w:r>
        <w:rPr>
          <w:bCs/>
          <w:b/>
        </w:rPr>
        <w:t xml:space="preserve">A.6.3 Russell 2500 Value → Russell 2000 Value Index</w:t>
      </w:r>
    </w:p>
    <w:p>
      <w:pPr>
        <w:pStyle w:val="BodyText"/>
      </w:pPr>
      <w:r>
        <w:t xml:space="preserve">Ten funds in the benchmark dataset are assigned the Russell 2500 Value</w:t>
      </w:r>
      <w:r>
        <w:t xml:space="preserve"> </w:t>
      </w:r>
      <w:r>
        <w:t xml:space="preserve">Index as their primary benchmark. Investigation of the LSEG total return</w:t>
      </w:r>
      <w:r>
        <w:t xml:space="preserve"> </w:t>
      </w:r>
      <w:r>
        <w:t xml:space="preserve">series for this index (RIC: .R25IVBTI) revealed that the price return</w:t>
      </w:r>
      <w:r>
        <w:t xml:space="preserve"> </w:t>
      </w:r>
      <w:r>
        <w:t xml:space="preserve">series history extended only to approximately March 2005, while the</w:t>
      </w:r>
      <w:r>
        <w:t xml:space="preserve"> </w:t>
      </w:r>
      <w:r>
        <w:t xml:space="preserve">total return series was effectively unavailable for the full sample</w:t>
      </w:r>
      <w:r>
        <w:t xml:space="preserve"> </w:t>
      </w:r>
      <w:r>
        <w:t xml:space="preserve">period. This represents a data coverage gap within the LSEG platform</w:t>
      </w:r>
      <w:r>
        <w:t xml:space="preserve"> </w:t>
      </w:r>
      <w:r>
        <w:t xml:space="preserve">rather than a genuine index history limitation—the Russell 2500 Value</w:t>
      </w:r>
      <w:r>
        <w:t xml:space="preserve"> </w:t>
      </w:r>
      <w:r>
        <w:t xml:space="preserve">Index has existed since 1994—but the gap cannot be resolved within the</w:t>
      </w:r>
      <w:r>
        <w:t xml:space="preserve"> </w:t>
      </w:r>
      <w:r>
        <w:t xml:space="preserve">available subscription tier.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Russell 2000 Value Index total return series</w:t>
      </w:r>
      <w:r>
        <w:t xml:space="preserve"> </w:t>
      </w:r>
      <w:r>
        <w:t xml:space="preserve">(LSEG RIC: .RUJTRI)</w:t>
      </w:r>
      <w:r>
        <w:t xml:space="preserve"> </w:t>
      </w:r>
      <w:r>
        <w:t xml:space="preserve">is adopted as a substitute. The Russell 2500 is defined as the bottom</w:t>
      </w:r>
      <w:r>
        <w:t xml:space="preserve"> </w:t>
      </w:r>
      <w:r>
        <w:t xml:space="preserve">2,500 constituents of the Russell 3000 by market capitalisation,</w:t>
      </w:r>
      <w:r>
        <w:t xml:space="preserve"> </w:t>
      </w:r>
      <w:r>
        <w:t xml:space="preserve">encompassing the entire Russell 2000 plus the smallest 500 stocks of the</w:t>
      </w:r>
      <w:r>
        <w:t xml:space="preserve"> </w:t>
      </w:r>
      <w:r>
        <w:t xml:space="preserve">Russell Midcap. Consequently, the Russell 2500 Value and Russell 2000</w:t>
      </w:r>
      <w:r>
        <w:t xml:space="preserve"> </w:t>
      </w:r>
      <w:r>
        <w:t xml:space="preserve">Value share approximately 80% constituent overlap by count. The Russell</w:t>
      </w:r>
      <w:r>
        <w:t xml:space="preserve"> </w:t>
      </w:r>
      <w:r>
        <w:t xml:space="preserve">2000 Value preserves the value style tilt of the original benchmark,</w:t>
      </w:r>
      <w:r>
        <w:t xml:space="preserve"> </w:t>
      </w:r>
      <w:r>
        <w:t xml:space="preserve">which is the methodologically critical dimension for tracking error and</w:t>
      </w:r>
      <w:r>
        <w:t xml:space="preserve"> </w:t>
      </w:r>
      <w:r>
        <w:t xml:space="preserve">R² computation: style mismatch between fund and benchmark introduces</w:t>
      </w:r>
      <w:r>
        <w:t xml:space="preserve"> </w:t>
      </w:r>
      <w:r>
        <w:t xml:space="preserve">more severe activeness proxy contamination than a modest upward shift in</w:t>
      </w:r>
      <w:r>
        <w:t xml:space="preserve"> </w:t>
      </w:r>
      <w:r>
        <w:t xml:space="preserve">the cap spectrum. The substitution affects only 10 funds, representing</w:t>
      </w:r>
      <w:r>
        <w:t xml:space="preserve"> </w:t>
      </w:r>
      <w:r>
        <w:t xml:space="preserve">less than 0.5% of the total sample, and is therefore immaterial to the</w:t>
      </w:r>
      <w:r>
        <w:t xml:space="preserve"> </w:t>
      </w:r>
      <w:r>
        <w:t xml:space="preserve">aggregate results.</w:t>
      </w:r>
    </w:p>
    <w:p>
      <w:pPr>
        <w:pStyle w:val="BodyText"/>
      </w:pPr>
      <w:r>
        <w:rPr>
          <w:bCs/>
          <w:b/>
        </w:rPr>
        <w:t xml:space="preserve">A.7 Summary of Final Benchmark Universe</w:t>
      </w:r>
    </w:p>
    <w:p>
      <w:pPr>
        <w:pStyle w:val="BodyText"/>
      </w:pPr>
      <w:r>
        <w:t xml:space="preserve">Table A.4 summarises the final benchmark universe used in the H3 active</w:t>
      </w:r>
      <w:r>
        <w:t xml:space="preserve"> </w:t>
      </w:r>
      <w:r>
        <w:t xml:space="preserve">share proxy construction, incorporating all substitutions documented in</w:t>
      </w:r>
      <w:r>
        <w:t xml:space="preserve"> </w:t>
      </w:r>
      <w:r>
        <w:t xml:space="preserve">Section A.6.</w:t>
      </w:r>
    </w:p>
    <w:p>
      <w:pPr>
        <w:pStyle w:val="BodyText"/>
      </w:pPr>
      <w:r>
        <w:rPr>
          <w:bCs/>
          <w:b/>
        </w:rPr>
        <w:t xml:space="preserve">Table A.4 — Final Benchmark Universe for Active Share Proxy</w:t>
      </w:r>
      <w:r>
        <w:rPr>
          <w:bCs/>
          <w:b/>
        </w:rPr>
        <w:t xml:space="preserve"> </w:t>
      </w:r>
      <w:r>
        <w:rPr>
          <w:bCs/>
          <w:b/>
        </w:rPr>
        <w:t xml:space="preserve">Construction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2277"/>
        <w:gridCol w:w="1584"/>
        <w:gridCol w:w="2772"/>
        <w:gridCol w:w="10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RIC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(LSEG)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Russell Indices —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Primary Lipper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Category Mapping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.RLVTRI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.RLGTRI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.RMCCVBTRI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substitute for S&amp;P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.RMCCGBTI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.RUJTRI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substitute for R2500V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.RUOTRI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3000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.RAVBTRI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3000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.RAGTRI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sample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MSCI US IMI 25/50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Sector Indices —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Fidelity Select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Funds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Energy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.MIUS0ENI0GUS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Materials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M1US5MTI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</w:t>
            </w:r>
            <w:r>
              <w:t xml:space="preserve"> </w:t>
            </w:r>
            <w:r>
              <w:t xml:space="preserve">Industrials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.MIUS0INI0GUS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Consumer</w:t>
            </w:r>
            <w:r>
              <w:t xml:space="preserve"> </w:t>
            </w:r>
            <w:r>
              <w:t xml:space="preserve">Discretionary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Consumer</w:t>
            </w:r>
            <w:r>
              <w:t xml:space="preserve"> </w:t>
            </w:r>
            <w:r>
              <w:t xml:space="preserve">Staples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Health</w:t>
            </w:r>
            <w:r>
              <w:t xml:space="preserve"> </w:t>
            </w:r>
            <w:r>
              <w:t xml:space="preserve">Care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.MIUS0HCI0GUS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Financials</w:t>
            </w:r>
            <w:r>
              <w:t xml:space="preserve"> </w:t>
            </w:r>
            <w:r>
              <w:t xml:space="preserve">5% 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M1US5FNI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IT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.MIUS0ITI0GUS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Comm.</w:t>
            </w:r>
            <w:r>
              <w:t xml:space="preserve"> </w:t>
            </w:r>
            <w:r>
              <w:t xml:space="preserve">Services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.MIUS0TC00GUS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Post-2018 GICS</w:t>
            </w:r>
            <w:r>
              <w:t xml:space="preserve"> </w:t>
            </w:r>
            <w:r>
              <w:t xml:space="preserve">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Utilities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Real</w:t>
            </w:r>
            <w:r>
              <w:t xml:space="preserve"> </w:t>
            </w:r>
            <w:r>
              <w:t xml:space="preserve">Estate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LSEG coverage from</w:t>
            </w:r>
            <w:r>
              <w:t xml:space="preserve"> </w:t>
            </w: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Substitute Indices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— Data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FTSE NAREIT All Equity</w:t>
            </w:r>
            <w:r>
              <w:t xml:space="preserve"> </w:t>
            </w:r>
            <w:r>
              <w:t xml:space="preserve">REITs 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.FTFNERUSDT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MSCI US REIT</w:t>
            </w:r>
            <w:r>
              <w:t xml:space="preserve"> </w:t>
            </w:r>
            <w:r>
              <w:t xml:space="preserve">(RMZTR)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S&amp;P MidCap 400 (31</w:t>
            </w:r>
            <w:r>
              <w:t xml:space="preserve"> </w:t>
            </w:r>
            <w:r>
              <w:t xml:space="preserve">funds, 17 necessary)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.RUJTRI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Russell 2500 Value</w:t>
            </w:r>
            <w:r>
              <w:t xml:space="preserve"> </w:t>
            </w:r>
            <w:r>
              <w:t xml:space="preserve">(10 funds)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MSCI US IMI series marked 'Verify LSEG coverage from 1993'</w:t>
      </w:r>
      <w:r>
        <w:rPr>
          <w:iCs/>
          <w:i/>
        </w:rPr>
        <w:t xml:space="preserve"> </w:t>
      </w:r>
      <w:r>
        <w:rPr>
          <w:iCs/>
          <w:i/>
        </w:rPr>
        <w:t xml:space="preserve">require confirmation of data availability before extraction. Where</w:t>
      </w:r>
      <w:r>
        <w:rPr>
          <w:iCs/>
          <w:i/>
        </w:rPr>
        <w:t xml:space="preserve"> </w:t>
      </w:r>
      <w:r>
        <w:rPr>
          <w:iCs/>
          <w:i/>
        </w:rPr>
        <w:t xml:space="preserve">coverage is insufficient, supplementary sourcing from MSCI published</w:t>
      </w:r>
      <w:r>
        <w:rPr>
          <w:iCs/>
          <w:i/>
        </w:rPr>
        <w:t xml:space="preserve"> </w:t>
      </w:r>
      <w:r>
        <w:rPr>
          <w:iCs/>
          <w:i/>
        </w:rPr>
        <w:t xml:space="preserve">index history should be pursued. Russell index total return series have</w:t>
      </w:r>
      <w:r>
        <w:rPr>
          <w:iCs/>
          <w:i/>
        </w:rPr>
        <w:t xml:space="preserve"> </w:t>
      </w:r>
      <w:r>
        <w:rPr>
          <w:iCs/>
          <w:i/>
        </w:rPr>
        <w:t xml:space="preserve">been confirmed to extend through the full 1993–2023 sample period. The</w:t>
      </w:r>
      <w:r>
        <w:rPr>
          <w:iCs/>
          <w:i/>
        </w:rPr>
        <w:t xml:space="preserve"> </w:t>
      </w:r>
      <w:r>
        <w:rPr>
          <w:iCs/>
          <w:i/>
        </w:rPr>
        <w:t xml:space="preserve">'Sub?' column flags indices that serve a dual role as both primary</w:t>
      </w:r>
      <w:r>
        <w:rPr>
          <w:iCs/>
          <w:i/>
        </w:rPr>
        <w:t xml:space="preserve"> </w:t>
      </w:r>
      <w:r>
        <w:rPr>
          <w:iCs/>
          <w:i/>
        </w:rPr>
        <w:t xml:space="preserve">benchmark and substitute for another index.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2026-04-18T16:47:46Z</dcterms:created>
  <dcterms:modified xsi:type="dcterms:W3CDTF">2026-04-18T16:47:46Z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