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Benchmark Index Mapping by Lipper Category</w:t>
      </w:r>
    </w:p>
    <w:p>
      <w:pPr>
        <w:pStyle w:val="BodyText"/>
      </w:pPr>
      <w:r>
        <w:t xml:space="preserve">US Domestic Equity Mutual Funds — Active Share Proxy Construction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2605"/>
        <w:gridCol w:w="1354"/>
        <w:gridCol w:w="1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Lipper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 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 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 Cap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 Cap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FTSE Russell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Exclusion Justification: Equity Income, Specialty Diversified, and</w:t>
      </w:r>
      <w:r>
        <w:rPr>
          <w:bCs/>
          <w:b/>
        </w:rPr>
        <w:t xml:space="preserve"> </w:t>
      </w:r>
      <w:r>
        <w:rPr>
          <w:bCs/>
          <w:b/>
        </w:rPr>
        <w:t xml:space="preserve">Specialty/Miscellaneous Funds</w:t>
      </w:r>
    </w:p>
    <w:p>
      <w:pPr>
        <w:pStyle w:val="BodyText"/>
      </w:pPr>
      <w:r>
        <w:t xml:space="preserve">Equity income, specialty diversified, and specialty/miscellaneous funds</w:t>
      </w:r>
      <w:r>
        <w:t xml:space="preserve"> </w:t>
      </w:r>
      <w:r>
        <w:t xml:space="preserve">are excluded from the Active Share proxy construction component of this</w:t>
      </w:r>
      <w:r>
        <w:t xml:space="preserve"> </w:t>
      </w:r>
      <w:r>
        <w:t xml:space="preserve">study. These Lipper categories lack sub-classifications along the size</w:t>
      </w:r>
      <w:r>
        <w:t xml:space="preserve"> </w:t>
      </w:r>
      <w:r>
        <w:t xml:space="preserve">and style dimensions that underpin the 12-category benchmark mapping</w:t>
      </w:r>
      <w:r>
        <w:t xml:space="preserve"> </w:t>
      </w:r>
      <w:r>
        <w:t xml:space="preserve">framework above, precluding unambiguous benchmark assignment. As Cremers</w:t>
      </w:r>
      <w:r>
        <w:t xml:space="preserve"> </w:t>
      </w:r>
      <w:r>
        <w:t xml:space="preserve">and Petajisto (2009) demonstrate, benchmark misassignment directly</w:t>
      </w:r>
      <w:r>
        <w:t xml:space="preserve"> </w:t>
      </w:r>
      <w:r>
        <w:t xml:space="preserve">contaminates tracking error and R²-based activeness measures, as</w:t>
      </w:r>
      <w:r>
        <w:t xml:space="preserve"> </w:t>
      </w:r>
      <w:r>
        <w:t xml:space="preserve">elevated deviation from a mismatched index reflects mandate constraints</w:t>
      </w:r>
      <w:r>
        <w:t xml:space="preserve"> </w:t>
      </w:r>
      <w:r>
        <w:t xml:space="preserve">rather than genuine idiosyncratic stock selection. For equity income</w:t>
      </w:r>
      <w:r>
        <w:t xml:space="preserve"> </w:t>
      </w:r>
      <w:r>
        <w:t xml:space="preserve">funds, the structural yield tilt toward dividend-paying securities</w:t>
      </w:r>
      <w:r>
        <w:t xml:space="preserve"> </w:t>
      </w:r>
      <w:r>
        <w:t xml:space="preserve">produces mechanically elevated tracking error against any broad style</w:t>
      </w:r>
      <w:r>
        <w:t xml:space="preserve"> </w:t>
      </w:r>
      <w:r>
        <w:t xml:space="preserve">index, regardless of manager behavior. For specialty diversified and</w:t>
      </w:r>
      <w:r>
        <w:t xml:space="preserve"> </w:t>
      </w:r>
      <w:r>
        <w:t xml:space="preserve">miscellaneous funds, the heterogeneity of investment mandates within</w:t>
      </w:r>
      <w:r>
        <w:t xml:space="preserve"> </w:t>
      </w:r>
      <w:r>
        <w:t xml:space="preserve">these Lipper classifications renders a single benchmark assignment</w:t>
      </w:r>
      <w:r>
        <w:t xml:space="preserve"> </w:t>
      </w:r>
      <w:r>
        <w:t xml:space="preserve">theoretically indefensible. With approximately 120 funds across these</w:t>
      </w:r>
      <w:r>
        <w:t xml:space="preserve"> </w:t>
      </w:r>
      <w:r>
        <w:t xml:space="preserve">categories representing roughly 5% of the final sample, exclusion from</w:t>
      </w:r>
      <w:r>
        <w:t xml:space="preserve"> </w:t>
      </w:r>
      <w:r>
        <w:t xml:space="preserve">Active Share proxy construction entails negligible loss of statistical</w:t>
      </w:r>
      <w:r>
        <w:t xml:space="preserve"> </w:t>
      </w:r>
      <w:r>
        <w:t xml:space="preserve">power while preserving the internal validity of the activeness measure.</w:t>
      </w:r>
    </w:p>
    <w:p>
      <w:pPr>
        <w:pStyle w:val="BodyText"/>
      </w:pPr>
      <w:r>
        <w:t xml:space="preserve">Importantly, these funds are retained in all analyses not dependent on</w:t>
      </w:r>
      <w:r>
        <w:t xml:space="preserve"> </w:t>
      </w:r>
      <w:r>
        <w:t xml:space="preserve">the Active Share proxy — specifically the full flow-performance</w:t>
      </w:r>
      <w:r>
        <w:t xml:space="preserve"> </w:t>
      </w:r>
      <w:r>
        <w:t xml:space="preserve">regressions testing H1 (Sentiment-Convexity) and H2 (Illusion of</w:t>
      </w:r>
      <w:r>
        <w:t xml:space="preserve"> </w:t>
      </w:r>
      <w:r>
        <w:t xml:space="preserve">Control). This exclusion is therefore limited to H3 (Skewness</w:t>
      </w:r>
      <w:r>
        <w:t xml:space="preserve"> </w:t>
      </w:r>
      <w:r>
        <w:t xml:space="preserve">Preference) and follows the precedent established by Fama and French</w:t>
      </w:r>
      <w:r>
        <w:t xml:space="preserve"> </w:t>
      </w:r>
      <w:r>
        <w:t xml:space="preserve">(2010), who restrict factor model-based performance analysis to funds</w:t>
      </w:r>
      <w:r>
        <w:t xml:space="preserve"> </w:t>
      </w:r>
      <w:r>
        <w:t xml:space="preserve">with clearly defined, style-matched benchmarks, and by Kacperczyk,</w:t>
      </w:r>
      <w:r>
        <w:t xml:space="preserve"> </w:t>
      </w:r>
      <w:r>
        <w:t xml:space="preserve">Sialm, and Zheng (2005), who demonstrate that funds with atypical</w:t>
      </w:r>
      <w:r>
        <w:t xml:space="preserve"> </w:t>
      </w:r>
      <w:r>
        <w:t xml:space="preserve">mandate structures exhibit structurally distinct return-generating</w:t>
      </w:r>
      <w:r>
        <w:t xml:space="preserve"> </w:t>
      </w:r>
      <w:r>
        <w:t xml:space="preserve">processes incompatible with standard benchmark-relative performance</w:t>
      </w:r>
      <w:r>
        <w:t xml:space="preserve"> </w:t>
      </w:r>
      <w:r>
        <w:t xml:space="preserve">decomposition. The resulting H3 sample of approximately 2,080 funds</w:t>
      </w:r>
      <w:r>
        <w:t xml:space="preserve"> </w:t>
      </w:r>
      <w:r>
        <w:t xml:space="preserve">preserves the cross-sectional breadth required for robust panel</w:t>
      </w:r>
      <w:r>
        <w:t xml:space="preserve"> </w:t>
      </w:r>
      <w:r>
        <w:t xml:space="preserve">estimation while ensuring that the activeness proxy captures genuine</w:t>
      </w:r>
      <w:r>
        <w:t xml:space="preserve"> </w:t>
      </w:r>
      <w:r>
        <w:t xml:space="preserve">managerial deviation rather than mandate-driven benchmark divergence.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Cremers, K. J. M., &amp; Petajisto, A. (2009). How active is your fund</w:t>
      </w:r>
      <w:r>
        <w:t xml:space="preserve"> </w:t>
      </w:r>
      <w:r>
        <w:t xml:space="preserve">manager? A new measure that predicts performance. The Review of</w:t>
      </w:r>
      <w:r>
        <w:t xml:space="preserve"> </w:t>
      </w:r>
      <w:r>
        <w:t xml:space="preserve">Financial Studies, 22(9), 3329–3365.</w:t>
      </w:r>
    </w:p>
    <w:p>
      <w:pPr>
        <w:pStyle w:val="BodyText"/>
      </w:pPr>
      <w:r>
        <w:t xml:space="preserve">Fama, E. F., &amp; French, K. R. (2010). Luck versus skill in the</w:t>
      </w:r>
      <w:r>
        <w:t xml:space="preserve"> </w:t>
      </w:r>
      <w:r>
        <w:t xml:space="preserve">cross-section of mutual fund returns. The Journal of Finance, 65(5),</w:t>
      </w:r>
      <w:r>
        <w:t xml:space="preserve"> </w:t>
      </w:r>
      <w:r>
        <w:t xml:space="preserve">1915–1947.</w:t>
      </w:r>
    </w:p>
    <w:p>
      <w:pPr>
        <w:pStyle w:val="BodyText"/>
      </w:pPr>
      <w:r>
        <w:t xml:space="preserve">Kacperczyk, M., Sialm, C., &amp; Zheng, L. (2005). On the industry</w:t>
      </w:r>
      <w:r>
        <w:t xml:space="preserve"> </w:t>
      </w:r>
      <w:r>
        <w:t xml:space="preserve">concentration of actively managed equity mutual funds. The Journal of</w:t>
      </w:r>
      <w:r>
        <w:t xml:space="preserve"> </w:t>
      </w:r>
      <w:r>
        <w:t xml:space="preserve">Finance, 60(4), 1983–2011.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2026-04-18T16:47:46Z</dcterms:created>
  <dcterms:modified xsi:type="dcterms:W3CDTF">2026-04-18T16:47:46Z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