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US Active Mutual Fund Benchmark Research</w:t>
      </w:r>
    </w:p>
    <w:p>
      <w:pPr>
        <w:pStyle w:val="BodyText"/>
      </w:pPr>
      <w:r>
        <w:t xml:space="preserve">Methodology Addendum &amp; Source Documentation</w:t>
      </w:r>
    </w:p>
    <w:p>
      <w:pPr>
        <w:pStyle w:val="BodyText"/>
      </w:pPr>
      <w:r>
        <w:t xml:space="preserve">1,936 Active US Mutual Funds | March 2026 | Proprietary Research</w:t>
      </w:r>
    </w:p>
    <w:p>
      <w:pPr>
        <w:pStyle w:val="BodyText"/>
      </w:pPr>
      <w:r>
        <w:rPr>
          <w:bCs/>
          <w:b/>
        </w:rPr>
        <w:t xml:space="preserve">1. Purpose &amp; Scope</w:t>
      </w:r>
    </w:p>
    <w:p>
      <w:pPr>
        <w:pStyle w:val="BodyText"/>
      </w:pPr>
      <w:r>
        <w:t xml:space="preserve">This addendum documents the research methodology, data sources,</w:t>
      </w:r>
      <w:r>
        <w:t xml:space="preserve"> </w:t>
      </w:r>
      <w:r>
        <w:t xml:space="preserve">confidence scoring framework, and editorial decisions applied in the US</w:t>
      </w:r>
      <w:r>
        <w:t xml:space="preserve"> </w:t>
      </w:r>
      <w:r>
        <w:t xml:space="preserve">Active Mutual Fund Benchmark Research project. The deliverable is a</w:t>
      </w:r>
      <w:r>
        <w:t xml:space="preserve"> </w:t>
      </w:r>
      <w:r>
        <w:t xml:space="preserve">structured Excel workbook covering 1,936 active US mutual funds sourced</w:t>
      </w:r>
      <w:r>
        <w:t xml:space="preserve"> </w:t>
      </w:r>
      <w:r>
        <w:t xml:space="preserve">from Bloomberg static data.</w:t>
      </w:r>
    </w:p>
    <w:p>
      <w:pPr>
        <w:pStyle w:val="BodyText"/>
      </w:pPr>
      <w:r>
        <w:t xml:space="preserve">The core objective was to identify the correct primary</w:t>
      </w:r>
      <w:r>
        <w:t xml:space="preserve"> </w:t>
      </w:r>
      <w:r>
        <w:t xml:space="preserve">(sector/strategy-specific) benchmark and a broad-based comparator</w:t>
      </w:r>
      <w:r>
        <w:t xml:space="preserve"> </w:t>
      </w:r>
      <w:r>
        <w:t xml:space="preserve">benchmark for each fund, supply Refinitiv RIC codes for both</w:t>
      </w:r>
      <w:r>
        <w:t xml:space="preserve"> </w:t>
      </w:r>
      <w:r>
        <w:t xml:space="preserve">price-return and total-return variants, and document any confirmed</w:t>
      </w:r>
      <w:r>
        <w:t xml:space="preserve"> </w:t>
      </w:r>
      <w:r>
        <w:t xml:space="preserve">historical benchmark changes.</w:t>
      </w:r>
    </w:p>
    <w:p>
      <w:pPr>
        <w:pStyle w:val="BodyText"/>
      </w:pPr>
      <w:r>
        <w:rPr>
          <w:bCs/>
          <w:b/>
        </w:rPr>
        <w:t xml:space="preserve">2. Source Data</w:t>
      </w:r>
    </w:p>
    <w:p>
      <w:pPr>
        <w:pStyle w:val="BodyText"/>
      </w:pPr>
      <w:r>
        <w:rPr>
          <w:bCs/>
          <w:b/>
        </w:rPr>
        <w:t xml:space="preserve">2.1 Bloomberg Static Data File</w:t>
      </w:r>
    </w:p>
    <w:p>
      <w:pPr>
        <w:pStyle w:val="BodyText"/>
      </w:pPr>
      <w:r>
        <w:t xml:space="preserve">The input file (benchmark_list.xlsx, Sheet 3) contained static Bloomberg</w:t>
      </w:r>
      <w:r>
        <w:t xml:space="preserve"> </w:t>
      </w:r>
      <w:r>
        <w:t xml:space="preserve">data on 2,786 US mutual fund share classes. After filtering to active</w:t>
      </w:r>
      <w:r>
        <w:t xml:space="preserve"> </w:t>
      </w:r>
      <w:r>
        <w:t xml:space="preserve">share classes only, the working universe comprised 1,936 funds. Fields</w:t>
      </w:r>
      <w:r>
        <w:t xml:space="preserve"> </w:t>
      </w:r>
      <w:r>
        <w:t xml:space="preserve">available included:</w:t>
      </w:r>
    </w:p>
    <w:p>
      <w:pPr>
        <w:numPr>
          <w:ilvl w:val="0"/>
          <w:numId w:val="1001"/>
        </w:numPr>
      </w:pPr>
      <w:r>
        <w:t xml:space="preserve">Ticker (Bloomberg Equity format: XXXXX US Equity)</w:t>
      </w:r>
    </w:p>
    <w:p>
      <w:pPr>
        <w:numPr>
          <w:ilvl w:val="0"/>
          <w:numId w:val="1001"/>
        </w:numPr>
      </w:pPr>
      <w:r>
        <w:t xml:space="preserve">Fund name, ISIN, inception date, market status</w:t>
      </w:r>
    </w:p>
    <w:p>
      <w:pPr>
        <w:numPr>
          <w:ilvl w:val="0"/>
          <w:numId w:val="1001"/>
        </w:numPr>
      </w:pPr>
      <w:r>
        <w:t xml:space="preserve">Primary_Benchmark (Bloomberg-assigned)</w:t>
      </w:r>
    </w:p>
    <w:p>
      <w:pPr>
        <w:numPr>
          <w:ilvl w:val="0"/>
          <w:numId w:val="1001"/>
        </w:numPr>
      </w:pPr>
      <w:r>
        <w:t xml:space="preserve">Market cap focus (Large-cap, Mid-cap, Small-cap, Broad Market)</w:t>
      </w:r>
    </w:p>
    <w:p>
      <w:pPr>
        <w:numPr>
          <w:ilvl w:val="0"/>
          <w:numId w:val="1001"/>
        </w:numPr>
      </w:pPr>
      <w:r>
        <w:t xml:space="preserve">Fund strategy (Value, Growth, Blend, Bear Market)</w:t>
      </w:r>
    </w:p>
    <w:p>
      <w:pPr>
        <w:numPr>
          <w:ilvl w:val="0"/>
          <w:numId w:val="1001"/>
        </w:numPr>
      </w:pPr>
      <w:r>
        <w:t xml:space="preserve">Actively_Managed flag (Y/N)</w:t>
      </w:r>
    </w:p>
    <w:p>
      <w:pPr>
        <w:numPr>
          <w:ilvl w:val="0"/>
          <w:numId w:val="1001"/>
        </w:numPr>
      </w:pPr>
      <w:r>
        <w:t xml:space="preserve">Risk/return metrics: NAV Tracking Error, Excess Return, Alpha, Beta,</w:t>
      </w:r>
      <w:r>
        <w:t xml:space="preserve"> </w:t>
      </w:r>
      <w:r>
        <w:t xml:space="preserve">Sharpe Ratio, Information Ratio</w:t>
      </w:r>
    </w:p>
    <w:p>
      <w:pPr>
        <w:numPr>
          <w:ilvl w:val="0"/>
          <w:numId w:val="1001"/>
        </w:numPr>
      </w:pPr>
      <w:r>
        <w:t xml:space="preserve">Portfolio characteristics: Number of Holdings, Average Market Cap,</w:t>
      </w:r>
      <w:r>
        <w:t xml:space="preserve"> </w:t>
      </w:r>
      <w:r>
        <w:t xml:space="preserve">Turnover</w:t>
      </w:r>
    </w:p>
    <w:p>
      <w:pPr>
        <w:pStyle w:val="FirstParagraph"/>
      </w:pPr>
      <w:r>
        <w:rPr>
          <w:bCs/>
          <w:b/>
        </w:rPr>
        <w:t xml:space="preserve">2.2 External Research Sources</w:t>
      </w:r>
    </w:p>
    <w:p>
      <w:pPr>
        <w:pStyle w:val="BodyText"/>
      </w:pPr>
      <w:r>
        <w:t xml:space="preserve">For funds where Bloomberg benchmark data was missing or clearly</w:t>
      </w:r>
      <w:r>
        <w:t xml:space="preserve"> </w:t>
      </w:r>
      <w:r>
        <w:t xml:space="preserve">misassigned, the following sources were consulted: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Prospectuses (SEC</w:t>
            </w:r>
            <w:r>
              <w:t xml:space="preserve"> </w:t>
            </w:r>
            <w:r>
              <w:t xml:space="preserve">EDGAR)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benchmark confirmation; score</w:t>
            </w:r>
            <w:r>
              <w:t xml:space="preserve"> </w:t>
            </w:r>
            <w:r>
              <w:t xml:space="preserve">9-10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Annual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tables, change history; score 9-10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Factsheets / Fund</w:t>
            </w:r>
            <w:r>
              <w:t xml:space="preserve"> </w:t>
            </w:r>
            <w:r>
              <w:t xml:space="preserve">Websites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tables, benchmark disclosure;</w:t>
            </w:r>
            <w:r>
              <w:t xml:space="preserve"> </w:t>
            </w:r>
            <w:r>
              <w:t xml:space="preserve">score 7-8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Morningstar / US News /</w:t>
            </w:r>
            <w:r>
              <w:t xml:space="preserve"> </w:t>
            </w:r>
            <w:r>
              <w:t xml:space="preserve">StockAnalysis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 for benchmark assignment;</w:t>
            </w:r>
            <w:r>
              <w:t xml:space="preserve"> </w:t>
            </w:r>
            <w:r>
              <w:t xml:space="preserve">score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GICS Reclassification</w:t>
            </w:r>
            <w:r>
              <w:t xml:space="preserve"> </w:t>
            </w:r>
            <w: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reclassification dates (2018, 2023);</w:t>
            </w:r>
            <w:r>
              <w:t xml:space="preserve"> </w:t>
            </w:r>
            <w:r>
              <w:t xml:space="preserve">score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Guggenheim/Rydex Fund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no declared benchmarks for Rydex</w:t>
            </w:r>
            <w:r>
              <w:t xml:space="preserve"> </w:t>
            </w:r>
            <w:r>
              <w:t xml:space="preserve">sector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PGIM Quarterly</w:t>
            </w:r>
            <w:r>
              <w:t xml:space="preserve"> </w:t>
            </w:r>
            <w:r>
              <w:t xml:space="preserve">Commentaries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benchmark for PGIM Jennison</w:t>
            </w:r>
            <w:r>
              <w:t xml:space="preserve"> </w:t>
            </w:r>
            <w:r>
              <w:t xml:space="preserve">Natural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Cohen &amp; Steers Fund</w:t>
            </w:r>
            <w:r>
              <w:t xml:space="preserve"> </w:t>
            </w:r>
            <w:r>
              <w:t xml:space="preserve">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MSCI US REIT Index for C&amp;S Realty</w:t>
            </w:r>
            <w:r>
              <w:t xml:space="preserve"> </w:t>
            </w:r>
            <w:r>
              <w:t xml:space="preserve">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MFS Fund Factsheets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S&amp;P 500 Utilities Index for MFS</w:t>
            </w:r>
            <w:r>
              <w:t xml:space="preserve"> </w:t>
            </w:r>
            <w:r>
              <w:t xml:space="preserve">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American Century Fund</w:t>
            </w:r>
            <w:r>
              <w:t xml:space="preserve"> </w:t>
            </w: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S&amp;P 500 Utilities Index for BULIX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Benchmark Identification Methodology</w:t>
      </w:r>
    </w:p>
    <w:p>
      <w:pPr>
        <w:pStyle w:val="BodyText"/>
      </w:pPr>
      <w:r>
        <w:rPr>
          <w:bCs/>
          <w:b/>
        </w:rPr>
        <w:t xml:space="preserve">3.1 Three-Tier Assessment Process</w:t>
      </w:r>
    </w:p>
    <w:p>
      <w:pPr>
        <w:pStyle w:val="BodyText"/>
      </w:pPr>
      <w:r>
        <w:t xml:space="preserve">Each fund was assessed in three stages:</w:t>
      </w:r>
    </w:p>
    <w:p>
      <w:pPr>
        <w:numPr>
          <w:ilvl w:val="0"/>
          <w:numId w:val="1002"/>
        </w:numPr>
      </w:pPr>
      <w:r>
        <w:t xml:space="preserve">Bloomberg Benchmark Screening — Identify misassignments and gaps.</w:t>
      </w:r>
      <w:r>
        <w:t xml:space="preserve"> </w:t>
      </w:r>
      <w:r>
        <w:t xml:space="preserve">Sector funds incorrectly benchmarked to SPX, small/mid-cap funds</w:t>
      </w:r>
      <w:r>
        <w:t xml:space="preserve"> </w:t>
      </w:r>
      <w:r>
        <w:t xml:space="preserve">benchmarked to SPX, and funds with no benchmark were flagged for</w:t>
      </w:r>
      <w:r>
        <w:t xml:space="preserve"> </w:t>
      </w:r>
      <w:r>
        <w:t xml:space="preserve">research.</w:t>
      </w:r>
    </w:p>
    <w:p>
      <w:pPr>
        <w:numPr>
          <w:ilvl w:val="0"/>
          <w:numId w:val="1002"/>
        </w:numPr>
      </w:pPr>
      <w:r>
        <w:t xml:space="preserve">Active Research — For flagged funds, conduct primary source</w:t>
      </w:r>
      <w:r>
        <w:t xml:space="preserve"> </w:t>
      </w:r>
      <w:r>
        <w:t xml:space="preserve">research (prospectuses, annual reports, factsheets, fund websites)</w:t>
      </w:r>
      <w:r>
        <w:t xml:space="preserve"> </w:t>
      </w:r>
      <w:r>
        <w:t xml:space="preserve">to confirm the correct declared benchmark.</w:t>
      </w:r>
    </w:p>
    <w:p>
      <w:pPr>
        <w:numPr>
          <w:ilvl w:val="0"/>
          <w:numId w:val="1002"/>
        </w:numPr>
      </w:pPr>
      <w:r>
        <w:t xml:space="preserve">Inference for Undisclosed Benchmarks — For funds with no declared</w:t>
      </w:r>
      <w:r>
        <w:t xml:space="preserve"> </w:t>
      </w:r>
      <w:r>
        <w:t xml:space="preserve">benchmark (primarily Rydex sector funds confirmed to use no official</w:t>
      </w:r>
      <w:r>
        <w:t xml:space="preserve"> </w:t>
      </w:r>
      <w:r>
        <w:t xml:space="preserve">benchmark), infer a proxy from the fund's GICS sector</w:t>
      </w:r>
      <w:r>
        <w:t xml:space="preserve"> </w:t>
      </w:r>
      <w:r>
        <w:t xml:space="preserve">classification, cap focus, and strategy, and flag clearly as</w:t>
      </w:r>
      <w:r>
        <w:t xml:space="preserve"> </w:t>
      </w:r>
      <w:r>
        <w:t xml:space="preserve">INFERRED.</w:t>
      </w:r>
    </w:p>
    <w:p>
      <w:pPr>
        <w:pStyle w:val="FirstParagraph"/>
      </w:pPr>
      <w:r>
        <w:rPr>
          <w:bCs/>
          <w:b/>
        </w:rPr>
        <w:t xml:space="preserve">3.2 Primary vs. Broad-Based Benchmark</w:t>
      </w:r>
    </w:p>
    <w:p>
      <w:pPr>
        <w:pStyle w:val="BodyText"/>
      </w:pPr>
      <w:r>
        <w:t xml:space="preserve">Each fund record carries two benchmarks:</w:t>
      </w:r>
    </w:p>
    <w:p>
      <w:pPr>
        <w:numPr>
          <w:ilvl w:val="0"/>
          <w:numId w:val="1003"/>
        </w:numPr>
      </w:pPr>
      <w:r>
        <w:t xml:space="preserve">Primary Benchmark: The sector- or strategy-specific index the fund</w:t>
      </w:r>
      <w:r>
        <w:t xml:space="preserve"> </w:t>
      </w:r>
      <w:r>
        <w:t xml:space="preserve">declares as its primary performance comparison (e.g., MSCI US IMI</w:t>
      </w:r>
      <w:r>
        <w:t xml:space="preserve"> </w:t>
      </w:r>
      <w:r>
        <w:t xml:space="preserve">Energy 25/50 for Fidelity Select Energy).</w:t>
      </w:r>
    </w:p>
    <w:p>
      <w:pPr>
        <w:numPr>
          <w:ilvl w:val="0"/>
          <w:numId w:val="1003"/>
        </w:numPr>
      </w:pPr>
      <w:r>
        <w:t xml:space="preserve">Broad-Based Benchmark: A standard broad market index used as a</w:t>
      </w:r>
      <w:r>
        <w:t xml:space="preserve"> </w:t>
      </w:r>
      <w:r>
        <w:t xml:space="preserve">secondary comparator (e.g., S&amp;P 500 for most US equity funds;</w:t>
      </w:r>
      <w:r>
        <w:t xml:space="preserve"> </w:t>
      </w:r>
      <w:r>
        <w:t xml:space="preserve">Russell 2000 for small-cap funds; Russell Midcap for mid-cap funds).</w:t>
      </w:r>
    </w:p>
    <w:p>
      <w:pPr>
        <w:pStyle w:val="BlockText"/>
      </w:pPr>
      <w:r>
        <w:t xml:space="preserve">For the overwhelming majority of funds (1,839 of 1,936), the</w:t>
      </w:r>
      <w:r>
        <w:t xml:space="preserve"> </w:t>
      </w:r>
      <w:r>
        <w:t xml:space="preserve">Bloomberg-provided benchmark was appropriate and retained without</w:t>
      </w:r>
      <w:r>
        <w:t xml:space="preserve"> </w:t>
      </w:r>
      <w:r>
        <w:t xml:space="preserve">modification. Active research replaced or supplemented the benchmark</w:t>
      </w:r>
      <w:r>
        <w:t xml:space="preserve"> </w:t>
      </w:r>
      <w:r>
        <w:t xml:space="preserve">for 97 funds.</w:t>
      </w:r>
    </w:p>
    <w:p>
      <w:pPr>
        <w:pStyle w:val="FirstParagraph"/>
      </w:pPr>
      <w:r>
        <w:rPr>
          <w:bCs/>
          <w:b/>
        </w:rPr>
        <w:t xml:space="preserve">3.3 Fidelity Select Funds — Special Treatment</w:t>
      </w:r>
    </w:p>
    <w:p>
      <w:pPr>
        <w:pStyle w:val="BodyText"/>
      </w:pPr>
      <w:r>
        <w:t xml:space="preserve">Fidelity Select sector funds form the largest single group of benchmark</w:t>
      </w:r>
      <w:r>
        <w:t xml:space="preserve"> </w:t>
      </w:r>
      <w:r>
        <w:t xml:space="preserve">corrections. Bloomberg had assigned SPX as the benchmark for the entire</w:t>
      </w:r>
      <w:r>
        <w:t xml:space="preserve"> </w:t>
      </w:r>
      <w:r>
        <w:t xml:space="preserve">Fidelity Select fund family. In practice, each Fidelity Select fund is</w:t>
      </w:r>
      <w:r>
        <w:t xml:space="preserve"> </w:t>
      </w:r>
      <w:r>
        <w:t xml:space="preserve">benchmarked against the relevant MSCI US Investable Market Index (IMI)</w:t>
      </w:r>
      <w:r>
        <w:t xml:space="preserve"> </w:t>
      </w:r>
      <w:r>
        <w:t xml:space="preserve">25/50 sub-index, confirmed verbatim in each fund's annual report. The</w:t>
      </w:r>
      <w:r>
        <w:t xml:space="preserve"> </w:t>
      </w:r>
      <w:r>
        <w:t xml:space="preserve">S&amp;P 500 is retained as the broad-based comparator benchmark.</w:t>
      </w:r>
    </w:p>
    <w:p>
      <w:pPr>
        <w:pStyle w:val="BodyText"/>
      </w:pPr>
      <w:r>
        <w:t xml:space="preserve">Additionally, four confirmed benchmark change events were documented for</w:t>
      </w:r>
      <w:r>
        <w:t xml:space="preserve"> </w:t>
      </w:r>
      <w:r>
        <w:t xml:space="preserve">Fidelity Select funds:</w:t>
      </w:r>
    </w:p>
    <w:p>
      <w:pPr>
        <w:numPr>
          <w:ilvl w:val="0"/>
          <w:numId w:val="1004"/>
        </w:numPr>
      </w:pPr>
      <w:r>
        <w:t xml:space="preserve">FSTCX / FWRLX (Sept-Nov 2018): GICS reclassification of Telecom</w:t>
      </w:r>
      <w:r>
        <w:t xml:space="preserve"> </w:t>
      </w:r>
      <w:r>
        <w:t xml:space="preserve">Services to Communication Services. Benchmarks changed from S&amp;P 500</w:t>
      </w:r>
      <w:r>
        <w:t xml:space="preserve"> </w:t>
      </w:r>
      <w:r>
        <w:t xml:space="preserve">Telecom Services Index to MSCI US IMI Communication Services 25/50.</w:t>
      </w:r>
    </w:p>
    <w:p>
      <w:pPr>
        <w:numPr>
          <w:ilvl w:val="0"/>
          <w:numId w:val="1004"/>
        </w:numPr>
      </w:pPr>
      <w:r>
        <w:t xml:space="preserve">FIUIX (Sept 2018): Similar GICS reclassification; benchmark changed</w:t>
      </w:r>
      <w:r>
        <w:t xml:space="preserve"> </w:t>
      </w:r>
      <w:r>
        <w:t xml:space="preserve">to MSCI US IMI Utilities 25/50.</w:t>
      </w:r>
    </w:p>
    <w:p>
      <w:pPr>
        <w:numPr>
          <w:ilvl w:val="0"/>
          <w:numId w:val="1004"/>
        </w:numPr>
      </w:pPr>
      <w:r>
        <w:t xml:space="preserve">FBIOX / FBTAX (Jan 2010): Benchmark changed from MSCI US IM Capital</w:t>
      </w:r>
      <w:r>
        <w:t xml:space="preserve"> </w:t>
      </w:r>
      <w:r>
        <w:t xml:space="preserve">Goods to MSCI US IMI Biotechnology 25/50.</w:t>
      </w:r>
    </w:p>
    <w:p>
      <w:pPr>
        <w:numPr>
          <w:ilvl w:val="0"/>
          <w:numId w:val="1004"/>
        </w:numPr>
      </w:pPr>
      <w:r>
        <w:t xml:space="preserve">FRESX / FRIFX (Dec 2020): Benchmark changed from Dow Jones US Select</w:t>
      </w:r>
      <w:r>
        <w:t xml:space="preserve"> </w:t>
      </w:r>
      <w:r>
        <w:t xml:space="preserve">Real Estate Securities Index to MSCI US IMI Real Estate 25/50.</w:t>
      </w:r>
    </w:p>
    <w:p>
      <w:pPr>
        <w:numPr>
          <w:ilvl w:val="0"/>
          <w:numId w:val="1004"/>
        </w:numPr>
      </w:pPr>
      <w:r>
        <w:t xml:space="preserve">FSHOX (Mar 2023): Post-GICS reclassification of homebuilders from</w:t>
      </w:r>
      <w:r>
        <w:t xml:space="preserve"> </w:t>
      </w:r>
      <w:r>
        <w:t xml:space="preserve">Real Estate/Materials to Consumer Discretionary; benchmark updated</w:t>
      </w:r>
      <w:r>
        <w:t xml:space="preserve"> </w:t>
      </w:r>
      <w:r>
        <w:t xml:space="preserve">to MSCI US IMI Consumer Discretionary 25/50.</w:t>
      </w:r>
    </w:p>
    <w:p>
      <w:pPr>
        <w:pStyle w:val="FirstParagraph"/>
      </w:pPr>
      <w:r>
        <w:rPr>
          <w:bCs/>
          <w:b/>
        </w:rPr>
        <w:t xml:space="preserve">3.4 Rydex Sector Funds — No Declared Benchmark</w:t>
      </w:r>
    </w:p>
    <w:p>
      <w:pPr>
        <w:pStyle w:val="BodyText"/>
      </w:pPr>
      <w:r>
        <w:t xml:space="preserve">Guggenheim confirmed that Rydex sector funds use a modified cap-weighted</w:t>
      </w:r>
      <w:r>
        <w:t xml:space="preserve"> </w:t>
      </w:r>
      <w:r>
        <w:t xml:space="preserve">approach with no officially declared primary benchmark. For these funds,</w:t>
      </w:r>
      <w:r>
        <w:t xml:space="preserve"> </w:t>
      </w:r>
      <w:r>
        <w:t xml:space="preserve">a proxy sector index was inferred from the fund's GICS sector</w:t>
      </w:r>
      <w:r>
        <w:t xml:space="preserve"> </w:t>
      </w:r>
      <w:r>
        <w:t xml:space="preserve">classification and labeled as INFERRED PROXY. All such assignments carry</w:t>
      </w:r>
      <w:r>
        <w:t xml:space="preserve"> </w:t>
      </w:r>
      <w:r>
        <w:t xml:space="preserve">a Primary Confidence Score of 4 and a Confidence Label of INFERRED.</w:t>
      </w:r>
    </w:p>
    <w:p>
      <w:pPr>
        <w:pStyle w:val="BodyText"/>
      </w:pPr>
      <w:r>
        <w:rPr>
          <w:bCs/>
          <w:b/>
        </w:rPr>
        <w:t xml:space="preserve">4. Confidence Scoring Framework</w:t>
      </w:r>
    </w:p>
    <w:p>
      <w:pPr>
        <w:pStyle w:val="BodyText"/>
      </w:pPr>
      <w:r>
        <w:t xml:space="preserve">Each benchmark assignment carries a numeric confidence score (1-10) for</w:t>
      </w:r>
      <w:r>
        <w:t xml:space="preserve"> </w:t>
      </w:r>
      <w:r>
        <w:t xml:space="preserve">both the primary and broad-based benchmark. Scores reflect the</w:t>
      </w:r>
      <w:r>
        <w:t xml:space="preserve"> </w:t>
      </w:r>
      <w:r>
        <w:t xml:space="preserve">reliability of the source confirming the benchmark.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203"/>
        <w:gridCol w:w="1904"/>
        <w:gridCol w:w="46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VERBATIM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confirmed verbatim in fund's own</w:t>
            </w:r>
            <w:r>
              <w:t xml:space="preserve"> </w:t>
            </w:r>
            <w:r>
              <w:t xml:space="preserve">annual report or prospectus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PROSPECTUS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 prospectus via SEC EDGAR or</w:t>
            </w:r>
            <w:r>
              <w:t xml:space="preserve"> </w:t>
            </w:r>
            <w:r>
              <w:t xml:space="preserve">authorized fund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</w:t>
            </w:r>
            <w:r>
              <w:t xml:space="preserve"> </w:t>
            </w:r>
            <w:r>
              <w:t xml:space="preserve">FACTSHEET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 fund factsheet, official fund</w:t>
            </w:r>
            <w:r>
              <w:t xml:space="preserve"> </w:t>
            </w:r>
            <w:r>
              <w:t xml:space="preserve">website, or Morningstar fund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FUND</w:t>
            </w:r>
            <w:r>
              <w:t xml:space="preserve"> </w:t>
            </w:r>
            <w:r>
              <w:t xml:space="preserve">FAMILY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by fund family pattern (e.g., all</w:t>
            </w:r>
            <w:r>
              <w:t xml:space="preserve"> </w:t>
            </w:r>
            <w:r>
              <w:t xml:space="preserve">Fidelity Select funds use MSCI IMI)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3RD</w:t>
            </w:r>
            <w:r>
              <w:t xml:space="preserve"> </w:t>
            </w: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via reliable third party</w:t>
            </w:r>
            <w:r>
              <w:t xml:space="preserve"> </w:t>
            </w:r>
            <w:r>
              <w:t xml:space="preserve">(Morningstar, USNews, StockAnalysis)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GICS/sector logic with partial</w:t>
            </w:r>
            <w:r>
              <w:t xml:space="preserve"> </w:t>
            </w:r>
            <w:r>
              <w:t xml:space="preserve">corroboration from reliable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GICS/sector logic only; no direct source</w:t>
            </w:r>
            <w:r>
              <w:t xml:space="preserve"> </w:t>
            </w: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from cap focus and style; plausible</w:t>
            </w:r>
            <w:r>
              <w:t xml:space="preserve"> </w:t>
            </w:r>
            <w:r>
              <w:t xml:space="preserve">but unverified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</w:t>
            </w:r>
            <w:r>
              <w:t xml:space="preserve"> </w:t>
            </w: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with significant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guess only; data should be verified</w:t>
            </w:r>
            <w:r>
              <w:t xml:space="preserve"> </w:t>
            </w:r>
            <w:r>
              <w:t xml:space="preserve">before 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 Refinitiv RIC Code Standards</w:t>
      </w:r>
    </w:p>
    <w:p>
      <w:pPr>
        <w:pStyle w:val="BodyText"/>
      </w:pPr>
      <w:r>
        <w:t xml:space="preserve">Two RIC codes are provided per benchmark: a Price Return (PR) RIC and a</w:t>
      </w:r>
      <w:r>
        <w:t xml:space="preserve"> </w:t>
      </w:r>
      <w:r>
        <w:t xml:space="preserve">Total Return (TR) RIC. The following table documents the key RIC</w:t>
      </w:r>
      <w:r>
        <w:t xml:space="preserve"> </w:t>
      </w:r>
      <w:r>
        <w:t xml:space="preserve">mappings used throughout the dataset.</w:t>
      </w:r>
    </w:p>
    <w:p>
      <w:pPr>
        <w:pStyle w:val="BodyText"/>
      </w:pPr>
      <w:r>
        <w:rPr>
          <w:bCs/>
          <w:b/>
        </w:rPr>
        <w:t xml:space="preserve">5.1 Core US Equity Index RICs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2982"/>
        <w:gridCol w:w="1748"/>
        <w:gridCol w:w="1748"/>
        <w:gridCol w:w="12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RU10INTR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RU10VATR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1000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RU10GRTR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RU20INTR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RUJTTR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2000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RUOTTR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RUMCINTR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RUMCVATR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Midcap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RUMCGRXX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RUMCGRTR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3000 (All-cap)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RU30INTR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Russell 2500 (SMID)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RU25INTR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MidCap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SPTRMDCP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SmallCap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SPTRSMCP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 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NASDAQ-100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XNDX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 Jones Industrial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DJITR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5.2 Sector Index RICs (MSCI US IMI)</w:t>
      </w:r>
    </w:p>
    <w:p>
      <w:pPr>
        <w:pStyle w:val="BodyText"/>
      </w:pPr>
      <w:r>
        <w:t xml:space="preserve">MSCI US Investable Market Index (IMI) 25/50 sub-indices are used as</w:t>
      </w:r>
      <w:r>
        <w:t xml:space="preserve"> </w:t>
      </w:r>
      <w:r>
        <w:t xml:space="preserve">primary benchmarks for Fidelity Select sector funds. These cover the</w:t>
      </w:r>
      <w:r>
        <w:t xml:space="preserve"> </w:t>
      </w:r>
      <w:r>
        <w:t xml:space="preserve">full US equity market (large, mid, and small cap) within each GICS</w:t>
      </w:r>
      <w:r>
        <w:t xml:space="preserve"> </w:t>
      </w:r>
      <w:r>
        <w:t xml:space="preserve">sector, subject to the 25/50 concentration constraint.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709"/>
        <w:gridCol w:w="1771"/>
        <w:gridCol w:w="1771"/>
        <w:gridCol w:w="1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MSCI US IMI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GICS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Energy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M1US5ENI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10 -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Materials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M1US5MTI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15 -</w:t>
            </w:r>
            <w:r>
              <w:t xml:space="preserve"> </w:t>
            </w:r>
            <w:r>
              <w:t xml:space="preserve">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Industrials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20 -</w:t>
            </w:r>
            <w:r>
              <w:t xml:space="preserve"> </w:t>
            </w:r>
            <w:r>
              <w:t xml:space="preserve">Industrials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Consumer</w:t>
            </w:r>
            <w:r>
              <w:t xml:space="preserve"> </w:t>
            </w:r>
            <w:r>
              <w:t xml:space="preserve">Discretionary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25 - Cons.</w:t>
            </w:r>
            <w:r>
              <w:t xml:space="preserve"> </w:t>
            </w:r>
            <w:r>
              <w:t xml:space="preserve">Disc.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Consumer</w:t>
            </w:r>
            <w:r>
              <w:t xml:space="preserve"> </w:t>
            </w:r>
            <w:r>
              <w:t xml:space="preserve">Staples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30 - Cons.</w:t>
            </w:r>
            <w:r>
              <w:t xml:space="preserve"> </w:t>
            </w:r>
            <w:r>
              <w:t xml:space="preserve">Staples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Health Care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M1US5HCI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35 - Health</w:t>
            </w:r>
            <w:r>
              <w:t xml:space="preserve"> </w:t>
            </w:r>
            <w:r>
              <w:t xml:space="preserve">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Financials 5%</w:t>
            </w:r>
            <w:r>
              <w:t xml:space="preserve"> </w:t>
            </w:r>
            <w:r>
              <w:t xml:space="preserve">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M1US5FNI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40 -</w:t>
            </w:r>
            <w:r>
              <w:t xml:space="preserve"> </w:t>
            </w:r>
            <w:r>
              <w:t xml:space="preserve">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IT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45 - Info</w:t>
            </w:r>
            <w:r>
              <w:t xml:space="preserve"> </w:t>
            </w:r>
            <w:r>
              <w:t xml:space="preserve">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Communication</w:t>
            </w:r>
            <w:r>
              <w:t xml:space="preserve"> </w:t>
            </w:r>
            <w:r>
              <w:t xml:space="preserve">Services 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50 - Comm</w:t>
            </w:r>
            <w:r>
              <w:t xml:space="preserve"> </w:t>
            </w:r>
            <w:r>
              <w:t xml:space="preserve">Svcs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Utilities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55 -</w:t>
            </w:r>
            <w:r>
              <w:t xml:space="preserve"> </w:t>
            </w:r>
            <w:r>
              <w:t xml:space="preserve">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IMI Real Estate</w:t>
            </w:r>
            <w:r>
              <w:t xml:space="preserve"> </w:t>
            </w:r>
            <w:r>
              <w:t xml:space="preserve">25/50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MXUS0RE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M1US5REI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60 - Real</w:t>
            </w:r>
            <w:r>
              <w:t xml:space="preserve"> </w:t>
            </w:r>
            <w:r>
              <w:t xml:space="preserve">Estate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Sector Index RICs (S&amp;P Select Sector)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2745"/>
        <w:gridCol w:w="1795"/>
        <w:gridCol w:w="1795"/>
        <w:gridCol w:w="1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S&amp;P Select Sector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Energy Select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IXETR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Materials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IXBTR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Industrials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IXITR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Consumer</w:t>
            </w:r>
            <w:r>
              <w:t xml:space="preserve"> </w:t>
            </w:r>
            <w:r>
              <w:t xml:space="preserve">Discretionary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IXYTR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Consumer Staples</w:t>
            </w:r>
            <w:r>
              <w:t xml:space="preserve"> </w:t>
            </w:r>
            <w:r>
              <w:t xml:space="preserve">Select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IXRTR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Health Care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IXVTR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Financials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IXMTR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IT Select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IXKTR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Communication</w:t>
            </w:r>
            <w:r>
              <w:t xml:space="preserve"> </w:t>
            </w:r>
            <w:r>
              <w:t xml:space="preserve">Services Select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IXCSTR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Post-2018</w:t>
            </w:r>
            <w:r>
              <w:t xml:space="preserve"> </w:t>
            </w:r>
            <w:r>
              <w:t xml:space="preserve">GICS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Utilities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IXUTR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Real Estate Select</w:t>
            </w:r>
            <w:r>
              <w:t xml:space="preserve"> </w:t>
            </w: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IXRETR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500 Utilities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SPSIUT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SPSPUTR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MFS</w:t>
            </w:r>
            <w:r>
              <w:t xml:space="preserve"> </w:t>
            </w:r>
            <w:r>
              <w:t xml:space="preserve">Utilities,</w:t>
            </w:r>
            <w:r>
              <w:t xml:space="preserve"> </w:t>
            </w:r>
            <w:r>
              <w:t xml:space="preserve">BULIX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Biotech Select</w:t>
            </w:r>
            <w:r>
              <w:t xml:space="preserve"> </w:t>
            </w:r>
            <w:r>
              <w:t xml:space="preserve">Industry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SPSIBI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SPSIBIG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Oil &amp; Gas E&amp;P Select</w:t>
            </w:r>
            <w:r>
              <w:t xml:space="preserve"> </w:t>
            </w: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SPSIOST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  <w:r>
              <w:t xml:space="preserve"> </w:t>
            </w:r>
            <w:r>
              <w:t xml:space="preserve">OEPIX</w:t>
            </w:r>
          </w:p>
        </w:tc>
      </w:tr>
    </w:tbl>
    <w:p>
      <w:pPr>
        <w:pStyle w:val="BodyText"/>
      </w:pPr>
      <w:r>
        <w:rPr>
          <w:bCs/>
          <w:b/>
        </w:rPr>
        <w:t xml:space="preserve">5.4 Other Key Sector/Specialty Index RICs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2606"/>
        <w:gridCol w:w="1704"/>
        <w:gridCol w:w="1704"/>
        <w:gridCol w:w="1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Index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Return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US REIT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RMZTR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estate/REIT</w:t>
            </w:r>
            <w:r>
              <w:t xml:space="preserve"> </w:t>
            </w:r>
            <w:r>
              <w:t xml:space="preserve">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S&amp;P Global BMI Gold 20/45</w:t>
            </w:r>
            <w:r>
              <w:t xml:space="preserve"> </w:t>
            </w:r>
            <w:r>
              <w:t xml:space="preserve">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SPGBMIG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SPGBMIGTR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FSAGX gold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 Jones Precious Metals</w:t>
            </w:r>
            <w:r>
              <w:t xml:space="preserve"> </w:t>
            </w: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DJGSP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DJGSPG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PMPIX —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Philadelphia Oil Service</w:t>
            </w:r>
            <w:r>
              <w:t xml:space="preserve"> </w:t>
            </w:r>
            <w:r>
              <w:t xml:space="preserve">(OSX)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.OSX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OSXTR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RYVIX inferred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Philadelphia</w:t>
            </w:r>
            <w:r>
              <w:t xml:space="preserve"> </w:t>
            </w:r>
            <w:r>
              <w:t xml:space="preserve">Semiconductor (SOX)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.SOX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SOXXTR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RYSIX inferred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KBW Bank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BKXTR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RYKAX inferred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 Jones Transportation</w:t>
            </w:r>
            <w:r>
              <w:t xml:space="preserve"> </w:t>
            </w:r>
            <w: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DJTATR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RYPIX inferred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Alerian MLP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</w:t>
            </w:r>
            <w:r>
              <w:t xml:space="preserve"> </w:t>
            </w:r>
            <w:r>
              <w:t xml:space="preserve">infrastructure</w:t>
            </w:r>
            <w:r>
              <w:t xml:space="preserve"> </w:t>
            </w:r>
            <w:r>
              <w:t xml:space="preserve">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World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MXWOTR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ACWI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MXWDTR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all-cap</w:t>
            </w:r>
            <w:r>
              <w:t xml:space="preserve"> </w:t>
            </w:r>
            <w:r>
              <w:t xml:space="preserve">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MSCI Emerging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MXEFTR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Lipper Global Natural</w:t>
            </w:r>
            <w:r>
              <w:t xml:space="preserve"> </w:t>
            </w:r>
            <w:r>
              <w:t xml:space="preserve">Resources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LGNATRI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LGNATRI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PNRCX confirmed</w:t>
            </w:r>
          </w:p>
        </w:tc>
      </w:tr>
    </w:tbl>
    <w:p>
      <w:pPr>
        <w:pStyle w:val="BodyText"/>
      </w:pPr>
      <w:r>
        <w:rPr>
          <w:bCs/>
          <w:b/>
        </w:rPr>
        <w:t xml:space="preserve">6. Action Codes Reference</w:t>
      </w:r>
    </w:p>
    <w:p>
      <w:pPr>
        <w:pStyle w:val="BodyText"/>
      </w:pPr>
      <w:r>
        <w:t xml:space="preserve">Each record in the Excel output carries an Action code indicating what</w:t>
      </w:r>
      <w:r>
        <w:t xml:space="preserve"> </w:t>
      </w:r>
      <w:r>
        <w:t xml:space="preserve">was done to the Bloomberg benchmark data:</w:t>
      </w:r>
    </w:p>
    <w:tbl>
      <w:tblPr>
        <w:tblStyle w:val="Table"/>
        <w:tblW w:type="pct" w:w="4890"/>
        <w:tblLook w:firstRow="1" w:lastRow="0" w:firstColumn="0" w:lastColumn="0" w:noHBand="0" w:noVBand="0" w:val="0020"/>
        <w:jc w:val="start"/>
      </w:tblPr>
      <w:tblGrid>
        <w:gridCol w:w="3394"/>
        <w:gridCol w:w="4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 benchmark replaced with a confirmed or</w:t>
            </w:r>
            <w:r>
              <w:t xml:space="preserve"> </w:t>
            </w:r>
            <w:r>
              <w:t xml:space="preserve">well-sourced correct benchmark. Color: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declared benchmark found; a proxy sector/cap</w:t>
            </w:r>
            <w:r>
              <w:t xml:space="preserve"> </w:t>
            </w:r>
            <w:r>
              <w:t xml:space="preserve">index was inferred from the fund strategy and</w:t>
            </w:r>
            <w:r>
              <w:t xml:space="preserve"> </w:t>
            </w:r>
            <w:r>
              <w:t xml:space="preserve">GICS classification. Flag clearly before use.</w:t>
            </w:r>
            <w:r>
              <w:t xml:space="preserve"> </w:t>
            </w:r>
            <w:r>
              <w:t xml:space="preserve">Color: yellow.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 benchmark was already correct and is</w:t>
            </w:r>
            <w:r>
              <w:t xml:space="preserve"> </w:t>
            </w:r>
            <w:r>
              <w:t xml:space="preserve">confirmed. No change made. Color: blue.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BLOOMBERG_RETAINED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 benchmark is appropriate for the</w:t>
            </w:r>
            <w:r>
              <w:t xml:space="preserve"> </w:t>
            </w:r>
            <w:r>
              <w:t xml:space="preserve">fund's strategy and retained without</w:t>
            </w:r>
            <w:r>
              <w:t xml:space="preserve"> </w:t>
            </w:r>
            <w:r>
              <w:t xml:space="preserve">modification. This applies to the majority of</w:t>
            </w:r>
            <w:r>
              <w:t xml:space="preserve"> </w:t>
            </w:r>
            <w:r>
              <w:t xml:space="preserve">funds.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REVIEW_NEEDED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Bloomberg benchmark may be a mismatch (e.g., SPX</w:t>
            </w:r>
            <w:r>
              <w:t xml:space="preserve"> </w:t>
            </w:r>
            <w:r>
              <w:t xml:space="preserve">assigned to a small-cap fund) but the fund was</w:t>
            </w:r>
            <w:r>
              <w:t xml:space="preserve"> </w:t>
            </w:r>
            <w:r>
              <w:t xml:space="preserve">not in the confirmed research set. Manual</w:t>
            </w:r>
            <w:r>
              <w:t xml:space="preserve"> </w:t>
            </w:r>
            <w:r>
              <w:t xml:space="preserve">verification recommended. Color: orange.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BLOOMBERG_RETAINED_POSSIBLE_MISMATCH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REVIEW_NEEDED — Bloomberg benchmark</w:t>
            </w:r>
            <w:r>
              <w:t xml:space="preserve"> </w:t>
            </w:r>
            <w:r>
              <w:t xml:space="preserve">retained but flagged as potentially</w:t>
            </w:r>
            <w:r>
              <w:t xml:space="preserve"> </w:t>
            </w:r>
            <w:r>
              <w:t xml:space="preserve">inappropriate.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Key Research Findings</w:t>
      </w:r>
    </w:p>
    <w:p>
      <w:pPr>
        <w:pStyle w:val="BodyText"/>
      </w:pPr>
      <w:r>
        <w:rPr>
          <w:bCs/>
          <w:b/>
        </w:rPr>
        <w:t xml:space="preserve">7.1 Scale of Bloomberg Misassignment</w:t>
      </w:r>
    </w:p>
    <w:p>
      <w:pPr>
        <w:pStyle w:val="BodyText"/>
      </w:pPr>
      <w:r>
        <w:t xml:space="preserve">Bloomberg had assigned SPX (S&amp;P 500) as the primary benchmark for 453</w:t>
      </w:r>
      <w:r>
        <w:t xml:space="preserve"> </w:t>
      </w:r>
      <w:r>
        <w:t xml:space="preserve">active funds. While this is appropriate for many large-cap US equity</w:t>
      </w:r>
      <w:r>
        <w:t xml:space="preserve"> </w:t>
      </w:r>
      <w:r>
        <w:t xml:space="preserve">funds, the following categories of funds were identified as misassigned:</w:t>
      </w:r>
    </w:p>
    <w:p>
      <w:pPr>
        <w:numPr>
          <w:ilvl w:val="0"/>
          <w:numId w:val="1005"/>
        </w:numPr>
      </w:pPr>
      <w:r>
        <w:t xml:space="preserve">37 Fidelity Select sector funds — should use MSCI US IMI sector</w:t>
      </w:r>
      <w:r>
        <w:t xml:space="preserve"> </w:t>
      </w:r>
      <w:r>
        <w:t xml:space="preserve">25/50 sub-indices</w:t>
      </w:r>
    </w:p>
    <w:p>
      <w:pPr>
        <w:numPr>
          <w:ilvl w:val="0"/>
          <w:numId w:val="1005"/>
        </w:numPr>
      </w:pPr>
      <w:r>
        <w:t xml:space="preserve">14 Rydex sector funds — no declared benchmark; proxy sector</w:t>
      </w:r>
      <w:r>
        <w:t xml:space="preserve"> </w:t>
      </w:r>
      <w:r>
        <w:t xml:space="preserve">indices inferred</w:t>
      </w:r>
    </w:p>
    <w:p>
      <w:pPr>
        <w:numPr>
          <w:ilvl w:val="0"/>
          <w:numId w:val="1005"/>
        </w:numPr>
      </w:pPr>
      <w:r>
        <w:t xml:space="preserve">3 Cohen &amp; Steers Realty funds — should use MSCI US REIT Index</w:t>
      </w:r>
    </w:p>
    <w:p>
      <w:pPr>
        <w:numPr>
          <w:ilvl w:val="0"/>
          <w:numId w:val="1005"/>
        </w:numPr>
      </w:pPr>
      <w:r>
        <w:t xml:space="preserve">1 MFS Utilities fund — should use S&amp;P 500 Utilities Index</w:t>
      </w:r>
    </w:p>
    <w:p>
      <w:pPr>
        <w:numPr>
          <w:ilvl w:val="0"/>
          <w:numId w:val="1005"/>
        </w:numPr>
      </w:pPr>
      <w:r>
        <w:t xml:space="preserve">1 American Century Utilities fund — should use S&amp;P 500 Utilities</w:t>
      </w:r>
      <w:r>
        <w:t xml:space="preserve"> </w:t>
      </w:r>
      <w:r>
        <w:t xml:space="preserve">Index</w:t>
      </w:r>
    </w:p>
    <w:p>
      <w:pPr>
        <w:numPr>
          <w:ilvl w:val="0"/>
          <w:numId w:val="1005"/>
        </w:numPr>
      </w:pPr>
      <w:r>
        <w:t xml:space="preserve">Approximately 20 additional sector funds — various</w:t>
      </w:r>
      <w:r>
        <w:t xml:space="preserve"> </w:t>
      </w:r>
      <w:r>
        <w:t xml:space="preserve">sector-appropriate benchmarks</w:t>
      </w:r>
    </w:p>
    <w:p>
      <w:pPr>
        <w:numPr>
          <w:ilvl w:val="0"/>
          <w:numId w:val="1005"/>
        </w:numPr>
      </w:pPr>
      <w:r>
        <w:t xml:space="preserve">Approximately 10 small/mid-cap funds with SPX — flagged for review</w:t>
      </w:r>
    </w:p>
    <w:p>
      <w:pPr>
        <w:pStyle w:val="FirstParagraph"/>
      </w:pPr>
      <w:r>
        <w:rPr>
          <w:bCs/>
          <w:b/>
        </w:rPr>
        <w:t xml:space="preserve">7.2 Funds with Confirmed Correct Bloomberg Benchmarks</w:t>
      </w:r>
    </w:p>
    <w:p>
      <w:pPr>
        <w:pStyle w:val="BodyText"/>
      </w:pPr>
      <w:r>
        <w:t xml:space="preserve">The following were confirmed correct despite initially appearing</w:t>
      </w:r>
      <w:r>
        <w:t xml:space="preserve"> </w:t>
      </w:r>
      <w:r>
        <w:t xml:space="preserve">suspicious:</w:t>
      </w:r>
    </w:p>
    <w:p>
      <w:pPr>
        <w:numPr>
          <w:ilvl w:val="0"/>
          <w:numId w:val="1006"/>
        </w:numPr>
      </w:pPr>
      <w:r>
        <w:t xml:space="preserve">OEPIX (Oil &amp; Gas Equities US PF-INV): Existing SPSIOS (S&amp;P Oil &amp; Gas</w:t>
      </w:r>
      <w:r>
        <w:t xml:space="preserve"> </w:t>
      </w:r>
      <w:r>
        <w:t xml:space="preserve">E&amp;P Select Industry) is confirmed correct.</w:t>
      </w:r>
    </w:p>
    <w:p>
      <w:pPr>
        <w:numPr>
          <w:ilvl w:val="0"/>
          <w:numId w:val="1006"/>
        </w:numPr>
      </w:pPr>
      <w:r>
        <w:t xml:space="preserve">PMPIX (Precious Metals UltraSector ProFund): Existing DJGSP (Dow</w:t>
      </w:r>
      <w:r>
        <w:t xml:space="preserve"> </w:t>
      </w:r>
      <w:r>
        <w:t xml:space="preserve">Jones Precious Metals Index) is confirmed correct.</w:t>
      </w:r>
    </w:p>
    <w:p>
      <w:pPr>
        <w:numPr>
          <w:ilvl w:val="0"/>
          <w:numId w:val="1006"/>
        </w:numPr>
      </w:pPr>
      <w:r>
        <w:t xml:space="preserve">EMAAX (Gabelli Enterprise M&amp;A Fund): S&amp;P 500 is an acceptable</w:t>
      </w:r>
      <w:r>
        <w:t xml:space="preserve"> </w:t>
      </w:r>
      <w:r>
        <w:t xml:space="preserve">benchmark for an M&amp;A arbitrage fund; retained.</w:t>
      </w:r>
    </w:p>
    <w:p>
      <w:pPr>
        <w:pStyle w:val="FirstParagraph"/>
      </w:pPr>
      <w:r>
        <w:rPr>
          <w:bCs/>
          <w:b/>
        </w:rPr>
        <w:t xml:space="preserve">7.3 GICS Reclassifications Affecting Benchmarks</w:t>
      </w:r>
    </w:p>
    <w:p>
      <w:pPr>
        <w:pStyle w:val="BodyText"/>
      </w:pPr>
      <w:r>
        <w:t xml:space="preserve">The 2018 GICS restructuring (effective September 2018) moved Telecom</w:t>
      </w:r>
      <w:r>
        <w:t xml:space="preserve"> </w:t>
      </w:r>
      <w:r>
        <w:t xml:space="preserve">Services into a broader Communication Services sector, incorporating</w:t>
      </w:r>
      <w:r>
        <w:t xml:space="preserve"> </w:t>
      </w:r>
      <w:r>
        <w:t xml:space="preserve">Media &amp; Entertainment companies. This had a direct impact on:</w:t>
      </w:r>
    </w:p>
    <w:p>
      <w:pPr>
        <w:numPr>
          <w:ilvl w:val="0"/>
          <w:numId w:val="1007"/>
        </w:numPr>
      </w:pPr>
      <w:r>
        <w:t xml:space="preserve">All funds previously benchmarked to S&amp;P 500 Telecom Services Index</w:t>
      </w:r>
      <w:r>
        <w:t xml:space="preserve"> </w:t>
      </w:r>
      <w:r>
        <w:t xml:space="preserve">— benchmark changed to MSCI US IMI Communication Services 25/50.</w:t>
      </w:r>
    </w:p>
    <w:p>
      <w:pPr>
        <w:numPr>
          <w:ilvl w:val="0"/>
          <w:numId w:val="1007"/>
        </w:numPr>
      </w:pPr>
      <w:r>
        <w:t xml:space="preserve">FSTCX was also renamed from Fidelity Select Telecommunication</w:t>
      </w:r>
      <w:r>
        <w:t xml:space="preserve"> </w:t>
      </w:r>
      <w:r>
        <w:t xml:space="preserve">Services to Fidelity Select Communication Services in November 2018.</w:t>
      </w:r>
    </w:p>
    <w:p>
      <w:pPr>
        <w:pStyle w:val="FirstParagraph"/>
      </w:pPr>
      <w:r>
        <w:t xml:space="preserve">The 2023 GICS update moved homebuilder companies from Real</w:t>
      </w:r>
      <w:r>
        <w:t xml:space="preserve"> </w:t>
      </w:r>
      <w:r>
        <w:t xml:space="preserve">Estate/Materials into Consumer Discretionary, affecting FSHOX (Fidelity</w:t>
      </w:r>
      <w:r>
        <w:t xml:space="preserve"> </w:t>
      </w:r>
      <w:r>
        <w:t xml:space="preserve">Select Construction &amp; Housing).</w:t>
      </w:r>
    </w:p>
    <w:p>
      <w:pPr>
        <w:pStyle w:val="BodyText"/>
      </w:pPr>
      <w:r>
        <w:rPr>
          <w:bCs/>
          <w:b/>
        </w:rPr>
        <w:t xml:space="preserve">8. Limitations &amp; Caveats</w:t>
      </w:r>
    </w:p>
    <w:p>
      <w:pPr>
        <w:pStyle w:val="BlockText"/>
      </w:pPr>
      <w:r>
        <w:t xml:space="preserve">Important: This research is based on publicly available sources and</w:t>
      </w:r>
      <w:r>
        <w:t xml:space="preserve"> </w:t>
      </w:r>
      <w:r>
        <w:t xml:space="preserve">primary fund documentation as of March 2026. Benchmark assignments can</w:t>
      </w:r>
      <w:r>
        <w:t xml:space="preserve"> </w:t>
      </w:r>
      <w:r>
        <w:t xml:space="preserve">change. All INFERRED proxy benchmarks should be verified with fund</w:t>
      </w:r>
      <w:r>
        <w:t xml:space="preserve"> </w:t>
      </w:r>
      <w:r>
        <w:t xml:space="preserve">documentation before use in production systems.</w:t>
      </w:r>
    </w:p>
    <w:p>
      <w:pPr>
        <w:numPr>
          <w:ilvl w:val="0"/>
          <w:numId w:val="1008"/>
        </w:numPr>
      </w:pPr>
      <w:r>
        <w:t xml:space="preserve">INFERRED benchmarks carry confidence scores of 3-5 and should not be</w:t>
      </w:r>
      <w:r>
        <w:t xml:space="preserve"> </w:t>
      </w:r>
      <w:r>
        <w:t xml:space="preserve">treated as equivalent to confirmed benchmarks for regulatory or</w:t>
      </w:r>
      <w:r>
        <w:t xml:space="preserve"> </w:t>
      </w:r>
      <w:r>
        <w:t xml:space="preserve">compliance reporting purposes.</w:t>
      </w:r>
    </w:p>
    <w:p>
      <w:pPr>
        <w:numPr>
          <w:ilvl w:val="0"/>
          <w:numId w:val="1008"/>
        </w:numPr>
      </w:pPr>
      <w:r>
        <w:t xml:space="preserve">Total Return RIC codes are provided on a best-efforts basis.</w:t>
      </w:r>
      <w:r>
        <w:t xml:space="preserve"> </w:t>
      </w:r>
      <w:r>
        <w:t xml:space="preserve">Refinitiv RIC availability may vary; some total-return series may</w:t>
      </w:r>
      <w:r>
        <w:t xml:space="preserve"> </w:t>
      </w:r>
      <w:r>
        <w:t xml:space="preserve">require Bloomberg field substitution (e.g., SPXT= for SPX TR).</w:t>
      </w:r>
    </w:p>
    <w:p>
      <w:pPr>
        <w:numPr>
          <w:ilvl w:val="0"/>
          <w:numId w:val="1008"/>
        </w:numPr>
      </w:pPr>
      <w:r>
        <w:t xml:space="preserve">Benchmark change history is limited to material, documented changes.</w:t>
      </w:r>
      <w:r>
        <w:t xml:space="preserve"> </w:t>
      </w:r>
      <w:r>
        <w:t xml:space="preserve">Minor methodological updates within the same index family are not</w:t>
      </w:r>
      <w:r>
        <w:t xml:space="preserve"> </w:t>
      </w:r>
      <w:r>
        <w:t xml:space="preserve">captured.</w:t>
      </w:r>
    </w:p>
    <w:p>
      <w:pPr>
        <w:numPr>
          <w:ilvl w:val="0"/>
          <w:numId w:val="1008"/>
        </w:numPr>
      </w:pPr>
      <w:r>
        <w:t xml:space="preserve">For the 1,839 funds where the Bloomberg benchmark was retained</w:t>
      </w:r>
      <w:r>
        <w:t xml:space="preserve"> </w:t>
      </w:r>
      <w:r>
        <w:t xml:space="preserve">without modification, the broad-based benchmark column reflects an</w:t>
      </w:r>
      <w:r>
        <w:t xml:space="preserve"> </w:t>
      </w:r>
      <w:r>
        <w:t xml:space="preserve">inferred cap-based index (e.g., Russell 2000 for small-cap funds)</w:t>
      </w:r>
      <w:r>
        <w:t xml:space="preserve"> </w:t>
      </w:r>
      <w:r>
        <w:t xml:space="preserve">rather than the fund's declared comparator.</w:t>
      </w:r>
    </w:p>
    <w:p>
      <w:pPr>
        <w:numPr>
          <w:ilvl w:val="0"/>
          <w:numId w:val="1008"/>
        </w:numPr>
      </w:pPr>
      <w:r>
        <w:t xml:space="preserve">Closed-end funds, ETFs, and inactive share classes were excluded</w:t>
      </w:r>
      <w:r>
        <w:t xml:space="preserve"> </w:t>
      </w:r>
      <w:r>
        <w:t xml:space="preserve">from scope.</w:t>
      </w:r>
    </w:p>
    <w:p>
      <w:pPr>
        <w:pStyle w:val="FirstParagraph"/>
      </w:pPr>
      <w:r>
        <w:t xml:space="preserve">End of Methodology Addendum | March 2026 | Proprietary &amp; Confidential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2026-04-18T16:47:46Z</dcterms:created>
  <dcterms:modified xsi:type="dcterms:W3CDTF">2026-04-18T16:47:46Z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