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In finance literature, the convention varies by research context, but</w:t>
      </w:r>
      <w:r>
        <w:t xml:space="preserve"> </w:t>
      </w:r>
      <w:r>
        <w:t xml:space="preserve">here's how it generally breaks down:</w:t>
      </w:r>
    </w:p>
    <w:p>
      <w:pPr>
        <w:pStyle w:val="BodyText"/>
      </w:pPr>
      <w:r>
        <w:rPr>
          <w:bCs/>
          <w:b/>
        </w:rPr>
        <w:t xml:space="preserve">Most academic research uses broad-based benchmarks</w:t>
      </w:r>
      <w:r>
        <w:t xml:space="preserve">, for a few key</w:t>
      </w:r>
      <w:r>
        <w:t xml:space="preserve"> </w:t>
      </w:r>
      <w:r>
        <w:t xml:space="preserve">reasons: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Comparability</w:t>
      </w:r>
      <w:r>
        <w:t xml:space="preserve"> </w:t>
      </w:r>
      <w:r>
        <w:t xml:space="preserve">— Using a single broad benchmark (e.g., S&amp;P 500</w:t>
      </w:r>
      <w:r>
        <w:t xml:space="preserve"> </w:t>
      </w:r>
      <w:r>
        <w:t xml:space="preserve">for U.S. equity funds, Russell 2000 for small-cap, MSCI World for</w:t>
      </w:r>
      <w:r>
        <w:t xml:space="preserve"> </w:t>
      </w:r>
      <w:r>
        <w:t xml:space="preserve">global) allows apples-to-apples comparison across funds. Prospectus</w:t>
      </w:r>
      <w:r>
        <w:t xml:space="preserve"> </w:t>
      </w:r>
      <w:r>
        <w:t xml:space="preserve">benchmarks differ by fund, making cross-sectional analysis messy.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Avoiding benchmark gaming</w:t>
      </w:r>
      <w:r>
        <w:t xml:space="preserve"> </w:t>
      </w:r>
      <w:r>
        <w:t xml:space="preserve">— Fund managers have some discretion</w:t>
      </w:r>
      <w:r>
        <w:t xml:space="preserve"> </w:t>
      </w:r>
      <w:r>
        <w:t xml:space="preserve">in selecting their prospectus benchmark, and there's</w:t>
      </w:r>
      <w:r>
        <w:t xml:space="preserve"> </w:t>
      </w:r>
      <w:r>
        <w:t xml:space="preserve">well-documented evidence they pick benchmarks that are easy to beat.</w:t>
      </w:r>
      <w:r>
        <w:t xml:space="preserve"> </w:t>
      </w:r>
      <w:r>
        <w:t xml:space="preserve">Using manager-selected benchmarks would introduce a systematic</w:t>
      </w:r>
      <w:r>
        <w:t xml:space="preserve"> </w:t>
      </w:r>
      <w:r>
        <w:t xml:space="preserve">upward bias in alpha estimates (this is discussed extensively in the</w:t>
      </w:r>
      <w:r>
        <w:t xml:space="preserve"> </w:t>
      </w:r>
      <w:r>
        <w:t xml:space="preserve">closet indexing and benchmark manipulation literature).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Factor model frameworks</w:t>
      </w:r>
      <w:r>
        <w:t xml:space="preserve"> </w:t>
      </w:r>
      <w:r>
        <w:t xml:space="preserve">— Much of the academic literature</w:t>
      </w:r>
      <w:r>
        <w:t xml:space="preserve"> </w:t>
      </w:r>
      <w:r>
        <w:t xml:space="preserve">(Fama-French, Carhart 4-factor, etc.) sidesteps the benchmark</w:t>
      </w:r>
      <w:r>
        <w:t xml:space="preserve"> </w:t>
      </w:r>
      <w:r>
        <w:t xml:space="preserve">question entirely by attributing returns to systematic risk factors</w:t>
      </w:r>
      <w:r>
        <w:t xml:space="preserve"> </w:t>
      </w:r>
      <w:r>
        <w:t xml:space="preserve">rather than a single index. Alpha is then measured as CAPM or</w:t>
      </w:r>
      <w:r>
        <w:t xml:space="preserve"> </w:t>
      </w:r>
      <w:r>
        <w:t xml:space="preserve">multifactor alpha, not excess return over a stated benchmark.</w:t>
      </w:r>
    </w:p>
    <w:p>
      <w:pPr>
        <w:pStyle w:val="FirstParagraph"/>
      </w:pPr>
      <w:r>
        <w:rPr>
          <w:bCs/>
          <w:b/>
        </w:rPr>
        <w:t xml:space="preserve">When prospectus benchmarks ARE used:</w:t>
      </w:r>
    </w:p>
    <w:p>
      <w:pPr>
        <w:numPr>
          <w:ilvl w:val="0"/>
          <w:numId w:val="1002"/>
        </w:numPr>
      </w:pPr>
      <w:r>
        <w:t xml:space="preserve">Regulatory and practitioner contexts — the SEC and fund rating</w:t>
      </w:r>
      <w:r>
        <w:t xml:space="preserve"> </w:t>
      </w:r>
      <w:r>
        <w:t xml:space="preserve">agencies (Morningstar, Lipper) often use the fund's stated</w:t>
      </w:r>
      <w:r>
        <w:t xml:space="preserve"> </w:t>
      </w:r>
      <w:r>
        <w:t xml:space="preserve">benchmark for disclosure and marketing materials</w:t>
      </w:r>
    </w:p>
    <w:p>
      <w:pPr>
        <w:numPr>
          <w:ilvl w:val="0"/>
          <w:numId w:val="1002"/>
        </w:numPr>
      </w:pPr>
      <w:r>
        <w:t xml:space="preserve">Studies specifically examining benchmark selection behavior or</w:t>
      </w:r>
      <w:r>
        <w:t xml:space="preserve"> </w:t>
      </w:r>
      <w:r>
        <w:t xml:space="preserve">manager skill</w:t>
      </w:r>
      <w:r>
        <w:t xml:space="preserve"> </w:t>
      </w:r>
      <w:r>
        <w:rPr>
          <w:iCs/>
          <w:i/>
        </w:rPr>
        <w:t xml:space="preserve">relative to their own stated objective</w:t>
      </w:r>
    </w:p>
    <w:p>
      <w:pPr>
        <w:numPr>
          <w:ilvl w:val="0"/>
          <w:numId w:val="1002"/>
        </w:numPr>
      </w:pPr>
      <w:r>
        <w:t xml:space="preserve">Performance attribution in due diligence (consultant or</w:t>
      </w:r>
      <w:r>
        <w:t xml:space="preserve"> </w:t>
      </w:r>
      <w:r>
        <w:t xml:space="preserve">institutional investor analysis)</w:t>
      </w:r>
    </w:p>
    <w:p>
      <w:pPr>
        <w:pStyle w:val="FirstParagraph"/>
      </w:pPr>
      <w:r>
        <w:rPr>
          <w:bCs/>
          <w:b/>
        </w:rPr>
        <w:t xml:space="preserve">Best practice in rigorous academic work</w:t>
      </w:r>
      <w:r>
        <w:t xml:space="preserve"> </w:t>
      </w:r>
      <w:r>
        <w:t xml:space="preserve">typically involves:</w:t>
      </w:r>
    </w:p>
    <w:p>
      <w:pPr>
        <w:numPr>
          <w:ilvl w:val="0"/>
          <w:numId w:val="1003"/>
        </w:numPr>
      </w:pPr>
      <w:r>
        <w:t xml:space="preserve">A category-appropriate broad index (matched to fund style/asset</w:t>
      </w:r>
      <w:r>
        <w:t xml:space="preserve"> </w:t>
      </w:r>
      <w:r>
        <w:t xml:space="preserve">class)</w:t>
      </w:r>
    </w:p>
    <w:p>
      <w:pPr>
        <w:numPr>
          <w:ilvl w:val="0"/>
          <w:numId w:val="1003"/>
        </w:numPr>
      </w:pPr>
      <w:r>
        <w:t xml:space="preserve">Morningstar category peers as a secondary comparison group</w:t>
      </w:r>
    </w:p>
    <w:p>
      <w:pPr>
        <w:numPr>
          <w:ilvl w:val="0"/>
          <w:numId w:val="1003"/>
        </w:numPr>
      </w:pPr>
      <w:r>
        <w:t xml:space="preserve">Factor model alpha to complement raw benchmark-relative returns</w:t>
      </w:r>
    </w:p>
    <w:p>
      <w:pPr>
        <w:pStyle w:val="FirstParagraph"/>
      </w:pPr>
      <w:r>
        <w:t xml:space="preserve">The Cremers &amp; Petajisto (2009) active share paper and Sensoy (2009) on</w:t>
      </w:r>
      <w:r>
        <w:t xml:space="preserve"> </w:t>
      </w:r>
      <w:r>
        <w:t xml:space="preserve">benchmark selection are two particularly influential papers that</w:t>
      </w:r>
      <w:r>
        <w:t xml:space="preserve"> </w:t>
      </w:r>
      <w:r>
        <w:t xml:space="preserve">highlight how prospectus benchmarks can be misleading, which reinforced</w:t>
      </w:r>
      <w:r>
        <w:t xml:space="preserve"> </w:t>
      </w:r>
      <w:r>
        <w:t xml:space="preserve">the field's preference for broad or style-matched benchmarks in</w:t>
      </w:r>
      <w:r>
        <w:t xml:space="preserve"> </w:t>
      </w:r>
      <w:r>
        <w:t xml:space="preserve">research.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2026-04-18T16:47:47Z</dcterms:created>
  <dcterms:modified xsi:type="dcterms:W3CDTF">2026-04-18T16:47:47Z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