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Bootstrap &amp;</w:t>
      </w:r>
      <w:r>
        <w:t xml:space="preserve">** False Discovery Rate Enhancements**</w:t>
      </w:r>
    </w:p>
    <w:p>
      <w:pPr>
        <w:pStyle w:val="BodyText"/>
      </w:pPr>
      <w:r>
        <w:rPr>
          <w:iCs/>
          <w:i/>
        </w:rPr>
        <w:t xml:space="preserve">Planned Extensions to alpha_estimation.R and bootstrap_methodology.docx</w:t>
      </w:r>
    </w:p>
    <w:p>
      <w:pPr>
        <w:pStyle w:val="BodyText"/>
      </w:pPr>
      <w:r>
        <w:t xml:space="preserve">The Active Management Puzzle — PhD Dissertation, Bogazici University | Department of Management | Supervisor: Prof. Vedat Akgiray</w:t>
      </w:r>
    </w:p>
    <w:bookmarkStart w:id="20" w:name="purpose-of-this-document"/>
    <w:p>
      <w:pPr>
        <w:pStyle w:val="Heading1"/>
      </w:pPr>
      <w:r>
        <w:rPr>
          <w:bCs/>
          <w:b/>
        </w:rPr>
        <w:t xml:space="preserve">1. Purpose of This Document</w:t>
      </w:r>
    </w:p>
    <w:p>
      <w:pPr>
        <w:pStyle w:val="FirstParagraph"/>
      </w:pPr>
      <w:r>
        <w:t xml:space="preserve">This note records the methodological enhancements to the bootstrap and False Discovery Rate (FDR) analysis that were identified in a detailed review of Fama and French (2010, JF) and Barras, Scaillet and Wermers (2010, JF) (hereafter FF and BSW). It serves as a task specification for the next working session, at which the R script alpha_estimation.R will be updated and bootstrap_methodology.docx will be revised to reflect the completed changes.</w:t>
      </w:r>
    </w:p>
    <w:p>
      <w:pPr>
        <w:pStyle w:val="BodyText"/>
      </w:pPr>
      <w:r>
        <w:t xml:space="preserve">The current implementation — joint-resampling FF bootstrap for Table 9 plus the Storey (2002) π₀ estimate for Table 10 — is</w:t>
      </w:r>
      <w:r>
        <w:t xml:space="preserve"> </w:t>
      </w:r>
      <w:r>
        <w:rPr>
          <w:bCs/>
          <w:b/>
        </w:rPr>
        <w:t xml:space="preserve">methodologically correct</w:t>
      </w:r>
      <w:r>
        <w:t xml:space="preserve"> </w:t>
      </w:r>
      <w:r>
        <w:t xml:space="preserve">and already exceeds the minimum standard for a PhD dissertation defence. The enhancements below</w:t>
      </w:r>
      <w:r>
        <w:t xml:space="preserve"> </w:t>
      </w:r>
      <w:r>
        <w:rPr>
          <w:bCs/>
          <w:b/>
        </w:rPr>
        <w:t xml:space="preserve">deepen</w:t>
      </w:r>
      <w:r>
        <w:t xml:space="preserve"> </w:t>
      </w:r>
      <w:r>
        <w:t xml:space="preserve">that contribution; they are not corrections.</w:t>
      </w:r>
    </w:p>
    <w:bookmarkEnd w:id="20"/>
    <w:bookmarkStart w:id="21" w:name="X0d9b54eb66ad4e138222e9fc101db5d3d67bf5a"/>
    <w:p>
      <w:pPr>
        <w:pStyle w:val="Heading1"/>
      </w:pPr>
      <w:r>
        <w:rPr>
          <w:bCs/>
          <w:b/>
        </w:rPr>
        <w:t xml:space="preserve">2. Current Implementation: What Is Already in Place</w:t>
      </w:r>
    </w:p>
    <w:p>
      <w:pPr>
        <w:pStyle w:val="FirstParagraph"/>
      </w:pPr>
      <w:r>
        <w:t xml:space="preserve">For reference, the following components are already implemented and documented:</w:t>
      </w:r>
    </w:p>
    <w:p>
      <w:pPr>
        <w:numPr>
          <w:ilvl w:val="0"/>
          <w:numId w:val="1001"/>
        </w:numPr>
      </w:pPr>
      <w:r>
        <w:rPr>
          <w:bCs/>
          <w:b/>
        </w:rPr>
        <w:t xml:space="preserve">FF bootstrap (Table 9):</w:t>
      </w:r>
      <w:r>
        <w:rPr>
          <w:bCs/>
          <w:b/>
        </w:rPr>
        <w:t xml:space="preserve"> </w:t>
      </w:r>
      <w:r>
        <w:t xml:space="preserve">Joint calendar-month resampling with alpha-demeaning, B = 10,000 iterations, minimum 8 observations per fund per draw, parallelised with parLapply. Produces Actual t(α), Simulated Mean, and Prob. Luck columns at selected percentiles.</w:t>
      </w:r>
    </w:p>
    <w:p>
      <w:pPr>
        <w:numPr>
          <w:ilvl w:val="0"/>
          <w:numId w:val="1001"/>
        </w:numPr>
      </w:pPr>
      <w:r>
        <w:rPr>
          <w:bCs/>
          <w:b/>
        </w:rPr>
        <w:t xml:space="preserve">Storey π₀ (Table 10):</w:t>
      </w:r>
      <w:r>
        <w:rPr>
          <w:bCs/>
          <w:b/>
        </w:rPr>
        <w:t xml:space="preserve"> </w:t>
      </w:r>
      <w:r>
        <w:t xml:space="preserve">Proportion of zero-alpha funds estimated at λ = 0.5 from two-sided Newey-West p-values. Sensitivity to λ ∈ {0.3, 0.4, 0.6} documented. Current estimate: π₀ = 79.9%.</w:t>
      </w:r>
    </w:p>
    <w:p>
      <w:pPr>
        <w:numPr>
          <w:ilvl w:val="0"/>
          <w:numId w:val="1001"/>
        </w:numPr>
      </w:pPr>
      <w:r>
        <w:rPr>
          <w:bCs/>
          <w:b/>
        </w:rPr>
        <w:t xml:space="preserve">Input p-values:</w:t>
      </w:r>
      <w:r>
        <w:rPr>
          <w:bCs/>
          <w:b/>
        </w:rPr>
        <w:t xml:space="preserve"> </w:t>
      </w:r>
      <w:r>
        <w:t xml:space="preserve">Two-sided p-values from Newey-West t-statistics: pᵢ = 2 · Φ(−|tᵢ,NW|), where Φ is the standard normal CDF.</w:t>
      </w:r>
    </w:p>
    <w:p>
      <w:pPr>
        <w:pStyle w:val="FirstParagraph"/>
      </w:pPr>
      <w:r>
        <w:t xml:space="preserve">What is NOT yet in place is described in Section 3.</w:t>
      </w:r>
    </w:p>
    <w:bookmarkEnd w:id="21"/>
    <w:bookmarkStart w:id="25" w:name="planned-enhancements"/>
    <w:p>
      <w:pPr>
        <w:pStyle w:val="Heading1"/>
      </w:pPr>
      <w:r>
        <w:rPr>
          <w:bCs/>
          <w:b/>
        </w:rPr>
        <w:t xml:space="preserve">3. Planned Enhancements</w:t>
      </w:r>
    </w:p>
    <w:bookmarkStart w:id="22" w:name="X4c452af139600208b66940c00ae1589ce9cd3e9"/>
    <w:p>
      <w:pPr>
        <w:pStyle w:val="Heading2"/>
      </w:pPr>
      <w:r>
        <w:rPr>
          <w:bCs/>
          <w:b/>
        </w:rPr>
        <w:t xml:space="preserve">3.1 Enhancement A: Full BSW Decomposition Table (Priority 1 — Zero Additional Computation)</w:t>
      </w:r>
    </w:p>
    <w:p>
      <w:pPr>
        <w:pStyle w:val="FirstParagraph"/>
      </w:pPr>
      <w:r>
        <w:t xml:space="preserve">This is the most important extension and requires no new data or computation. It uses the existing π₀ = 79.9% estimate and the existing p-values from the full-period Newey-West regressions.</w:t>
      </w:r>
    </w:p>
    <w:p>
      <w:pPr>
        <w:pStyle w:val="BodyText"/>
      </w:pPr>
      <w:r>
        <w:rPr>
          <w:bCs/>
          <w:b/>
        </w:rPr>
        <w:t xml:space="preserve">What it is</w:t>
      </w:r>
    </w:p>
    <w:p>
      <w:pPr>
        <w:pStyle w:val="BodyText"/>
      </w:pPr>
      <w:r>
        <w:t xml:space="preserve">BSW (2010) decompose the observed cross-section of significant funds at any significance level γ into four mutually exclusive groups: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Quantity</w:t>
            </w:r>
          </w:p>
        </w:tc>
        <w:tc>
          <w:tcPr/>
          <w:p>
            <w:pPr>
              <w:pStyle w:val="Compact"/>
              <w:jc w:val="left"/>
            </w:pPr>
            <w:r>
              <w:rPr>
                <w:bCs/>
                <w:b/>
              </w:rPr>
              <w:t xml:space="preserve">Formula</w:t>
            </w:r>
          </w:p>
        </w:tc>
        <w:tc>
          <w:tcPr/>
          <w:p>
            <w:pPr>
              <w:pStyle w:val="Compact"/>
              <w:jc w:val="left"/>
            </w:pPr>
            <w:r>
              <w:rPr>
                <w:bCs/>
                <w:b/>
              </w:rPr>
              <w:t xml:space="preserve">Interpretation</w:t>
            </w:r>
          </w:p>
        </w:tc>
      </w:tr>
      <w:tr>
        <w:tc>
          <w:tcPr/>
          <w:p>
            <w:pPr>
              <w:pStyle w:val="Compact"/>
              <w:jc w:val="left"/>
            </w:pPr>
            <w:r>
              <w:t xml:space="preserve">F⁻ᵧ = F⁺ᵧ</w:t>
            </w:r>
          </w:p>
        </w:tc>
        <w:tc>
          <w:tcPr/>
          <w:p>
            <w:pPr>
              <w:pStyle w:val="Compact"/>
              <w:jc w:val="left"/>
            </w:pPr>
            <w:r>
              <w:t xml:space="preserve">π̂₀ · γ/2</w:t>
            </w:r>
          </w:p>
        </w:tc>
        <w:tc>
          <w:tcPr/>
          <w:p>
            <w:pPr>
              <w:pStyle w:val="Compact"/>
              <w:jc w:val="left"/>
            </w:pPr>
            <w:r>
              <w:t xml:space="preserve">Expected proportion of unlucky / lucky zero-alpha funds in each tail</w:t>
            </w:r>
          </w:p>
        </w:tc>
      </w:tr>
      <w:tr>
        <w:tc>
          <w:tcPr/>
          <w:p>
            <w:pPr>
              <w:pStyle w:val="Compact"/>
              <w:jc w:val="left"/>
            </w:pPr>
            <w:r>
              <w:t xml:space="preserve">T⁻ᵧ</w:t>
            </w:r>
          </w:p>
        </w:tc>
        <w:tc>
          <w:tcPr/>
          <w:p>
            <w:pPr>
              <w:pStyle w:val="Compact"/>
              <w:jc w:val="left"/>
            </w:pPr>
            <w:r>
              <w:t xml:space="preserve">S⁻ᵧ − π̂₀ · γ/2</w:t>
            </w:r>
          </w:p>
        </w:tc>
        <w:tc>
          <w:tcPr/>
          <w:p>
            <w:pPr>
              <w:pStyle w:val="Compact"/>
              <w:jc w:val="left"/>
            </w:pPr>
            <w:r>
              <w:t xml:space="preserve">Truly unskilled funds (significant negative alpha, not just unlucky)</w:t>
            </w:r>
          </w:p>
        </w:tc>
      </w:tr>
      <w:tr>
        <w:tc>
          <w:tcPr/>
          <w:p>
            <w:pPr>
              <w:pStyle w:val="Compact"/>
              <w:jc w:val="left"/>
            </w:pPr>
            <w:r>
              <w:t xml:space="preserve">T⁺ᵧ</w:t>
            </w:r>
          </w:p>
        </w:tc>
        <w:tc>
          <w:tcPr/>
          <w:p>
            <w:pPr>
              <w:pStyle w:val="Compact"/>
              <w:jc w:val="left"/>
            </w:pPr>
            <w:r>
              <w:t xml:space="preserve">S⁺ᵧ − π̂₀ · γ/2</w:t>
            </w:r>
          </w:p>
        </w:tc>
        <w:tc>
          <w:tcPr/>
          <w:p>
            <w:pPr>
              <w:pStyle w:val="Compact"/>
              <w:jc w:val="left"/>
            </w:pPr>
            <w:r>
              <w:t xml:space="preserve">Truly skilled funds (significant positive alpha, not just lucky)</w:t>
            </w:r>
          </w:p>
        </w:tc>
      </w:tr>
      <w:tr>
        <w:tc>
          <w:tcPr/>
          <w:p>
            <w:pPr>
              <w:pStyle w:val="Compact"/>
              <w:jc w:val="left"/>
            </w:pPr>
            <w:r>
              <w:t xml:space="preserve">π̂⁻_A, π̂⁺_A</w:t>
            </w:r>
          </w:p>
        </w:tc>
        <w:tc>
          <w:tcPr/>
          <w:p>
            <w:pPr>
              <w:pStyle w:val="Compact"/>
              <w:jc w:val="left"/>
            </w:pPr>
            <w:r>
              <w:t xml:space="preserve">T⁻ᵧ and T⁺ᵧ at sufficiently large γ*</w:t>
            </w:r>
          </w:p>
        </w:tc>
        <w:tc>
          <w:tcPr/>
          <w:p>
            <w:pPr>
              <w:pStyle w:val="Compact"/>
              <w:jc w:val="left"/>
            </w:pPr>
            <w:r>
              <w:t xml:space="preserve">Overall proportion of unskilled / skilled funds in the population</w:t>
            </w:r>
          </w:p>
        </w:tc>
      </w:tr>
    </w:tbl>
    <w:p>
      <w:pPr>
        <w:pStyle w:val="BodyText"/>
      </w:pPr>
      <w:r>
        <w:t xml:space="preserve">Here, S⁻ᵧ and S⁺ᵧ are the observed fractions of funds with significant negative and positive t-statistics at level γ. All quantities are expressed as percentages of the active fund universe.</w:t>
      </w:r>
    </w:p>
    <w:p>
      <w:pPr>
        <w:pStyle w:val="BodyText"/>
      </w:pPr>
      <w:r>
        <w:rPr>
          <w:bCs/>
          <w:b/>
        </w:rPr>
        <w:t xml:space="preserve">What to implement in R</w:t>
      </w:r>
    </w:p>
    <w:p>
      <w:pPr>
        <w:pStyle w:val="BodyText"/>
      </w:pPr>
      <w:r>
        <w:t xml:space="preserve">Compute the above quantities at a grid of γ values. The conventional grid used by BSW is:</w:t>
      </w:r>
    </w:p>
    <w:p>
      <w:pPr>
        <w:pStyle w:val="BodyText"/>
      </w:pPr>
      <w:r>
        <w:t xml:space="preserve">γ ∈ {0.05, 0.10, 0.15, 0.20, 0.25, 0.30, 0.35, 0.40, 0.45, 0.50}</w:t>
      </w:r>
    </w:p>
    <w:p>
      <w:pPr>
        <w:pStyle w:val="BodyText"/>
      </w:pPr>
      <w:r>
        <w:t xml:space="preserve">The R code structure is approximately:</w:t>
      </w:r>
    </w:p>
    <w:p>
      <w:pPr>
        <w:pStyle w:val="BodyText"/>
      </w:pPr>
      <w:r>
        <w:t xml:space="preserve">gamma_grid &lt;- c(0.05, 0.10, 0.15, 0.20, 0.25, 0.30, 0.35, 0.40, 0.45, 0.50</w:t>
      </w:r>
    </w:p>
    <w:p>
      <w:pPr>
        <w:pStyle w:val="BodyText"/>
      </w:pPr>
      <w:r>
        <w:t xml:space="preserve">pi0_hat &lt;- 0.799 # from Storey estimator already computed</w:t>
      </w:r>
    </w:p>
    <w:p>
      <w:pPr>
        <w:pStyle w:val="BodyText"/>
      </w:pPr>
      <w:r>
        <w:t xml:space="preserve">bsw_table &lt;- lapply(gamma_grid, function(g) {</w:t>
      </w:r>
    </w:p>
    <w:p>
      <w:pPr>
        <w:pStyle w:val="BodyText"/>
      </w:pPr>
      <w:r>
        <w:t xml:space="preserve">t_thresh &lt;- qnorm(1 - g/2)</w:t>
      </w:r>
    </w:p>
    <w:p>
      <w:pPr>
        <w:pStyle w:val="BodyText"/>
      </w:pPr>
      <w:r>
        <w:t xml:space="preserve">S_neg &lt;- mean(t_stats &lt; -t_thresh)</w:t>
      </w:r>
    </w:p>
    <w:p>
      <w:pPr>
        <w:pStyle w:val="BodyText"/>
      </w:pPr>
      <w:r>
        <w:t xml:space="preserve">S_pos &lt;- mean(t_stats &gt; t_thresh)</w:t>
      </w:r>
    </w:p>
    <w:p>
      <w:pPr>
        <w:pStyle w:val="BodyText"/>
      </w:pPr>
      <w:r>
        <w:t xml:space="preserve">F_luck &lt;- pi0_hat * g / 2</w:t>
      </w:r>
    </w:p>
    <w:p>
      <w:pPr>
        <w:pStyle w:val="BodyText"/>
      </w:pPr>
      <w:r>
        <w:t xml:space="preserve">T_unskilled &lt;- S_neg - F_luck</w:t>
      </w:r>
    </w:p>
    <w:p>
      <w:pPr>
        <w:pStyle w:val="BodyText"/>
      </w:pPr>
      <w:r>
        <w:t xml:space="preserve">T_skilled &lt;- S_pos - F_luck</w:t>
      </w:r>
    </w:p>
    <w:p>
      <w:pPr>
        <w:pStyle w:val="BodyText"/>
      </w:pPr>
      <w:r>
        <w:t xml:space="preserve">data.frame(gamma=g, S_neg=S_neg, S_pos=S_pos, F_luck=F_luck,</w:t>
      </w:r>
    </w:p>
    <w:p>
      <w:pPr>
        <w:pStyle w:val="SourceCode"/>
      </w:pPr>
      <w:r>
        <w:rPr>
          <w:rStyle w:val="VerbatimChar"/>
        </w:rPr>
        <w:t xml:space="preserve">         T_unskilled=T_unskilled, T_skilled=T_skilled)</w:t>
      </w:r>
    </w:p>
    <w:p>
      <w:pPr>
        <w:pStyle w:val="FirstParagraph"/>
      </w:pPr>
      <w:r>
        <w:t xml:space="preserve">})</w:t>
      </w:r>
    </w:p>
    <w:p>
      <w:pPr>
        <w:pStyle w:val="BodyText"/>
      </w:pPr>
      <w:r>
        <w:t xml:space="preserve">bsw_df &lt;- do.call(rbind, bsw_table)</w:t>
      </w:r>
    </w:p>
    <w:p>
      <w:pPr>
        <w:pStyle w:val="BodyText"/>
      </w:pPr>
      <w:r>
        <w:t xml:space="preserve">This becomes Table 10b in the dissertation (or replaces Table 10 depending on final numbering). All values should be reported as percentages, not decimals.</w:t>
      </w:r>
    </w:p>
    <w:p>
      <w:pPr>
        <w:pStyle w:val="BodyText"/>
      </w:pPr>
      <w:r>
        <w:rPr>
          <w:bCs/>
          <w:b/>
        </w:rPr>
        <w:t xml:space="preserve">What the table answers</w:t>
      </w:r>
    </w:p>
    <w:p>
      <w:pPr>
        <w:pStyle w:val="BodyText"/>
      </w:pPr>
      <w:r>
        <w:t xml:space="preserve">This directly answers the jury question: How many funds are genuinely skilled, not merely lucky? The table shows that, even if 5.4% of funds appear to have significant positive alphas at γ = 0.10 (BSW’s illustrative benchmark), a substantial fraction of those are zero-alpha funds that happened to be lucky. The corrected proportion of truly skilled funds is far smaller.</w:t>
      </w:r>
    </w:p>
    <w:p>
      <w:pPr>
        <w:pStyle w:val="BodyText"/>
      </w:pPr>
      <w:r>
        <w:rPr>
          <w:bCs/>
          <w:b/>
        </w:rPr>
        <w:t xml:space="preserve">Expected finding (based on existing π₀ = 79.9%)</w:t>
      </w:r>
    </w:p>
    <w:p>
      <w:pPr>
        <w:pStyle w:val="BodyText"/>
      </w:pPr>
      <w:r>
        <w:t xml:space="preserve">With π₀ = 0.799, each tail receives F_luck = 0.799 × γ/2 in false discoveries. At γ = 0.10, this is approximately 4.0% per tail. If S_pos at γ = 0.10 is around 5–7%, the implied truly skilled proportion will be approximately 1–3% — consistent with BSW’s 2% finding for their 1975–2002 US sample.</w:t>
      </w:r>
    </w:p>
    <w:bookmarkEnd w:id="22"/>
    <w:bookmarkStart w:id="23" w:name="Xb26a84dc413de6ed21a8c410888c91559ddb806"/>
    <w:p>
      <w:pPr>
        <w:pStyle w:val="Heading2"/>
      </w:pPr>
      <w:r>
        <w:rPr>
          <w:bCs/>
          <w:b/>
        </w:rPr>
        <w:t xml:space="preserve">3.2 Enhancement B: Per-Fund Bootstrap p-values (Priority 2 — Replaces Normal Approximation)</w:t>
      </w:r>
    </w:p>
    <w:p>
      <w:pPr>
        <w:pStyle w:val="FirstParagraph"/>
      </w:pPr>
      <w:r>
        <w:rPr>
          <w:bCs/>
          <w:b/>
        </w:rPr>
        <w:t xml:space="preserve">What it is and why it matters</w:t>
      </w:r>
    </w:p>
    <w:p>
      <w:pPr>
        <w:pStyle w:val="BodyText"/>
      </w:pPr>
      <w:r>
        <w:t xml:space="preserve">Currently, the two-sided p-values fed into the Storey estimator are derived from the standard normal:</w:t>
      </w:r>
      <w:r>
        <w:t xml:space="preserve"> </w:t>
      </w:r>
      <w:r>
        <w:rPr>
          <w:iCs/>
          <w:i/>
        </w:rPr>
        <w:t xml:space="preserve">pᵢ = 2 · Φ(−|tᵢ,NW|)</w:t>
      </w:r>
      <w:r>
        <w:t xml:space="preserve">. This is an approximation. BSW note (footnote 5) that</w:t>
      </w:r>
      <w:r>
        <w:t xml:space="preserve"> </w:t>
      </w:r>
      <w:r>
        <w:t xml:space="preserve">“</w:t>
      </w:r>
      <w:r>
        <w:t xml:space="preserve">the actual t-statistic distributions for individual funds are nonnormal for most U.S. domestic equity funds</w:t>
      </w:r>
      <w:r>
        <w:t xml:space="preserve">”</w:t>
      </w:r>
      <w:r>
        <w:t xml:space="preserve"> </w:t>
      </w:r>
      <w:r>
        <w:t xml:space="preserve">(citing Kosowski et al., 2006). Fat-tailed or skewed residuals cause the normal approximation to produce p-values that are either too small or too large, biasing π₀.</w:t>
      </w:r>
    </w:p>
    <w:p>
      <w:pPr>
        <w:pStyle w:val="BodyText"/>
      </w:pPr>
      <w:r>
        <w:t xml:space="preserve">The BSW solution is to derive each fund’s p-value from its own individual bootstrap. Conceptually:</w:t>
      </w:r>
    </w:p>
    <w:p>
      <w:pPr>
        <w:numPr>
          <w:ilvl w:val="0"/>
          <w:numId w:val="1002"/>
        </w:numPr>
      </w:pPr>
      <w:r>
        <w:t xml:space="preserve">For each fund i, compute the zero-alpha residual series (subtract α̂ᵢ from the excess return).</w:t>
      </w:r>
    </w:p>
    <w:p>
      <w:pPr>
        <w:numPr>
          <w:ilvl w:val="0"/>
          <w:numId w:val="1002"/>
        </w:numPr>
      </w:pPr>
      <w:r>
        <w:t xml:space="preserve">Draw B_fund = 1,000 bootstrap samples of the fund’s own residuals (with replacement, time-series block structure not required for individual funds).</w:t>
      </w:r>
    </w:p>
    <w:p>
      <w:pPr>
        <w:numPr>
          <w:ilvl w:val="0"/>
          <w:numId w:val="1002"/>
        </w:numPr>
      </w:pPr>
      <w:r>
        <w:t xml:space="preserve">Estimate the four-factor model on each bootstrap draw to obtain B_fund simulated t-statistics under H₀: αᵢ = 0.</w:t>
      </w:r>
    </w:p>
    <w:p>
      <w:pPr>
        <w:numPr>
          <w:ilvl w:val="0"/>
          <w:numId w:val="1002"/>
        </w:numPr>
      </w:pPr>
      <w:r>
        <w:t xml:space="preserve">The empirical p-value for fund i is the fraction of |simulated t-statistics| that exceed |observed tᵢ,NW|.</w:t>
      </w:r>
    </w:p>
    <w:p>
      <w:pPr>
        <w:pStyle w:val="FirstParagraph"/>
      </w:pPr>
      <w:r>
        <w:rPr>
          <w:bCs/>
          <w:b/>
        </w:rPr>
        <w:t xml:space="preserve">What this improves</w:t>
      </w:r>
    </w:p>
    <w:p>
      <w:pPr>
        <w:pStyle w:val="BodyText"/>
      </w:pPr>
      <w:r>
        <w:t xml:space="preserve">More accurate individual p-values lead to a better-calibrated π₀ from the Storey estimator, which in turn produces more accurate T_skilled and T_unskilled estimates in the BSW decomposition table. The improvement is most pronounced for short-history funds (where the t-distribution has few degrees of freedom) and funds with non-normal residuals.</w:t>
      </w:r>
    </w:p>
    <w:p>
      <w:pPr>
        <w:pStyle w:val="BodyText"/>
      </w:pPr>
      <w:r>
        <w:rPr>
          <w:bCs/>
          <w:b/>
        </w:rPr>
        <w:t xml:space="preserve">Computational cost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Approach</w:t>
            </w:r>
          </w:p>
        </w:tc>
        <w:tc>
          <w:tcPr/>
          <w:p>
            <w:pPr>
              <w:pStyle w:val="Compact"/>
              <w:jc w:val="left"/>
            </w:pPr>
            <w:r>
              <w:rPr>
                <w:bCs/>
                <w:b/>
              </w:rPr>
              <w:t xml:space="preserve">Regressions</w:t>
            </w:r>
          </w:p>
        </w:tc>
        <w:tc>
          <w:tcPr/>
          <w:p>
            <w:pPr>
              <w:pStyle w:val="Compact"/>
              <w:jc w:val="left"/>
            </w:pPr>
            <w:r>
              <w:rPr>
                <w:bCs/>
                <w:b/>
              </w:rPr>
              <w:t xml:space="preserve">Wall-clock (modern multicore)</w:t>
            </w:r>
          </w:p>
        </w:tc>
      </w:tr>
      <w:tr>
        <w:tc>
          <w:tcPr/>
          <w:p>
            <w:pPr>
              <w:pStyle w:val="Compact"/>
              <w:jc w:val="left"/>
            </w:pPr>
            <w:r>
              <w:t xml:space="preserve">Current (normal approx.)</w:t>
            </w:r>
          </w:p>
        </w:tc>
        <w:tc>
          <w:tcPr/>
          <w:p>
            <w:pPr>
              <w:pStyle w:val="Compact"/>
              <w:jc w:val="left"/>
            </w:pPr>
            <w:r>
              <w:t xml:space="preserve">~1,900 (once)</w:t>
            </w:r>
          </w:p>
        </w:tc>
        <w:tc>
          <w:tcPr/>
          <w:p>
            <w:pPr>
              <w:pStyle w:val="Compact"/>
              <w:jc w:val="left"/>
            </w:pPr>
            <w:r>
              <w:t xml:space="preserve">&lt; 1 second</w:t>
            </w:r>
          </w:p>
        </w:tc>
      </w:tr>
      <w:tr>
        <w:tc>
          <w:tcPr/>
          <w:p>
            <w:pPr>
              <w:pStyle w:val="Compact"/>
              <w:jc w:val="left"/>
            </w:pPr>
            <w:r>
              <w:t xml:space="preserve">Per-fund bootstrap (B=1,000)</w:t>
            </w:r>
          </w:p>
        </w:tc>
        <w:tc>
          <w:tcPr/>
          <w:p>
            <w:pPr>
              <w:pStyle w:val="Compact"/>
              <w:jc w:val="left"/>
            </w:pPr>
            <w:r>
              <w:t xml:space="preserve">~1.9M</w:t>
            </w:r>
          </w:p>
        </w:tc>
        <w:tc>
          <w:tcPr/>
          <w:p>
            <w:pPr>
              <w:pStyle w:val="Compact"/>
              <w:jc w:val="left"/>
            </w:pPr>
            <w:r>
              <w:t xml:space="preserve">15–30 minutes (parallelised)</w:t>
            </w:r>
          </w:p>
        </w:tc>
      </w:tr>
    </w:tbl>
    <w:p>
      <w:pPr>
        <w:pStyle w:val="BodyText"/>
      </w:pPr>
      <w:r>
        <w:t xml:space="preserve">Use B_fund = 1,000 bootstrap draws per fund (not 10,000 — BSW themselves use 1,000; beyond that the gain in precision is negligible). Parallelise across funds with parLapply using the same seed infrastructure already in place.</w:t>
      </w:r>
    </w:p>
    <w:p>
      <w:pPr>
        <w:pStyle w:val="BodyText"/>
      </w:pPr>
      <w:r>
        <w:rPr>
          <w:bCs/>
          <w:b/>
        </w:rPr>
        <w:t xml:space="preserve">R implementation sketch</w:t>
      </w:r>
    </w:p>
    <w:p>
      <w:pPr>
        <w:pStyle w:val="BodyText"/>
      </w:pPr>
      <w:r>
        <w:t xml:space="preserve">per_fund_pval &lt;- function(resid_vec, t_obs, B = 1000) {</w:t>
      </w:r>
    </w:p>
    <w:p>
      <w:pPr>
        <w:pStyle w:val="BodyText"/>
      </w:pPr>
      <w:r>
        <w:t xml:space="preserve">n &lt;- length(resid_vec)</w:t>
      </w:r>
    </w:p>
    <w:p>
      <w:pPr>
        <w:pStyle w:val="BodyText"/>
      </w:pPr>
      <w:r>
        <w:t xml:space="preserve">sim_t &lt;- replicate(B, {</w:t>
      </w:r>
    </w:p>
    <w:p>
      <w:pPr>
        <w:pStyle w:val="SourceCode"/>
      </w:pPr>
      <w:r>
        <w:rPr>
          <w:rStyle w:val="VerbatimChar"/>
        </w:rPr>
        <w:t xml:space="preserve">boot_resid &lt;- sample(resid_vec, n, replace = TRUE)</w:t>
      </w:r>
      <w:r>
        <w:br/>
      </w:r>
      <w:r>
        <w:br/>
      </w:r>
      <w:r>
        <w:rPr>
          <w:rStyle w:val="VerbatimChar"/>
        </w:rPr>
        <w:t xml:space="preserve"># refit OLS on the bootstrap draw to get t-stat under H0</w:t>
      </w:r>
      <w:r>
        <w:br/>
      </w:r>
      <w:r>
        <w:br/>
      </w:r>
      <w:r>
        <w:rPr>
          <w:rStyle w:val="VerbatimChar"/>
        </w:rPr>
        <w:t xml:space="preserve"># ... (use pre-computed X'X for efficiency)</w:t>
      </w:r>
    </w:p>
    <w:p>
      <w:pPr>
        <w:pStyle w:val="FirstParagraph"/>
      </w:pPr>
      <w:r>
        <w:t xml:space="preserve">})</w:t>
      </w:r>
    </w:p>
    <w:p>
      <w:pPr>
        <w:pStyle w:val="BodyText"/>
      </w:pPr>
      <w:r>
        <w:t xml:space="preserve">mean(abs(sim_t) &gt;= abs(t_obs)) # two-sided empirical p-value</w:t>
      </w:r>
    </w:p>
    <w:p>
      <w:pPr>
        <w:pStyle w:val="BodyText"/>
      </w:pPr>
      <w:r>
        <w:t xml:space="preserve">}</w:t>
      </w:r>
    </w:p>
    <w:p>
      <w:pPr>
        <w:pStyle w:val="BodyText"/>
      </w:pPr>
      <w:r>
        <w:t xml:space="preserve">The p-values from this procedure replace the normal-approximation p-values as inputs to the Storey π₀ estimator and to the BSW decomposition table. The FF bootstrap for Table 9 is NOT affected — it remains joint-resampling as currently implemented.</w:t>
      </w:r>
    </w:p>
    <w:p>
      <w:pPr>
        <w:pStyle w:val="BodyText"/>
      </w:pPr>
      <w:r>
        <w:rPr>
          <w:bCs/>
          <w:b/>
        </w:rPr>
        <w:t xml:space="preserve">Note on compatibility with FF</w:t>
      </w:r>
    </w:p>
    <w:p>
      <w:pPr>
        <w:pStyle w:val="BodyText"/>
      </w:pPr>
      <w:r>
        <w:t xml:space="preserve">The FF bootstrap and the BSW per-fund bootstrap are separate and compatible procedures. FF establishes whether the cross-section as a whole is consistent with zero skill (Table 9 / Figure 3). BSW per-fund p-values establish what fraction of the cross-section has genuine skill (Table 10 / BSW decomposition). They answer different questions and should both be reported.</w:t>
      </w:r>
    </w:p>
    <w:bookmarkEnd w:id="23"/>
    <w:bookmarkStart w:id="24" w:name="Xb976b9ddb0b139bfd3a3ef5379c2e7e91926585"/>
    <w:p>
      <w:pPr>
        <w:pStyle w:val="Heading2"/>
      </w:pPr>
      <w:r>
        <w:rPr>
          <w:bCs/>
          <w:b/>
        </w:rPr>
        <w:t xml:space="preserve">3.3 Enhancement C: Rolling Window Analysis (Priority 3 — Time-Variation Robustness)</w:t>
      </w:r>
    </w:p>
    <w:p>
      <w:pPr>
        <w:pStyle w:val="FirstParagraph"/>
      </w:pPr>
      <w:r>
        <w:rPr>
          <w:bCs/>
          <w:b/>
        </w:rPr>
        <w:t xml:space="preserve">What it is</w:t>
      </w:r>
    </w:p>
    <w:p>
      <w:pPr>
        <w:pStyle w:val="BodyText"/>
      </w:pPr>
      <w:r>
        <w:t xml:space="preserve">BSW Section III.B estimates π₀, π⁻_A (anti-skilled), and π⁺_A (skilled) using rolling 5-year windows. Their principal finding is that the proportion of skilled funds declined sharply over the 1975–2002 period — from roughly 14% in the late 1970s to approximately 0.6% by the end of the sample.</w:t>
      </w:r>
    </w:p>
    <w:p>
      <w:pPr>
        <w:pStyle w:val="BodyText"/>
      </w:pPr>
      <w:r>
        <w:rPr>
          <w:bCs/>
          <w:b/>
        </w:rPr>
        <w:t xml:space="preserve">Why this is relevant to the dissertation</w:t>
      </w:r>
    </w:p>
    <w:p>
      <w:pPr>
        <w:pStyle w:val="BodyText"/>
      </w:pPr>
      <w:r>
        <w:t xml:space="preserve">This is directly connected to the active management puzzle. If the proportion of genuinely skilled funds is not just small but declining, then rational explanations based on persistent fund selection become harder to maintain and the behavioral/psychological premium framing gains salience. A time-varying π₀ over 1995–2023 is a natural extension of your 1995–2023 trimmed panel and speaks directly to the puzzle’s persistence.</w:t>
      </w:r>
    </w:p>
    <w:p>
      <w:pPr>
        <w:pStyle w:val="BodyText"/>
      </w:pPr>
      <w:r>
        <w:rPr>
          <w:bCs/>
          <w:b/>
        </w:rPr>
        <w:t xml:space="preserve">Implementation</w:t>
      </w:r>
    </w:p>
    <w:p>
      <w:pPr>
        <w:pStyle w:val="BodyText"/>
      </w:pPr>
      <w:r>
        <w:t xml:space="preserve">Define a rolling window of 60 months (5 years). For each window end-date t = December 2000, December 2001, …, December 2023:</w:t>
      </w:r>
    </w:p>
    <w:p>
      <w:pPr>
        <w:numPr>
          <w:ilvl w:val="0"/>
          <w:numId w:val="1003"/>
        </w:numPr>
      </w:pPr>
      <w:r>
        <w:t xml:space="preserve">Collect all funds with at least 24 observations within [t−59, t].</w:t>
      </w:r>
    </w:p>
    <w:p>
      <w:pPr>
        <w:numPr>
          <w:ilvl w:val="0"/>
          <w:numId w:val="1003"/>
        </w:numPr>
      </w:pPr>
      <w:r>
        <w:t xml:space="preserve">Estimate four-factor alphas and Newey-West t-statistics.</w:t>
      </w:r>
    </w:p>
    <w:p>
      <w:pPr>
        <w:numPr>
          <w:ilvl w:val="0"/>
          <w:numId w:val="1003"/>
        </w:numPr>
      </w:pPr>
      <w:r>
        <w:t xml:space="preserve">Derive two-sided p-values (normal approximation or per-fund bootstrap).</w:t>
      </w:r>
    </w:p>
    <w:p>
      <w:pPr>
        <w:numPr>
          <w:ilvl w:val="0"/>
          <w:numId w:val="1003"/>
        </w:numPr>
      </w:pPr>
      <w:r>
        <w:t xml:space="preserve">Apply Storey estimator at λ = 0.5 to obtain window-specific π₀(t).</w:t>
      </w:r>
    </w:p>
    <w:p>
      <w:pPr>
        <w:numPr>
          <w:ilvl w:val="0"/>
          <w:numId w:val="1003"/>
        </w:numPr>
      </w:pPr>
      <w:r>
        <w:t xml:space="preserve">Compute T⁻ and T⁺ at γ = 0.20 (BSW’s standard choice for population estimates).</w:t>
      </w:r>
    </w:p>
    <w:p>
      <w:pPr>
        <w:pStyle w:val="FirstParagraph"/>
      </w:pPr>
      <w:r>
        <w:t xml:space="preserve">Plot π₀(t), π⁻_A(t), and π⁺_A(t) as a time series figure. This becomes Figure 4 or an appendix figure. This analysis is computationally cheap relative to Enhancement B because each window regression is independent and the Storey estimator is instant.</w:t>
      </w:r>
    </w:p>
    <w:bookmarkEnd w:id="24"/>
    <w:bookmarkEnd w:id="25"/>
    <w:bookmarkStart w:id="26" w:name="what-not-to-do-bsw-vs.-kosowski"/>
    <w:p>
      <w:pPr>
        <w:pStyle w:val="Heading1"/>
      </w:pPr>
      <w:r>
        <w:rPr>
          <w:bCs/>
          <w:b/>
        </w:rPr>
        <w:t xml:space="preserve">4. What NOT to Do: BSW vs. Kosowski</w:t>
      </w:r>
    </w:p>
    <w:p>
      <w:pPr>
        <w:pStyle w:val="FirstParagraph"/>
      </w:pPr>
      <w:r>
        <w:t xml:space="preserve">A natural question is whether to adopt Kosowski et al. (2006)’s per-fund tail-rank bootstrap to identify specific skilled funds. FF’s Section V demonstrates definitively that Kosowski et al.’s results are inflated by two sources of bias:</w:t>
      </w:r>
    </w:p>
    <w:p>
      <w:pPr>
        <w:numPr>
          <w:ilvl w:val="0"/>
          <w:numId w:val="1004"/>
        </w:numPr>
      </w:pPr>
      <w:r>
        <w:t xml:space="preserve">Independent per-fund simulation ignores the cross-correlation of fund alphas induced by common factor exposure. FF show that moving to joint sampling reduces Kosowski’s 99th percentile evidence from &gt;99% to approximately 82–88%.</w:t>
      </w:r>
    </w:p>
    <w:p>
      <w:pPr>
        <w:numPr>
          <w:ilvl w:val="0"/>
          <w:numId w:val="1004"/>
        </w:numPr>
      </w:pPr>
      <w:r>
        <w:t xml:space="preserve">Kosowski’s 60-month survival requirement creates substantial survivorship bias. FF’s 8-month/$5M rule replicates without this bias.</w:t>
      </w:r>
    </w:p>
    <w:p>
      <w:pPr>
        <w:pStyle w:val="FirstParagraph"/>
      </w:pPr>
      <w:r>
        <w:t xml:space="preserve">Since your implementation already follows FF’s joint-resampling design, you do not have Kosowski’s problem. Do not graft per-fund tail inference from Kosowski onto your framework. The BSW per-fund bootstrap (Enhancement B) is different: it is used only to derive more accurate p-values for the Storey estimator, not to identify individual skilled funds.</w:t>
      </w:r>
    </w:p>
    <w:bookmarkEnd w:id="26"/>
    <w:bookmarkStart w:id="27" w:name="X56c5f3ee6c943b8b88477fd73c4bb31b3dff23b"/>
    <w:p>
      <w:pPr>
        <w:pStyle w:val="Heading1"/>
      </w:pPr>
      <w:r>
        <w:rPr>
          <w:bCs/>
          <w:b/>
        </w:rPr>
        <w:t xml:space="preserve">5. Document Updates Required After Implementation</w:t>
      </w:r>
    </w:p>
    <w:p>
      <w:pPr>
        <w:pStyle w:val="FirstParagraph"/>
      </w:pPr>
      <w:r>
        <w:t xml:space="preserve">When the R scripts are updated, the following documents must be revised: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Document</w:t>
            </w:r>
          </w:p>
        </w:tc>
        <w:tc>
          <w:tcPr/>
          <w:p>
            <w:pPr>
              <w:pStyle w:val="Compact"/>
              <w:jc w:val="left"/>
            </w:pPr>
            <w:r>
              <w:rPr>
                <w:bCs/>
                <w:b/>
              </w:rPr>
              <w:t xml:space="preserve">Section to Update</w:t>
            </w:r>
          </w:p>
        </w:tc>
        <w:tc>
          <w:tcPr/>
          <w:p>
            <w:pPr>
              <w:pStyle w:val="Compact"/>
              <w:jc w:val="left"/>
            </w:pPr>
            <w:r>
              <w:rPr>
                <w:bCs/>
                <w:b/>
              </w:rPr>
              <w:t xml:space="preserve">Change</w:t>
            </w:r>
          </w:p>
        </w:tc>
      </w:tr>
      <w:tr>
        <w:tc>
          <w:tcPr/>
          <w:p>
            <w:pPr>
              <w:pStyle w:val="Compact"/>
              <w:jc w:val="left"/>
            </w:pPr>
            <w:r>
              <w:rPr>
                <w:iCs/>
                <w:i/>
              </w:rPr>
              <w:t xml:space="preserve">bootstrap_methodology.docx</w:t>
            </w:r>
          </w:p>
        </w:tc>
        <w:tc>
          <w:tcPr/>
          <w:p>
            <w:pPr>
              <w:pStyle w:val="Compact"/>
              <w:jc w:val="left"/>
            </w:pPr>
            <w:r>
              <w:t xml:space="preserve">Section 6 (pi0) and new Section 7</w:t>
            </w:r>
          </w:p>
        </w:tc>
        <w:tc>
          <w:tcPr/>
          <w:p>
            <w:pPr>
              <w:pStyle w:val="Compact"/>
              <w:jc w:val="left"/>
            </w:pPr>
            <w:r>
              <w:t xml:space="preserve">Add BSW decomposition formula derivation; add per-fund bootstrap procedure if implemented</w:t>
            </w:r>
          </w:p>
        </w:tc>
      </w:tr>
      <w:tr>
        <w:tc>
          <w:tcPr/>
          <w:p>
            <w:pPr>
              <w:pStyle w:val="Compact"/>
              <w:jc w:val="left"/>
            </w:pPr>
            <w:r>
              <w:rPr>
                <w:iCs/>
                <w:i/>
              </w:rPr>
              <w:t xml:space="preserve">alpha_estimation.R</w:t>
            </w:r>
          </w:p>
        </w:tc>
        <w:tc>
          <w:tcPr/>
          <w:p>
            <w:pPr>
              <w:pStyle w:val="Compact"/>
              <w:jc w:val="left"/>
            </w:pPr>
            <w:r>
              <w:t xml:space="preserve">pi0 block and new bsw_table block</w:t>
            </w:r>
          </w:p>
        </w:tc>
        <w:tc>
          <w:tcPr/>
          <w:p>
            <w:pPr>
              <w:pStyle w:val="Compact"/>
              <w:jc w:val="left"/>
            </w:pPr>
            <w:r>
              <w:t xml:space="preserve">Add gamma-grid decomposition; optionally add per_fund_pval() function</w:t>
            </w:r>
          </w:p>
        </w:tc>
      </w:tr>
      <w:tr>
        <w:tc>
          <w:tcPr/>
          <w:p>
            <w:pPr>
              <w:pStyle w:val="Compact"/>
              <w:jc w:val="left"/>
            </w:pPr>
            <w:r>
              <w:rPr>
                <w:iCs/>
                <w:i/>
              </w:rPr>
              <w:t xml:space="preserve">descriptive_statistics.R</w:t>
            </w:r>
          </w:p>
        </w:tc>
        <w:tc>
          <w:tcPr/>
          <w:p>
            <w:pPr>
              <w:pStyle w:val="Compact"/>
              <w:jc w:val="left"/>
            </w:pPr>
            <w:r>
              <w:t xml:space="preserve">Table 10 output block</w:t>
            </w:r>
          </w:p>
        </w:tc>
        <w:tc>
          <w:tcPr/>
          <w:p>
            <w:pPr>
              <w:pStyle w:val="Compact"/>
              <w:jc w:val="left"/>
            </w:pPr>
            <w:r>
              <w:t xml:space="preserve">Add BSW decomposition table output as tables/table10b.tex</w:t>
            </w:r>
          </w:p>
        </w:tc>
      </w:tr>
      <w:tr>
        <w:tc>
          <w:tcPr/>
          <w:p>
            <w:pPr>
              <w:pStyle w:val="Compact"/>
              <w:jc w:val="left"/>
            </w:pPr>
            <w:r>
              <w:rPr>
                <w:iCs/>
                <w:i/>
              </w:rPr>
              <w:t xml:space="preserve">research_notes_modifications_CLAUDE.docx</w:t>
            </w:r>
          </w:p>
        </w:tc>
        <w:tc>
          <w:tcPr/>
          <w:p>
            <w:pPr>
              <w:pStyle w:val="Compact"/>
              <w:jc w:val="left"/>
            </w:pPr>
            <w:r>
              <w:t xml:space="preserve">Bootstrap section</w:t>
            </w:r>
          </w:p>
        </w:tc>
        <w:tc>
          <w:tcPr/>
          <w:p>
            <w:pPr>
              <w:pStyle w:val="Compact"/>
              <w:jc w:val="left"/>
            </w:pPr>
            <w:r>
              <w:t xml:space="preserve">Log: (a) BSW gamma-grid implemented; (b) per-fund bootstrap status; (c) rolling window status</w:t>
            </w:r>
          </w:p>
        </w:tc>
      </w:tr>
    </w:tbl>
    <w:bookmarkEnd w:id="27"/>
    <w:bookmarkStart w:id="28" w:name="implementation-priority-order"/>
    <w:p>
      <w:pPr>
        <w:pStyle w:val="Heading1"/>
      </w:pPr>
      <w:r>
        <w:rPr>
          <w:bCs/>
          <w:b/>
        </w:rPr>
        <w:t xml:space="preserve">6. Implementation Priority Order</w:t>
      </w:r>
    </w:p>
    <w:p>
      <w:pPr>
        <w:pStyle w:val="FirstParagraph"/>
      </w:pPr>
      <w:r>
        <w:t xml:space="preserve">Do these in order. Each is independent of the next; stop at any point and the work already done is self-contained and publishable.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Enhancement</w:t>
            </w:r>
          </w:p>
        </w:tc>
        <w:tc>
          <w:tcPr/>
          <w:p>
            <w:pPr>
              <w:pStyle w:val="Compact"/>
              <w:jc w:val="left"/>
            </w:pPr>
            <w:r>
              <w:rPr>
                <w:bCs/>
                <w:b/>
              </w:rPr>
              <w:t xml:space="preserve">Compute Cost</w:t>
            </w:r>
          </w:p>
        </w:tc>
        <w:tc>
          <w:tcPr/>
          <w:p>
            <w:pPr>
              <w:pStyle w:val="Compact"/>
              <w:jc w:val="left"/>
            </w:pPr>
            <w:r>
              <w:rPr>
                <w:bCs/>
                <w:b/>
              </w:rPr>
              <w:t xml:space="preserve">What it adds to the dissertation</w:t>
            </w:r>
          </w:p>
        </w:tc>
      </w:tr>
      <w:tr>
        <w:tc>
          <w:tcPr/>
          <w:p>
            <w:pPr>
              <w:pStyle w:val="Compact"/>
              <w:jc w:val="left"/>
            </w:pPr>
            <w:r>
              <w:rPr>
                <w:bCs/>
                <w:b/>
              </w:rPr>
              <w:t xml:space="preserve">1</w:t>
            </w:r>
          </w:p>
        </w:tc>
        <w:tc>
          <w:tcPr/>
          <w:p>
            <w:pPr>
              <w:pStyle w:val="Compact"/>
              <w:jc w:val="left"/>
            </w:pPr>
            <w:r>
              <w:t xml:space="preserve">BSW γ-grid decomposition table</w:t>
            </w:r>
          </w:p>
        </w:tc>
        <w:tc>
          <w:tcPr/>
          <w:p>
            <w:pPr>
              <w:pStyle w:val="Compact"/>
              <w:jc w:val="left"/>
            </w:pPr>
            <w:r>
              <w:t xml:space="preserve">~0 (uses existing p-values)</w:t>
            </w:r>
          </w:p>
        </w:tc>
        <w:tc>
          <w:tcPr/>
          <w:p>
            <w:pPr>
              <w:pStyle w:val="Compact"/>
              <w:jc w:val="left"/>
            </w:pPr>
            <w:r>
              <w:t xml:space="preserve">Quantifies skilled / unskilled / lucky fund proportions. Directly answers jury question on genuine skill. Table 10b.</w:t>
            </w:r>
          </w:p>
        </w:tc>
      </w:tr>
      <w:tr>
        <w:tc>
          <w:tcPr/>
          <w:p>
            <w:pPr>
              <w:pStyle w:val="Compact"/>
              <w:jc w:val="left"/>
            </w:pPr>
            <w:r>
              <w:rPr>
                <w:bCs/>
                <w:b/>
              </w:rPr>
              <w:t xml:space="preserve">2</w:t>
            </w:r>
          </w:p>
        </w:tc>
        <w:tc>
          <w:tcPr/>
          <w:p>
            <w:pPr>
              <w:pStyle w:val="Compact"/>
              <w:jc w:val="left"/>
            </w:pPr>
            <w:r>
              <w:t xml:space="preserve">Per-fund bootstrap p-values</w:t>
            </w:r>
          </w:p>
        </w:tc>
        <w:tc>
          <w:tcPr/>
          <w:p>
            <w:pPr>
              <w:pStyle w:val="Compact"/>
              <w:jc w:val="left"/>
            </w:pPr>
            <w:r>
              <w:t xml:space="preserve">Medium (~15–30 min)</w:t>
            </w:r>
          </w:p>
        </w:tc>
        <w:tc>
          <w:tcPr/>
          <w:p>
            <w:pPr>
              <w:pStyle w:val="Compact"/>
              <w:jc w:val="left"/>
            </w:pPr>
            <w:r>
              <w:t xml:space="preserve">Replaces normal approximation p-values with empirical p-values. Improves π₀ calibration. Aligns fully with BSW procedure.</w:t>
            </w:r>
          </w:p>
        </w:tc>
      </w:tr>
      <w:tr>
        <w:tc>
          <w:tcPr/>
          <w:p>
            <w:pPr>
              <w:pStyle w:val="Compact"/>
              <w:jc w:val="left"/>
            </w:pPr>
            <w:r>
              <w:rPr>
                <w:bCs/>
                <w:b/>
              </w:rPr>
              <w:t xml:space="preserve">3</w:t>
            </w:r>
          </w:p>
        </w:tc>
        <w:tc>
          <w:tcPr/>
          <w:p>
            <w:pPr>
              <w:pStyle w:val="Compact"/>
              <w:jc w:val="left"/>
            </w:pPr>
            <w:r>
              <w:t xml:space="preserve">Rolling 5-year window π₀ and tail proportions</w:t>
            </w:r>
          </w:p>
        </w:tc>
        <w:tc>
          <w:tcPr/>
          <w:p>
            <w:pPr>
              <w:pStyle w:val="Compact"/>
              <w:jc w:val="left"/>
            </w:pPr>
            <w:r>
              <w:t xml:space="preserve">Low (~5 min)</w:t>
            </w:r>
          </w:p>
        </w:tc>
        <w:tc>
          <w:tcPr/>
          <w:p>
            <w:pPr>
              <w:pStyle w:val="Compact"/>
              <w:jc w:val="left"/>
            </w:pPr>
            <w:r>
              <w:t xml:space="preserve">Time-variation evidence. Shows declining skilled-fund proportion. Supports behavioral framing of the puzzle. Figure 4 / appendix.</w:t>
            </w:r>
          </w:p>
        </w:tc>
      </w:tr>
    </w:tbl>
    <w:bookmarkEnd w:id="28"/>
    <w:bookmarkStart w:id="29" w:name="X3c8368f994647de5a7f9e905e743e8010474bc0"/>
    <w:p>
      <w:pPr>
        <w:pStyle w:val="Heading1"/>
      </w:pPr>
      <w:r>
        <w:rPr>
          <w:bCs/>
          <w:b/>
        </w:rPr>
        <w:t xml:space="preserve">7. Key Methodological Points for the Defence</w:t>
      </w:r>
    </w:p>
    <w:p>
      <w:pPr>
        <w:pStyle w:val="FirstParagraph"/>
      </w:pPr>
      <w:r>
        <w:t xml:space="preserve">The following points should be prepared as responses to likely jury questions:</w:t>
      </w:r>
    </w:p>
    <w:p>
      <w:pPr>
        <w:numPr>
          <w:ilvl w:val="0"/>
          <w:numId w:val="1005"/>
        </w:numPr>
      </w:pPr>
      <w:r>
        <w:rPr>
          <w:bCs/>
          <w:b/>
        </w:rPr>
        <w:t xml:space="preserve">On the FF vs. BSW distinction:</w:t>
      </w:r>
      <w:r>
        <w:rPr>
          <w:bCs/>
          <w:b/>
        </w:rPr>
        <w:t xml:space="preserve"> </w:t>
      </w:r>
      <w:r>
        <w:t xml:space="preserve">FF tests whether the cross-section as a whole is consistent with zero skill. BSW asks what fraction of individual funds have genuine skill. These are complementary, not competing questions. Both are needed.</w:t>
      </w:r>
    </w:p>
    <w:p>
      <w:pPr>
        <w:numPr>
          <w:ilvl w:val="0"/>
          <w:numId w:val="1005"/>
        </w:numPr>
      </w:pPr>
      <w:r>
        <w:rPr>
          <w:bCs/>
          <w:b/>
        </w:rPr>
        <w:t xml:space="preserve">On pi_0 = 79.9%:</w:t>
      </w:r>
      <w:r>
        <w:rPr>
          <w:bCs/>
          <w:b/>
        </w:rPr>
        <w:t xml:space="preserve"> </w:t>
      </w:r>
      <w:r>
        <w:t xml:space="preserve">The Storey estimator is conservative by design — it overestimates π₀ when truly skilled funds exist, because their p-values contaminate the high-p region. The true π₀ is therefore at most 79.9%, and the true skilled/unskilled fractions are at least as large as reported.</w:t>
      </w:r>
    </w:p>
    <w:p>
      <w:pPr>
        <w:numPr>
          <w:ilvl w:val="0"/>
          <w:numId w:val="1005"/>
        </w:numPr>
      </w:pPr>
      <w:r>
        <w:rPr>
          <w:bCs/>
          <w:b/>
        </w:rPr>
        <w:t xml:space="preserve">On why not Kosowski:</w:t>
      </w:r>
      <w:r>
        <w:rPr>
          <w:bCs/>
          <w:b/>
        </w:rPr>
        <w:t xml:space="preserve"> </w:t>
      </w:r>
      <w:r>
        <w:t xml:space="preserve">FF Section V demonstrates that Kosowski et al.’s stronger results are attributable to independent simulation (ignoring cross-fund correlation) and a 60-month survival rule. Both biases inflate apparent right-tail performance. Our joint-resampling approach is the methodologically correct standard.</w:t>
      </w:r>
    </w:p>
    <w:p>
      <w:pPr>
        <w:numPr>
          <w:ilvl w:val="0"/>
          <w:numId w:val="1005"/>
        </w:numPr>
      </w:pPr>
      <w:r>
        <w:rPr>
          <w:bCs/>
          <w:b/>
        </w:rPr>
        <w:t xml:space="preserve">On the normal approximation for p-values:</w:t>
      </w:r>
      <w:r>
        <w:rPr>
          <w:bCs/>
          <w:b/>
        </w:rPr>
        <w:t xml:space="preserve"> </w:t>
      </w:r>
      <w:r>
        <w:t xml:space="preserve">Acknowledged limitation. Enhancement B addresses this. The conservative direction of the Storey estimator means that even with approximate p-values, the findings on skilled fund proportions are not overstated.</w:t>
      </w:r>
    </w:p>
    <w:p>
      <w:pPr>
        <w:numPr>
          <w:ilvl w:val="0"/>
          <w:numId w:val="1005"/>
        </w:numPr>
      </w:pPr>
      <w:r>
        <w:rPr>
          <w:bCs/>
          <w:b/>
        </w:rPr>
        <w:t xml:space="preserve">On the gross vs. net return distinction:</w:t>
      </w:r>
      <w:r>
        <w:rPr>
          <w:bCs/>
          <w:b/>
        </w:rPr>
        <w:t xml:space="preserve"> </w:t>
      </w:r>
      <w:r>
        <w:t xml:space="preserve">The bootstrap operates on gross returns. The distinction between gross and net alpha is handled at the reporting stage (Table 7). Following the FF convention, the bootstrap null — that every manager has just enough skill to cover costs — is operationalised through the gross return setting, where subtracting alpha sets the implied cost-covering skill to zero.</w:t>
      </w:r>
    </w:p>
    <w:bookmarkEnd w:id="29"/>
    <w:bookmarkStart w:id="30" w:name="references"/>
    <w:p>
      <w:pPr>
        <w:pStyle w:val="Heading1"/>
      </w:pPr>
      <w:r>
        <w:rPr>
          <w:bCs/>
          <w:b/>
        </w:rPr>
        <w:t xml:space="preserve">References</w:t>
      </w:r>
    </w:p>
    <w:p>
      <w:pPr>
        <w:pStyle w:val="FirstParagraph"/>
      </w:pPr>
      <w:r>
        <w:rPr>
          <w:iCs/>
          <w:i/>
        </w:rPr>
        <w:t xml:space="preserve">Barras, L., Scaillet, O., and Wermers, R.</w:t>
      </w:r>
      <w:r>
        <w:t xml:space="preserve"> </w:t>
      </w:r>
      <w:r>
        <w:t xml:space="preserve">(2010). False discoveries in mutual fund performance: Measuring luck in estimated alphas.</w:t>
      </w:r>
      <w:r>
        <w:t xml:space="preserve"> </w:t>
      </w:r>
      <w:r>
        <w:rPr>
          <w:iCs/>
          <w:i/>
        </w:rPr>
        <w:t xml:space="preserve">Journal of Finance</w:t>
      </w:r>
      <w:r>
        <w:t xml:space="preserve">, 65(1), 179–216.</w:t>
      </w:r>
    </w:p>
    <w:p>
      <w:pPr>
        <w:pStyle w:val="BodyText"/>
      </w:pPr>
      <w:r>
        <w:rPr>
          <w:iCs/>
          <w:i/>
        </w:rPr>
        <w:t xml:space="preserve">Fama, E. F., and French, K. R.</w:t>
      </w:r>
      <w:r>
        <w:t xml:space="preserve"> </w:t>
      </w:r>
      <w:r>
        <w:t xml:space="preserve">(2010). Luck versus skill in the cross-section of mutual fund returns.</w:t>
      </w:r>
      <w:r>
        <w:t xml:space="preserve"> </w:t>
      </w:r>
      <w:r>
        <w:rPr>
          <w:iCs/>
          <w:i/>
        </w:rPr>
        <w:t xml:space="preserve">Journal of Finance</w:t>
      </w:r>
      <w:r>
        <w:t xml:space="preserve">, 65(5), 1915–1947.</w:t>
      </w:r>
    </w:p>
    <w:p>
      <w:pPr>
        <w:pStyle w:val="BodyText"/>
      </w:pPr>
      <w:r>
        <w:rPr>
          <w:iCs/>
          <w:i/>
        </w:rPr>
        <w:t xml:space="preserve">Kosowski, R., Timmermann, A., Wermers, R., and White, H.</w:t>
      </w:r>
      <w:r>
        <w:t xml:space="preserve"> </w:t>
      </w:r>
      <w:r>
        <w:t xml:space="preserve">(2006). Can mutual fund</w:t>
      </w:r>
      <w:r>
        <w:t xml:space="preserve"> </w:t>
      </w:r>
      <w:r>
        <w:t xml:space="preserve">‘</w:t>
      </w:r>
      <w:r>
        <w:t xml:space="preserve">stars</w:t>
      </w:r>
      <w:r>
        <w:t xml:space="preserve">’</w:t>
      </w:r>
      <w:r>
        <w:t xml:space="preserve"> </w:t>
      </w:r>
      <w:r>
        <w:t xml:space="preserve">really pick stocks? New evidence from a bootstrap analysis.</w:t>
      </w:r>
      <w:r>
        <w:t xml:space="preserve"> </w:t>
      </w:r>
      <w:r>
        <w:rPr>
          <w:iCs/>
          <w:i/>
        </w:rPr>
        <w:t xml:space="preserve">Journal of Finance</w:t>
      </w:r>
      <w:r>
        <w:t xml:space="preserve">, 61(6), 2551–2595.</w:t>
      </w:r>
    </w:p>
    <w:p>
      <w:pPr>
        <w:pStyle w:val="BodyText"/>
      </w:pPr>
      <w:r>
        <w:rPr>
          <w:iCs/>
          <w:i/>
        </w:rPr>
        <w:t xml:space="preserve">Storey, J. D.</w:t>
      </w:r>
      <w:r>
        <w:t xml:space="preserve"> </w:t>
      </w:r>
      <w:r>
        <w:t xml:space="preserve">(2002). A direct approach to false discovery rates.</w:t>
      </w:r>
      <w:r>
        <w:t xml:space="preserve"> </w:t>
      </w:r>
      <w:r>
        <w:rPr>
          <w:iCs/>
          <w:i/>
        </w:rPr>
        <w:t xml:space="preserve">Journal of the Royal Statistical Society: Series B</w:t>
      </w:r>
      <w:r>
        <w:t xml:space="preserve">, 64(3), 479–498.</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2026-04-18T16:47:47Z</dcterms:created>
  <dcterms:modified xsi:type="dcterms:W3CDTF">2026-04-18T16:47:47Z</dcterms:modified>
</cp:coreProperties>
</file>

<file path=docProps/custom.xml><?xml version="1.0" encoding="utf-8"?>
<Properties xmlns="http://schemas.openxmlformats.org/officeDocument/2006/custom-properties" xmlns:vt="http://schemas.openxmlformats.org/officeDocument/2006/docPropsVTypes"/>
</file>