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Bootstrap Methodology</w:t>
      </w:r>
    </w:p>
    <w:p>
      <w:pPr>
        <w:pStyle w:val="BodyText"/>
      </w:pPr>
      <w:r>
        <w:rPr>
          <w:iCs/>
          <w:i/>
        </w:rPr>
        <w:t xml:space="preserve">Distinguishing Skill from Luck in Active Fund Performance</w:t>
      </w:r>
    </w:p>
    <w:p>
      <w:pPr>
        <w:pStyle w:val="BodyText"/>
      </w:pPr>
      <w:r>
        <w:t xml:space="preserve">The Active Management Puzzle — PhD Dissertation, Boğaziçi University</w:t>
      </w:r>
    </w:p>
    <w:p>
      <w:pPr>
        <w:pStyle w:val="BodyText"/>
      </w:pPr>
      <w:r>
        <w:t xml:space="preserve">Department of Management | Supervisor: Prof. Vedat Akgiray</w:t>
      </w:r>
    </w:p>
    <w:bookmarkStart w:id="20" w:name="purpose-and-theoretical-motivation"/>
    <w:p>
      <w:pPr>
        <w:pStyle w:val="Heading1"/>
      </w:pPr>
      <w:r>
        <w:rPr>
          <w:bCs/>
          <w:b/>
        </w:rPr>
        <w:t xml:space="preserve">1. Purpose and Theoretical Motivation</w:t>
      </w:r>
    </w:p>
    <w:p>
      <w:pPr>
        <w:pStyle w:val="FirstParagraph"/>
      </w:pPr>
      <w:r>
        <w:t xml:space="preserve">The central question addressed by the bootstrap analysis is whether the observed cross-sectional dispersion of fund alpha</w:t>
      </w:r>
      <w:r>
        <w:t xml:space="preserve"> </w:t>
      </w:r>
      <w:r>
        <w:rPr>
          <w:iCs/>
          <w:i/>
        </w:rPr>
        <w:t xml:space="preserve">t</w:t>
      </w:r>
      <w:r>
        <w:t xml:space="preserve">-statistics is attributable to genuine managerial skill or whether it is consistent with what one would expect to observe purely by chance, even if no fund possessed true alpha. Ordinary statistical tests applied fund-by-fund suffer from two well-documented problems: (i) multiple comparisons inflation — with nearly 1,900 funds tested simultaneously, a non-trivial number will appear significant at conventional thresholds by chance alone; and (ii) non-normality of fund return residuals, which invalidates the distributional assumptions underlying standard</w:t>
      </w:r>
      <w:r>
        <w:t xml:space="preserve"> </w:t>
      </w:r>
      <w:r>
        <w:rPr>
          <w:iCs/>
          <w:i/>
        </w:rPr>
        <w:t xml:space="preserve">t</w:t>
      </w:r>
      <w:r>
        <w:t xml:space="preserve">-tests.</w:t>
      </w:r>
    </w:p>
    <w:p>
      <w:pPr>
        <w:pStyle w:val="BodyText"/>
      </w:pPr>
      <w:r>
        <w:t xml:space="preserve">The bootstrap framework introduced by</w:t>
      </w:r>
      <w:r>
        <w:t xml:space="preserve"> </w:t>
      </w:r>
      <w:r>
        <w:rPr>
          <w:iCs/>
          <w:i/>
        </w:rPr>
        <w:t xml:space="preserve">Fama and French (2010, Journal of Finance)</w:t>
      </w:r>
      <w:r>
        <w:t xml:space="preserve"> </w:t>
      </w:r>
      <w:r>
        <w:t xml:space="preserve">addresses both problems jointly. By constructing an empirical null distribution from the data itself — rather than imposing parametric assumptions — the procedure yields a valid comparison between the actual dispersion of alpha estimates and what the same dispersion would look like if every fund had zero true alpha. The excess of the actual distribution over the simulated null, particularly in the tails, constitutes evidence of genuine skill or systematic underperformance.</w:t>
      </w:r>
    </w:p>
    <w:p>
      <w:pPr>
        <w:pStyle w:val="BodyText"/>
      </w:pPr>
      <w:r>
        <w:t xml:space="preserve">A complementary statistic, the proportion of true zero-alpha funds</w:t>
      </w:r>
      <w:r>
        <w:t xml:space="preserve"> </w:t>
      </w:r>
      <w:r>
        <w:rPr>
          <w:bCs/>
          <w:b/>
        </w:rPr>
        <w:t xml:space="preserve">π₀</w:t>
      </w:r>
      <w:r>
        <w:t xml:space="preserve">, is estimated using the false discovery rate framework of</w:t>
      </w:r>
      <w:r>
        <w:t xml:space="preserve"> </w:t>
      </w:r>
      <w:r>
        <w:rPr>
          <w:iCs/>
          <w:i/>
        </w:rPr>
        <w:t xml:space="preserve">Storey (2002)</w:t>
      </w:r>
      <w:r>
        <w:t xml:space="preserve"> </w:t>
      </w:r>
      <w:r>
        <w:t xml:space="preserve">and applied to mutual fund performance by</w:t>
      </w:r>
      <w:r>
        <w:t xml:space="preserve"> </w:t>
      </w:r>
      <w:r>
        <w:rPr>
          <w:iCs/>
          <w:i/>
        </w:rPr>
        <w:t xml:space="preserve">Barras, Scaillet and Wermers (2010, Journal of Finance)</w:t>
      </w:r>
      <w:r>
        <w:t xml:space="preserve">. Together, these two components — the bootstrap tail comparison and the π₀ estimate — underpin Tables 9 and 10 of the dissertation. A third component, the</w:t>
      </w:r>
      <w:r>
        <w:t xml:space="preserve"> </w:t>
      </w:r>
      <w:r>
        <w:rPr>
          <w:bCs/>
          <w:b/>
        </w:rPr>
        <w:t xml:space="preserve">BSW four-way decomposition</w:t>
      </w:r>
      <w:r>
        <w:t xml:space="preserve"> </w:t>
      </w:r>
      <w:r>
        <w:t xml:space="preserve">(Table 10b), uses the π₀ estimate to separate the observed fractions of significantly performing funds into genuinely skilled, genuinely unskilled, and false-discovery components across a grid of significance levels.</w:t>
      </w:r>
    </w:p>
    <w:bookmarkEnd w:id="20"/>
    <w:bookmarkStart w:id="24" w:name="sample-and-data-inputs"/>
    <w:p>
      <w:pPr>
        <w:pStyle w:val="Heading1"/>
      </w:pPr>
      <w:r>
        <w:rPr>
          <w:bCs/>
          <w:b/>
        </w:rPr>
        <w:t xml:space="preserve">2. Sample and Data Inputs</w:t>
      </w:r>
    </w:p>
    <w:bookmarkStart w:id="21" w:name="fund-universe"/>
    <w:p>
      <w:pPr>
        <w:pStyle w:val="Heading2"/>
      </w:pPr>
      <w:r>
        <w:rPr>
          <w:bCs/>
          <w:b/>
        </w:rPr>
        <w:t xml:space="preserve">2.1 Fund Universe</w:t>
      </w:r>
    </w:p>
    <w:p>
      <w:pPr>
        <w:pStyle w:val="FirstParagraph"/>
      </w:pPr>
      <w:r>
        <w:t xml:space="preserve">The bootstrap is applied exclusively to</w:t>
      </w:r>
      <w:r>
        <w:t xml:space="preserve"> </w:t>
      </w:r>
      <w:r>
        <w:rPr>
          <w:bCs/>
          <w:b/>
        </w:rPr>
        <w:t xml:space="preserve">actively managed funds</w:t>
      </w:r>
      <w:r>
        <w:t xml:space="preserve"> </w:t>
      </w:r>
      <w:r>
        <w:t xml:space="preserve">in the</w:t>
      </w:r>
      <w:r>
        <w:t xml:space="preserve"> </w:t>
      </w:r>
      <w:r>
        <w:rPr>
          <w:bCs/>
          <w:b/>
        </w:rPr>
        <w:t xml:space="preserve">Trimmed (1995–2023) Evans-corrected panel</w:t>
      </w:r>
      <w:r>
        <w:t xml:space="preserve">. Passive and Unknown-classified funds are excluded. The restriction to active funds is motivated by the research question: the puzzle concerns investor persistence in allocating capital to active management despite documented underperformance. Testing passive funds under the same null would conflate the question of skill (which active funds claim) with pure tracking behaviour (which passive funds are designed to exhibit.</w:t>
      </w:r>
    </w:p>
    <w:p>
      <w:pPr>
        <w:pStyle w:val="BodyText"/>
      </w:pPr>
      <w:r>
        <w:t xml:space="preserve">The Evans (2010) correction removes the first 36 months of each fund’s return history. This eliminates incubation bias — the documented tendency of fund sponsors to seed multiple funds, retain only survivors for public launch, and report the full pre-launch history. Inclusion of incubation-period returns would upward-bias both individual alpha estimates and the cross-sectional distribution, potentially producing spurious evidence of right-tail skill.</w:t>
      </w:r>
    </w:p>
    <w:p>
      <w:pPr>
        <w:pStyle w:val="BodyText"/>
      </w:pPr>
      <w:r>
        <w:t xml:space="preserve">A minimum of</w:t>
      </w:r>
      <w:r>
        <w:t xml:space="preserve"> </w:t>
      </w:r>
      <w:r>
        <w:rPr>
          <w:bCs/>
          <w:b/>
        </w:rPr>
        <w:t xml:space="preserve">24 monthly return observations</w:t>
      </w:r>
      <w:r>
        <w:t xml:space="preserve"> </w:t>
      </w:r>
      <w:r>
        <w:t xml:space="preserve">per fund is required for inclusion in the full-period regressions that produce the</w:t>
      </w:r>
      <w:r>
        <w:t xml:space="preserve"> </w:t>
      </w:r>
      <w:r>
        <w:rPr>
          <w:iCs/>
          <w:i/>
        </w:rPr>
        <w:t xml:space="preserve">t</w:t>
      </w:r>
      <w:r>
        <w:t xml:space="preserve">-statistics used in the bootstrap. Funds with fewer observations are excluded from both Table 9 and Table 10. The effective active fund count entering the analysis is</w:t>
      </w:r>
      <w:r>
        <w:t xml:space="preserve"> </w:t>
      </w:r>
      <w:r>
        <w:rPr>
          <w:bCs/>
          <w:b/>
        </w:rPr>
        <w:t xml:space="preserve">N = 1,899</w:t>
      </w:r>
      <w:r>
        <w:t xml:space="preserve">.</w:t>
      </w:r>
    </w:p>
    <w:bookmarkEnd w:id="21"/>
    <w:bookmarkStart w:id="22" w:name="return-inputs"/>
    <w:p>
      <w:pPr>
        <w:pStyle w:val="Heading2"/>
      </w:pPr>
      <w:r>
        <w:rPr>
          <w:bCs/>
          <w:b/>
        </w:rPr>
        <w:t xml:space="preserve">2.2 Return Inputs</w:t>
      </w:r>
    </w:p>
    <w:p>
      <w:pPr>
        <w:pStyle w:val="FirstParagraph"/>
      </w:pPr>
      <w:r>
        <w:t xml:space="preserve">Monthly excess returns — computed as fund gross return minus the one-month US Treasury bill rate (RF from the Ken French data library) — serve as the dependent variable in all regressions. Net returns are not used for alpha estimation because net returns in the present dataset are approximated by deducting one-twelfth of the static annual expense ratio from gross returns (following</w:t>
      </w:r>
      <w:r>
        <w:t xml:space="preserve"> </w:t>
      </w:r>
      <w:r>
        <w:rPr>
          <w:iCs/>
          <w:i/>
        </w:rPr>
        <w:t xml:space="preserve">Barras, Scaillet and Wermers, 2010</w:t>
      </w:r>
      <w:r>
        <w:t xml:space="preserve">), introducing measurement error that would contaminate the regression residuals. Gross returns are used consistently; the distinction between gross and net alpha is handled at the reporting stage.</w:t>
      </w:r>
    </w:p>
    <w:bookmarkEnd w:id="22"/>
    <w:bookmarkStart w:id="23" w:name="factor-model"/>
    <w:p>
      <w:pPr>
        <w:pStyle w:val="Heading2"/>
      </w:pPr>
      <w:r>
        <w:rPr>
          <w:bCs/>
          <w:b/>
        </w:rPr>
        <w:t xml:space="preserve">2.3 Factor Model</w:t>
      </w:r>
    </w:p>
    <w:p>
      <w:pPr>
        <w:pStyle w:val="FirstParagraph"/>
      </w:pPr>
      <w:r>
        <w:t xml:space="preserve">Alpha is estimated using the</w:t>
      </w:r>
      <w:r>
        <w:t xml:space="preserve"> </w:t>
      </w:r>
      <w:r>
        <w:rPr>
          <w:bCs/>
          <w:b/>
        </w:rPr>
        <w:t xml:space="preserve">Carhart (1997) four-factor model</w:t>
      </w:r>
      <w:r>
        <w:t xml:space="preserve">:</w:t>
      </w:r>
    </w:p>
    <w:p>
      <w:pPr>
        <w:pStyle w:val="BodyText"/>
      </w:pPr>
      <w:r>
        <w:t xml:space="preserve">Rᵢ,t − RFt = αᵢ + β₁,ᵢ · MKT_RFt + β₂,ᵢ · SMBt + β₃,ᵢ · HMLt + β₄,ᵢ · MOMt + εᵢ,t</w:t>
      </w:r>
    </w:p>
    <w:p>
      <w:pPr>
        <w:pStyle w:val="BodyText"/>
      </w:pPr>
      <w:r>
        <w:t xml:space="preserve">Factor data are sourced from Kenneth French’s data library. MKT_RF is the market excess return, SMB is the small-minus-big size factor, HML is the high-minus-low value factor, and MOM is the momentum factor. All factors are in monthly decimal form and matched to each fund-month observation by calendar date.</w:t>
      </w:r>
    </w:p>
    <w:bookmarkEnd w:id="23"/>
    <w:bookmarkEnd w:id="24"/>
    <w:bookmarkStart w:id="27" w:name="full-period-alpha-estimation"/>
    <w:p>
      <w:pPr>
        <w:pStyle w:val="Heading1"/>
      </w:pPr>
      <w:r>
        <w:rPr>
          <w:bCs/>
          <w:b/>
        </w:rPr>
        <w:t xml:space="preserve">3. Full-Period Alpha Estimation</w:t>
      </w:r>
    </w:p>
    <w:bookmarkStart w:id="25" w:name="ols-regression"/>
    <w:p>
      <w:pPr>
        <w:pStyle w:val="Heading2"/>
      </w:pPr>
      <w:r>
        <w:rPr>
          <w:bCs/>
          <w:b/>
        </w:rPr>
        <w:t xml:space="preserve">3.1 OLS Regression</w:t>
      </w:r>
    </w:p>
    <w:p>
      <w:pPr>
        <w:pStyle w:val="FirstParagraph"/>
      </w:pPr>
      <w:r>
        <w:t xml:space="preserve">For each fund with at least 24 monthly observations, a single OLS regression is estimated over the fund’s complete available history within the Trimmed panel (January 1995 through December 2023, subject to the Evans age filter). The OLS estimator minimises the sum of squared residuals in the time dimension for each fund independently. There is no pooling across funds at this stage.</w:t>
      </w:r>
    </w:p>
    <w:p>
      <w:pPr>
        <w:pStyle w:val="BodyText"/>
      </w:pPr>
      <w:r>
        <w:t xml:space="preserve">The regression is implemented via the normal equations using efficient matrix operations:</w:t>
      </w:r>
    </w:p>
    <w:p>
      <w:pPr>
        <w:pStyle w:val="BodyText"/>
      </w:pPr>
      <w:r>
        <w:t xml:space="preserve">β̂ = (X′X)⁻¹ X′y</w:t>
      </w:r>
    </w:p>
    <w:p>
      <w:pPr>
        <w:pStyle w:val="BodyText"/>
      </w:pPr>
      <w:r>
        <w:t xml:space="preserve">where X = [1 | MKT_RF | SMB | HML | MOM]</w:t>
      </w:r>
    </w:p>
    <w:p>
      <w:pPr>
        <w:pStyle w:val="BodyText"/>
      </w:pPr>
      <w:r>
        <w:t xml:space="preserve">The intercept term α̂ᵢ captures the average monthly risk-adjusted excess return not explained by the four factors. It is subsequently annualised by multiplication by 12.</w:t>
      </w:r>
    </w:p>
    <w:bookmarkEnd w:id="25"/>
    <w:bookmarkStart w:id="26" w:name="newey-west-standard-errors"/>
    <w:p>
      <w:pPr>
        <w:pStyle w:val="Heading2"/>
      </w:pPr>
      <w:r>
        <w:rPr>
          <w:bCs/>
          <w:b/>
        </w:rPr>
        <w:t xml:space="preserve">3.2 Newey-West Standard Errors</w:t>
      </w:r>
    </w:p>
    <w:p>
      <w:pPr>
        <w:pStyle w:val="FirstParagraph"/>
      </w:pPr>
      <w:r>
        <w:rPr>
          <w:iCs/>
          <w:i/>
        </w:rPr>
        <w:t xml:space="preserve">Newey-West (1987)</w:t>
      </w:r>
      <w:r>
        <w:t xml:space="preserve"> </w:t>
      </w:r>
      <w:r>
        <w:t xml:space="preserve">heteroskedasticity- and autocorrelation-consistent (HAC) standard errors are computed with a lag truncation of</w:t>
      </w:r>
      <w:r>
        <w:t xml:space="preserve"> </w:t>
      </w:r>
      <w:r>
        <w:rPr>
          <w:bCs/>
          <w:b/>
        </w:rPr>
        <w:t xml:space="preserve">6 months</w:t>
      </w:r>
      <w:r>
        <w:t xml:space="preserve">. The Newey-West variance estimator is:</w:t>
      </w:r>
    </w:p>
    <w:p>
      <w:pPr>
        <w:pStyle w:val="BodyText"/>
      </w:pPr>
      <w:r>
        <w:t xml:space="preserve">V̂NW = T · (X′X)⁻¹ · Ŝ · (X′X)⁻¹</w:t>
      </w:r>
    </w:p>
    <w:p>
      <w:pPr>
        <w:pStyle w:val="BodyText"/>
      </w:pPr>
      <w:r>
        <w:t xml:space="preserve">where Ŝ is the Bartlett-kernel weighted sum of cross-products of score vectors, and T is the number of time-series observations for fund i. The resulting</w:t>
      </w:r>
      <w:r>
        <w:t xml:space="preserve"> </w:t>
      </w:r>
      <w:r>
        <w:rPr>
          <w:iCs/>
          <w:i/>
        </w:rPr>
        <w:t xml:space="preserve">t</w:t>
      </w:r>
      <w:r>
        <w:t xml:space="preserve">-statistic for the alpha estimate is t(α̂ᵢ) = α̂ᵢ / SEᴺNW,ᵢ.</w:t>
      </w:r>
    </w:p>
    <w:p>
      <w:pPr>
        <w:pStyle w:val="BodyText"/>
      </w:pPr>
      <w:r>
        <w:t xml:space="preserve">These</w:t>
      </w:r>
      <w:r>
        <w:t xml:space="preserve"> </w:t>
      </w:r>
      <w:r>
        <w:rPr>
          <w:iCs/>
          <w:i/>
        </w:rPr>
        <w:t xml:space="preserve">t</w:t>
      </w:r>
      <w:r>
        <w:t xml:space="preserve">-statistics form the empirical distribution plotted in Figure 3 and tabulated in Table 9 of the dissertation.</w:t>
      </w:r>
    </w:p>
    <w:bookmarkEnd w:id="26"/>
    <w:bookmarkEnd w:id="27"/>
    <w:bookmarkStart w:id="31" w:name="bootstrap-null-distribution-construction"/>
    <w:p>
      <w:pPr>
        <w:pStyle w:val="Heading1"/>
      </w:pPr>
      <w:r>
        <w:rPr>
          <w:bCs/>
          <w:b/>
        </w:rPr>
        <w:t xml:space="preserve">4. Bootstrap Null Distribution Construction</w:t>
      </w:r>
    </w:p>
    <w:bookmarkStart w:id="28" w:name="conceptual-framework"/>
    <w:p>
      <w:pPr>
        <w:pStyle w:val="Heading2"/>
      </w:pPr>
      <w:r>
        <w:rPr>
          <w:bCs/>
          <w:b/>
        </w:rPr>
        <w:t xml:space="preserve">4.1 Conceptual Framework</w:t>
      </w:r>
    </w:p>
    <w:p>
      <w:pPr>
        <w:pStyle w:val="FirstParagraph"/>
      </w:pPr>
      <w:r>
        <w:t xml:space="preserve">The bootstrap null hypothesis is that every active fund has true alpha equal to zero: H₀: αᵢ = 0 for all i. Under this null, the observed alpha estimate for each fund is entirely attributable to sampling variation in factor returns and idiosyncratic noise — there is no persistent skill component.</w:t>
      </w:r>
    </w:p>
    <w:p>
      <w:pPr>
        <w:pStyle w:val="BodyText"/>
      </w:pPr>
      <w:r>
        <w:t xml:space="preserve">The key insight of the</w:t>
      </w:r>
      <w:r>
        <w:t xml:space="preserve"> </w:t>
      </w:r>
      <w:r>
        <w:rPr>
          <w:iCs/>
          <w:i/>
        </w:rPr>
        <w:t xml:space="preserve">Fama and French (2010)</w:t>
      </w:r>
      <w:r>
        <w:t xml:space="preserve"> </w:t>
      </w:r>
      <w:r>
        <w:t xml:space="preserve">approach is that this null can be imposed empirically without parametric distributional assumptions. For each fund, the estimated alpha is subtracted from its excess return series, producing a</w:t>
      </w:r>
      <w:r>
        <w:t xml:space="preserve"> </w:t>
      </w:r>
      <w:r>
        <w:rPr>
          <w:bCs/>
          <w:b/>
        </w:rPr>
        <w:t xml:space="preserve">demeaned (zero-alpha) return</w:t>
      </w:r>
      <w:r>
        <w:t xml:space="preserve">. The cross-sectional dependence structure of factor returns — which induces correlation across funds — is preserved by resampling calendar months rather than individual fund-month observations.</w:t>
      </w:r>
    </w:p>
    <w:bookmarkEnd w:id="28"/>
    <w:bookmarkStart w:id="29" w:name="step-by-step-procedure"/>
    <w:p>
      <w:pPr>
        <w:pStyle w:val="Heading2"/>
      </w:pPr>
      <w:r>
        <w:rPr>
          <w:bCs/>
          <w:b/>
        </w:rPr>
        <w:t xml:space="preserve">4.2 Step-by-Step Procedure</w:t>
      </w:r>
    </w:p>
    <w:p>
      <w:pPr>
        <w:numPr>
          <w:ilvl w:val="0"/>
          <w:numId w:val="1001"/>
        </w:numPr>
        <w:pStyle w:val="Compact"/>
      </w:pPr>
      <w:r>
        <w:rPr>
          <w:bCs/>
          <w:b/>
        </w:rPr>
        <w:t xml:space="preserve">Step 1 — Alpha demeaning.</w:t>
      </w:r>
      <w:r>
        <w:t xml:space="preserve"> </w:t>
      </w:r>
      <w:r>
        <w:t xml:space="preserve">For each active fund i, compute the zero-alpha residual series:</w:t>
      </w:r>
    </w:p>
    <w:p>
      <w:pPr>
        <w:pStyle w:val="FirstParagraph"/>
      </w:pPr>
      <w:r>
        <w:t xml:space="preserve">ỹᵢ,t = (Rᵢ,t − RFt) − α̂ᵢ</w:t>
      </w:r>
    </w:p>
    <w:p>
      <w:pPr>
        <w:pStyle w:val="BodyText"/>
      </w:pPr>
      <w:r>
        <w:t xml:space="preserve">This strips the point estimate of alpha from each fund’s return history. The resulting ỹᵢ,t series has, by construction, a zero intercept in a regression on the four factors.</w:t>
      </w:r>
    </w:p>
    <w:p>
      <w:pPr>
        <w:numPr>
          <w:ilvl w:val="0"/>
          <w:numId w:val="1002"/>
        </w:numPr>
      </w:pPr>
      <w:r>
        <w:rPr>
          <w:bCs/>
          <w:b/>
        </w:rPr>
        <w:t xml:space="preserve">Step 2 — Calendar month index mapping.</w:t>
      </w:r>
      <w:r>
        <w:t xml:space="preserve"> </w:t>
      </w:r>
      <w:r>
        <w:t xml:space="preserve">A global vector of T = 348 unique calendar months (January 1995 through December 2023, excluding December observations for consistency with the flow analysis) is constructed. Each fund’s observations are mapped to their position in this global index. This mapping is the mechanism by which cross-sectional dependence is preserved: when a month is drawn in the bootstrap, all funds that were alive in that month are simultaneously drawn.</w:t>
      </w:r>
    </w:p>
    <w:p>
      <w:pPr>
        <w:numPr>
          <w:ilvl w:val="0"/>
          <w:numId w:val="1002"/>
        </w:numPr>
      </w:pPr>
      <w:r>
        <w:rPr>
          <w:bCs/>
          <w:b/>
        </w:rPr>
        <w:t xml:space="preserve">Step 3 — Bootstrap resampling.</w:t>
      </w:r>
      <w:r>
        <w:t xml:space="preserve"> </w:t>
      </w:r>
      <w:r>
        <w:t xml:space="preserve">In each of B = 10,000 iterations, T months are drawn with replacement from the global index (simple random sample of integers from 1 to T). For each fund, only its own observed months within the drawn sample are retained. The effective sample size for fund i in a given bootstrap iteration therefore varies depending on how many of its own active months happen to be drawn.</w:t>
      </w:r>
    </w:p>
    <w:p>
      <w:pPr>
        <w:numPr>
          <w:ilvl w:val="0"/>
          <w:numId w:val="1002"/>
        </w:numPr>
      </w:pPr>
      <w:r>
        <w:rPr>
          <w:bCs/>
          <w:b/>
        </w:rPr>
        <w:t xml:space="preserve">Step 4 — Simulated alpha estimation.</w:t>
      </w:r>
      <w:r>
        <w:t xml:space="preserve"> </w:t>
      </w:r>
      <w:r>
        <w:t xml:space="preserve">For each fund in each bootstrap iteration, the four-factor model is re-estimated on the resampled zero-alpha returns. Funds with fewer than 8 observations in a given draw are excluded from that iteration’s cross-section (controlled by MIN_OBS_BS = 8). The intercept from this regression is divided by its</w:t>
      </w:r>
      <w:r>
        <w:t xml:space="preserve"> </w:t>
      </w:r>
      <w:r>
        <w:rPr>
          <w:bCs/>
          <w:b/>
        </w:rPr>
        <w:t xml:space="preserve">Newey-West HAC standard error</w:t>
      </w:r>
      <w:r>
        <w:t xml:space="preserve">, using the same 6-month lag truncation applied to the actual full-period regressions in Section 3.2, to yield a simulated</w:t>
      </w:r>
      <w:r>
        <w:t xml:space="preserve"> </w:t>
      </w:r>
      <w:r>
        <w:rPr>
          <w:iCs/>
          <w:i/>
        </w:rPr>
        <w:t xml:space="preserve">t</w:t>
      </w:r>
      <w:r>
        <w:t xml:space="preserve">-statistic ẗ(α̂ᵢ) under the null of zero true alpha. This preserves symmetry between the actual and simulated distributions: both sets of</w:t>
      </w:r>
      <w:r>
        <w:t xml:space="preserve"> </w:t>
      </w:r>
      <w:r>
        <w:rPr>
          <w:iCs/>
          <w:i/>
        </w:rPr>
        <w:t xml:space="preserve">t</w:t>
      </w:r>
      <w:r>
        <w:t xml:space="preserve">-statistics are constructed under identical SE assumptions, so the comparison reported in Table 9 and Figure 3 is strictly apples-to-apples. Although Fama and French (2010) used OLS standard errors in their original implementation, they used OLS in both the actual and bootstrap distributions, achieving the same symmetry. Using NW in both — as this study does — is the stricter choice, motivated by the documented serial correlation in monthly mutual fund residuals and the desire for HAC validity at the individual fund level.</w:t>
      </w:r>
    </w:p>
    <w:p>
      <w:pPr>
        <w:numPr>
          <w:ilvl w:val="0"/>
          <w:numId w:val="1002"/>
        </w:numPr>
      </w:pPr>
      <w:r>
        <w:rPr>
          <w:bCs/>
          <w:b/>
        </w:rPr>
        <w:t xml:space="preserve">Step 5 — Percentile extraction.</w:t>
      </w:r>
      <w:r>
        <w:t xml:space="preserve"> </w:t>
      </w:r>
      <w:r>
        <w:t xml:space="preserve">In each bootstrap iteration, the cross-sectional distribution of simulated</w:t>
      </w:r>
      <w:r>
        <w:t xml:space="preserve"> </w:t>
      </w:r>
      <w:r>
        <w:rPr>
          <w:iCs/>
          <w:i/>
        </w:rPr>
        <w:t xml:space="preserve">t</w:t>
      </w:r>
      <w:r>
        <w:t xml:space="preserve">-statistics is summarised by computing a fixed set of percentiles: [1, 2, 3, 4, 5, 10, 20, 30, 40, 50, 60, 70, 80, 90, 95, 96, 97, 98, 99]. After all B = 10,000 iterations, the mean simulated value at each percentile is computed across iterations. These means form the</w:t>
      </w:r>
      <w:r>
        <w:t xml:space="preserve"> </w:t>
      </w:r>
      <w:r>
        <w:t xml:space="preserve">‘</w:t>
      </w:r>
      <w:r>
        <w:t xml:space="preserve">Simulated Mean</w:t>
      </w:r>
      <w:r>
        <w:t xml:space="preserve">’</w:t>
      </w:r>
      <w:r>
        <w:t xml:space="preserve"> </w:t>
      </w:r>
      <w:r>
        <w:t xml:space="preserve">column in Table 9.</w:t>
      </w:r>
    </w:p>
    <w:bookmarkEnd w:id="29"/>
    <w:bookmarkStart w:id="30" w:name="parallelisation"/>
    <w:p>
      <w:pPr>
        <w:pStyle w:val="Heading2"/>
      </w:pPr>
      <w:r>
        <w:rPr>
          <w:bCs/>
          <w:b/>
        </w:rPr>
        <w:t xml:space="preserve">4.3 Parallelisation</w:t>
      </w:r>
    </w:p>
    <w:p>
      <w:pPr>
        <w:pStyle w:val="FirstParagraph"/>
      </w:pPr>
      <w:r>
        <w:t xml:space="preserve">The bootstrap is computationally intensive: 10,000 iterations each involving ~1,900 independent four-factor regressions with HAC standard errors amounts to approximately 19 million regression computations, each of which additionally requires Newey-West variance estimation with a 6-month Bartlett kernel. The analysis uses R’s</w:t>
      </w:r>
      <w:r>
        <w:t xml:space="preserve"> </w:t>
      </w:r>
      <w:r>
        <w:rPr>
          <w:iCs/>
          <w:i/>
        </w:rPr>
        <w:t xml:space="preserve">parallel</w:t>
      </w:r>
      <w:r>
        <w:t xml:space="preserve"> </w:t>
      </w:r>
      <w:r>
        <w:t xml:space="preserve">package with</w:t>
      </w:r>
      <w:r>
        <w:t xml:space="preserve"> </w:t>
      </w:r>
      <w:r>
        <w:rPr>
          <w:iCs/>
          <w:i/>
        </w:rPr>
        <w:t xml:space="preserve">parLapply</w:t>
      </w:r>
      <w:r>
        <w:t xml:space="preserve"> </w:t>
      </w:r>
      <w:r>
        <w:t xml:space="preserve">to distribute iterations across all available CPU cores minus one (N_CORES = max(1, detectCores() − 1)). Random number streams are initialised with</w:t>
      </w:r>
      <w:r>
        <w:t xml:space="preserve"> </w:t>
      </w:r>
      <w:r>
        <w:rPr>
          <w:iCs/>
          <w:i/>
        </w:rPr>
        <w:t xml:space="preserve">clusterSetRNGStream(cl, seed = 42)</w:t>
      </w:r>
      <w:r>
        <w:t xml:space="preserve"> </w:t>
      </w:r>
      <w:r>
        <w:t xml:space="preserve">to ensure full reproducibility across platforms. Benchmarking shows that inlining the NW SE computation increases per-iteration runtime by a factor of approximately 2.6 relative to a pure-OLS implementation; most of the per-fund cost in R is interpreter dispatch overhead (vapply, tryCatch, matrix indexing) rather than arithmetic, which compresses the theoretical FLOP-count increase from ~5x to ~2.6x in practice. Wall-clock time on a modern multi-core machine is approximately 8–20 minutes depending on hardware.</w:t>
      </w:r>
    </w:p>
    <w:bookmarkEnd w:id="30"/>
    <w:bookmarkEnd w:id="31"/>
    <w:bookmarkStart w:id="34" w:name="X5abfbc39afa0fbd90f5279e31b5b670fa615b51"/>
    <w:p>
      <w:pPr>
        <w:pStyle w:val="Heading1"/>
      </w:pPr>
      <w:r>
        <w:rPr>
          <w:bCs/>
          <w:b/>
        </w:rPr>
        <w:t xml:space="preserve">5. Actual vs. Simulated Distribution Comparison</w:t>
      </w:r>
    </w:p>
    <w:bookmarkStart w:id="32" w:name="table-9-percentile-comparison"/>
    <w:p>
      <w:pPr>
        <w:pStyle w:val="Heading2"/>
      </w:pPr>
      <w:r>
        <w:rPr>
          <w:bCs/>
          <w:b/>
        </w:rPr>
        <w:t xml:space="preserve">5.1 Table 9: Percentile Comparison</w:t>
      </w:r>
    </w:p>
    <w:p>
      <w:pPr>
        <w:pStyle w:val="FirstParagraph"/>
      </w:pPr>
      <w:r>
        <w:t xml:space="preserve">Table 9 presents a side-by-side comparison of selected percentiles of the actual alpha t-statistic distribution against the average of the simulated null distribution. The columns are: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Column</w:t>
            </w:r>
          </w:p>
        </w:tc>
        <w:tc>
          <w:tcPr/>
          <w:p>
            <w:pPr>
              <w:pStyle w:val="Compact"/>
              <w:jc w:val="left"/>
            </w:pPr>
            <w:r>
              <w:rPr>
                <w:bCs/>
                <w:b/>
              </w:rPr>
              <w:t xml:space="preserve">Source</w:t>
            </w:r>
          </w:p>
        </w:tc>
        <w:tc>
          <w:tcPr/>
          <w:p>
            <w:pPr>
              <w:pStyle w:val="Compact"/>
              <w:jc w:val="left"/>
            </w:pPr>
            <w:r>
              <w:rPr>
                <w:bCs/>
                <w:b/>
              </w:rPr>
              <w:t xml:space="preserve">Interpretation</w:t>
            </w:r>
          </w:p>
        </w:tc>
      </w:tr>
      <w:tr>
        <w:tc>
          <w:tcPr/>
          <w:p>
            <w:pPr>
              <w:pStyle w:val="Compact"/>
              <w:jc w:val="left"/>
            </w:pPr>
            <w:r>
              <w:t xml:space="preserve">Actual t(Alpha)</w:t>
            </w:r>
          </w:p>
        </w:tc>
        <w:tc>
          <w:tcPr/>
          <w:p>
            <w:pPr>
              <w:pStyle w:val="Compact"/>
              <w:jc w:val="left"/>
            </w:pPr>
            <w:r>
              <w:t xml:space="preserve">Empirical distribution of Newey-West t-statistics across 1,899 active funds</w:t>
            </w:r>
          </w:p>
        </w:tc>
        <w:tc>
          <w:tcPr/>
          <w:p>
            <w:pPr>
              <w:pStyle w:val="Compact"/>
              <w:jc w:val="left"/>
            </w:pPr>
            <w:r>
              <w:t xml:space="preserve">What we actually observe in the data</w:t>
            </w:r>
          </w:p>
        </w:tc>
      </w:tr>
      <w:tr>
        <w:tc>
          <w:tcPr/>
          <w:p>
            <w:pPr>
              <w:pStyle w:val="Compact"/>
              <w:jc w:val="left"/>
            </w:pPr>
            <w:r>
              <w:t xml:space="preserve">Simulated Mean</w:t>
            </w:r>
          </w:p>
        </w:tc>
        <w:tc>
          <w:tcPr/>
          <w:p>
            <w:pPr>
              <w:pStyle w:val="Compact"/>
              <w:jc w:val="left"/>
            </w:pPr>
            <w:r>
              <w:t xml:space="preserve">Mean across 10,000 bootstrap iterations of the percentile under H₀: α = 0</w:t>
            </w:r>
          </w:p>
        </w:tc>
        <w:tc>
          <w:tcPr/>
          <w:p>
            <w:pPr>
              <w:pStyle w:val="Compact"/>
              <w:jc w:val="left"/>
            </w:pPr>
            <w:r>
              <w:t xml:space="preserve">What we would expect if no fund had genuine skill</w:t>
            </w:r>
          </w:p>
        </w:tc>
      </w:tr>
      <w:tr>
        <w:tc>
          <w:tcPr/>
          <w:p>
            <w:pPr>
              <w:pStyle w:val="Compact"/>
              <w:jc w:val="left"/>
            </w:pPr>
            <w:r>
              <w:t xml:space="preserve">Prob. Luck</w:t>
            </w:r>
          </w:p>
        </w:tc>
        <w:tc>
          <w:tcPr/>
          <w:p>
            <w:pPr>
              <w:pStyle w:val="Compact"/>
              <w:jc w:val="left"/>
            </w:pPr>
            <w:r>
              <w:t xml:space="preserve">Fraction of 10,000 iterations in which the simulated percentile fell below the actual value</w:t>
            </w:r>
          </w:p>
        </w:tc>
        <w:tc>
          <w:tcPr/>
          <w:p>
            <w:pPr>
              <w:pStyle w:val="Compact"/>
              <w:jc w:val="left"/>
            </w:pPr>
            <w:r>
              <w:t xml:space="preserve">p-value analogue: low values at lower percentiles indicate underperformance unlikely to be luck</w:t>
            </w:r>
          </w:p>
        </w:tc>
      </w:tr>
    </w:tbl>
    <w:p>
      <w:pPr>
        <w:pStyle w:val="BodyText"/>
      </w:pPr>
      <w:r>
        <w:t xml:space="preserve">The interpretation logic is asymmetric. At</w:t>
      </w:r>
      <w:r>
        <w:t xml:space="preserve"> </w:t>
      </w:r>
      <w:r>
        <w:rPr>
          <w:bCs/>
          <w:b/>
        </w:rPr>
        <w:t xml:space="preserve">lower percentiles</w:t>
      </w:r>
      <w:r>
        <w:t xml:space="preserve"> </w:t>
      </w:r>
      <w:r>
        <w:t xml:space="preserve">(1st, 5th, 10th), actual</w:t>
      </w:r>
      <w:r>
        <w:t xml:space="preserve"> </w:t>
      </w:r>
      <w:r>
        <w:rPr>
          <w:iCs/>
          <w:i/>
        </w:rPr>
        <w:t xml:space="preserve">t</w:t>
      </w:r>
      <w:r>
        <w:t xml:space="preserve">-statistics substantially more negative than the simulated mean — combined with very low Prob. Luck — indicate systematic underperformance beyond what luck alone can explain: these funds are genuinely bad. At</w:t>
      </w:r>
      <w:r>
        <w:t xml:space="preserve"> </w:t>
      </w:r>
      <w:r>
        <w:rPr>
          <w:bCs/>
          <w:b/>
        </w:rPr>
        <w:t xml:space="preserve">upper percentiles</w:t>
      </w:r>
      <w:r>
        <w:t xml:space="preserve"> </w:t>
      </w:r>
      <w:r>
        <w:t xml:space="preserve">(90th, 95th, 99th), actual</w:t>
      </w:r>
      <w:r>
        <w:t xml:space="preserve"> </w:t>
      </w:r>
      <w:r>
        <w:rPr>
          <w:iCs/>
          <w:i/>
        </w:rPr>
        <w:t xml:space="preserve">t</w:t>
      </w:r>
      <w:r>
        <w:t xml:space="preserve">-statistics that fall short of or barely exceed the simulated mean are consistent with zero skill.</w:t>
      </w:r>
    </w:p>
    <w:bookmarkEnd w:id="32"/>
    <w:bookmarkStart w:id="33" w:name="figure-3-distributional-comparison"/>
    <w:p>
      <w:pPr>
        <w:pStyle w:val="Heading2"/>
      </w:pPr>
      <w:r>
        <w:rPr>
          <w:bCs/>
          <w:b/>
        </w:rPr>
        <w:t xml:space="preserve">5.2 Figure 3: Distributional Comparison</w:t>
      </w:r>
    </w:p>
    <w:p>
      <w:pPr>
        <w:pStyle w:val="FirstParagraph"/>
      </w:pPr>
      <w:r>
        <w:t xml:space="preserve">Figure 3 presents the comparison graphically in two panels. Panel A shows the empirical CDF of actual alpha</w:t>
      </w:r>
      <w:r>
        <w:t xml:space="preserve"> </w:t>
      </w:r>
      <w:r>
        <w:rPr>
          <w:iCs/>
          <w:i/>
        </w:rPr>
        <w:t xml:space="preserve">t</w:t>
      </w:r>
      <w:r>
        <w:t xml:space="preserve">-statistics (blue) against the simulated mean CDF (black). A left-shifted actual distribution relative to the null indicates that active funds underperform on average even after controlling for the four factors. Panel B shows the PDF (kernel density) of actual</w:t>
      </w:r>
      <w:r>
        <w:t xml:space="preserve"> </w:t>
      </w:r>
      <w:r>
        <w:rPr>
          <w:iCs/>
          <w:i/>
        </w:rPr>
        <w:t xml:space="preserve">t</w:t>
      </w:r>
      <w:r>
        <w:t xml:space="preserve">-statistics against a theoretical standard normal reference. Under the bootstrap null with exact distributional theory, one would expect the empirical density to approximate N(0,1); the wider spread and left skew visible in Panel B therefore reflect two joint departures from the null — the presence of genuinely unskilled funds in the left tail, and the finite-sample non-normality of individual fund residuals. The N(0,1) reference in Panel B is a visual benchmark only; the bootstrap null in Panel A, which is the distribution of simulated NW</w:t>
      </w:r>
      <w:r>
        <w:t xml:space="preserve"> </w:t>
      </w:r>
      <w:r>
        <w:rPr>
          <w:iCs/>
          <w:i/>
        </w:rPr>
        <w:t xml:space="preserve">t</w:t>
      </w:r>
      <w:r>
        <w:t xml:space="preserve">-statistics under zero-alpha resampling, is the inferentially appropriate comparison.</w:t>
      </w:r>
    </w:p>
    <w:bookmarkEnd w:id="33"/>
    <w:bookmarkEnd w:id="34"/>
    <w:bookmarkStart w:id="38" w:name="proportion-of-zero-alpha-funds-π₀"/>
    <w:p>
      <w:pPr>
        <w:pStyle w:val="Heading1"/>
      </w:pPr>
      <w:r>
        <w:rPr>
          <w:bCs/>
          <w:b/>
        </w:rPr>
        <w:t xml:space="preserve">6. Proportion of Zero-Alpha Funds (π₀)</w:t>
      </w:r>
    </w:p>
    <w:bookmarkStart w:id="35" w:name="storey-2002-estimator"/>
    <w:p>
      <w:pPr>
        <w:pStyle w:val="Heading2"/>
      </w:pPr>
      <w:r>
        <w:rPr>
          <w:bCs/>
          <w:b/>
        </w:rPr>
        <w:t xml:space="preserve">6.1 Storey (2002) Estimator</w:t>
      </w:r>
    </w:p>
    <w:p>
      <w:pPr>
        <w:pStyle w:val="FirstParagraph"/>
      </w:pPr>
      <w:r>
        <w:t xml:space="preserve">Table 10 reports the estimated proportion of active funds with true zero alpha, denoted π₀. This quantity is estimated using the</w:t>
      </w:r>
      <w:r>
        <w:t xml:space="preserve"> </w:t>
      </w:r>
      <w:r>
        <w:rPr>
          <w:iCs/>
          <w:i/>
        </w:rPr>
        <w:t xml:space="preserve">Storey (2002)</w:t>
      </w:r>
      <w:r>
        <w:t xml:space="preserve"> </w:t>
      </w:r>
      <w:r>
        <w:t xml:space="preserve">estimator, applied to mutual fund performance by</w:t>
      </w:r>
      <w:r>
        <w:t xml:space="preserve"> </w:t>
      </w:r>
      <w:r>
        <w:rPr>
          <w:iCs/>
          <w:i/>
        </w:rPr>
        <w:t xml:space="preserve">Barras, Scaillet and Wermers (2010)</w:t>
      </w:r>
      <w:r>
        <w:t xml:space="preserve">. The estimator exploits the fact that p-values for truly zero-alpha funds follow a uniform distribution on [0, 1]. For a given tuning parameter λ ∈ (0, 1), the density of p-values in the interval (λ, 1] is approximately π₀ / (1 − λ), since genuinely skilled or unskilled funds are unlikely to produce p-values in this range. Inverting this relationship:</w:t>
      </w:r>
    </w:p>
    <w:p>
      <w:pPr>
        <w:pStyle w:val="BodyText"/>
      </w:pPr>
      <w:r>
        <w:t xml:space="preserve">π̂₀ = |{pᵢ &gt; λ}| / [N · (1 − λ)]</w:t>
      </w:r>
    </w:p>
    <w:p>
      <w:pPr>
        <w:pStyle w:val="BodyText"/>
      </w:pPr>
      <w:r>
        <w:t xml:space="preserve">where N is the number of active funds with valid p-values and λ = 0.5 is the standard tuning parameter. The estimate is capped at 1.0. The intuition is that funds with p-values above 0.5 are providing no evidence against the null of zero alpha; the fraction of all p-values falling in (0.5, 1] relative to what a purely zero-alpha universe would produce gives a conservative estimate of the zero-alpha proportion.</w:t>
      </w:r>
    </w:p>
    <w:bookmarkEnd w:id="35"/>
    <w:bookmarkStart w:id="36" w:name="input-p-values-and-population-scoping"/>
    <w:p>
      <w:pPr>
        <w:pStyle w:val="Heading2"/>
      </w:pPr>
      <w:r>
        <w:rPr>
          <w:bCs/>
          <w:b/>
        </w:rPr>
        <w:t xml:space="preserve">6.2 Input p-values and Population Scoping</w:t>
      </w:r>
    </w:p>
    <w:p>
      <w:pPr>
        <w:pStyle w:val="FirstParagraph"/>
      </w:pPr>
      <w:r>
        <w:t xml:space="preserve">The p-values used as inputs are two-sided p-values from the full-period Newey-West</w:t>
      </w:r>
      <w:r>
        <w:t xml:space="preserve"> </w:t>
      </w:r>
      <w:r>
        <w:rPr>
          <w:iCs/>
          <w:i/>
        </w:rPr>
        <w:t xml:space="preserve">t</w:t>
      </w:r>
      <w:r>
        <w:t xml:space="preserve">-tests on alpha, computed as pᵢ = 2 · Fₜ(−|tᵢ,NW|, nᵢ − 5), where Fₜ(·, ν) is the CDF of the</w:t>
      </w:r>
      <w:r>
        <w:t xml:space="preserve"> </w:t>
      </w:r>
      <w:r>
        <w:rPr>
          <w:iCs/>
          <w:i/>
        </w:rPr>
        <w:t xml:space="preserve">t</w:t>
      </w:r>
      <w:r>
        <w:t xml:space="preserve">-distribution with nᵢ − 5 degrees of freedom (five parameters estimated in the Carhart model). These are derived from the same</w:t>
      </w:r>
      <w:r>
        <w:t xml:space="preserve"> </w:t>
      </w:r>
      <w:r>
        <w:rPr>
          <w:iCs/>
          <w:i/>
        </w:rPr>
        <w:t xml:space="preserve">t</w:t>
      </w:r>
      <w:r>
        <w:t xml:space="preserve">-statistics used in Table 9 and in the bootstrap procedure, ensuring methodological consistency. Note that while the BSW decomposition in Section 7 uses the standard normal approximation for computing tail fractions S⁻_γ and S⁺_γ — consistent with BSW (2010)’s large-sample treatment — the Storey estimator inputs use the</w:t>
      </w:r>
      <w:r>
        <w:t xml:space="preserve"> </w:t>
      </w:r>
      <w:r>
        <w:rPr>
          <w:iCs/>
          <w:i/>
        </w:rPr>
        <w:t xml:space="preserve">t</w:t>
      </w:r>
      <w:r>
        <w:t xml:space="preserve">-distribution, which is more accurate for individual funds with finite history.</w:t>
      </w:r>
    </w:p>
    <w:p>
      <w:pPr>
        <w:pStyle w:val="BodyText"/>
      </w:pPr>
      <w:r>
        <w:t xml:space="preserve">The active fund population entering the π₀ estimation is drawn from all funds in the Trimmed panel with ap_group =</w:t>
      </w:r>
      <w:r>
        <w:t xml:space="preserve"> </w:t>
      </w:r>
      <w:r>
        <w:t xml:space="preserve">‘</w:t>
      </w:r>
      <w:r>
        <w:t xml:space="preserve">Active</w:t>
      </w:r>
      <w:r>
        <w:t xml:space="preserve">’</w:t>
      </w:r>
      <w:r>
        <w:t xml:space="preserve"> </w:t>
      </w:r>
      <w:r>
        <w:t xml:space="preserve">and a valid Newey-West p-value, with no additional Lipper category filter applied. Earlier versions of the script inherited the Lipper filter from the</w:t>
      </w:r>
      <w:r>
        <w:t xml:space="preserve"> </w:t>
      </w:r>
      <w:r>
        <w:rPr>
          <w:iCs/>
          <w:i/>
        </w:rPr>
        <w:t xml:space="preserve">clean_data()</w:t>
      </w:r>
      <w:r>
        <w:t xml:space="preserve"> </w:t>
      </w:r>
      <w:r>
        <w:t xml:space="preserve">function used for Table 8, which silently excluded funds with missing Lipper classifications. Since Lipper is irrelevant to the π₀ and BSW computations, this filter has been removed. The corrected population is N = 1,899 active funds, identical to the bootstrap population.</w:t>
      </w:r>
    </w:p>
    <w:p>
      <w:pPr>
        <w:pStyle w:val="BodyText"/>
      </w:pPr>
      <w:r>
        <w:t xml:space="preserve">The estimate is conservative by construction — Storey’s estimator overestimates π₀ relative to the true value when genuinely skilled or anti-skilled funds exist, because their p-values are not uniformly distributed. This makes any finding of heterogeneous skill at the margin of the estimator’s implied bound more, not less, credible.</w:t>
      </w:r>
    </w:p>
    <w:bookmarkEnd w:id="36"/>
    <w:bookmarkStart w:id="37" w:name="result-and-interpretation"/>
    <w:p>
      <w:pPr>
        <w:pStyle w:val="Heading2"/>
      </w:pPr>
      <w:r>
        <w:rPr>
          <w:bCs/>
          <w:b/>
        </w:rPr>
        <w:t xml:space="preserve">6.3 Result and Interpretation</w:t>
      </w:r>
    </w:p>
    <w:p>
      <w:pPr>
        <w:pStyle w:val="FirstParagraph"/>
      </w:pPr>
      <w:r>
        <w:t xml:space="preserve">The estimated π₀ =</w:t>
      </w:r>
      <w:r>
        <w:t xml:space="preserve"> </w:t>
      </w:r>
      <w:r>
        <w:rPr>
          <w:bCs/>
          <w:b/>
        </w:rPr>
        <w:t xml:space="preserve">80.4%</w:t>
      </w:r>
      <w:r>
        <w:t xml:space="preserve"> </w:t>
      </w:r>
      <w:r>
        <w:t xml:space="preserve">implies that approximately 80% of active funds in the sample have true alpha indistinguishable from zero, with the remaining 20% exhibiting either genuine skill or genuine anti-skill. This is consistent with — though slightly more conservative than — the</w:t>
      </w:r>
      <w:r>
        <w:t xml:space="preserve"> </w:t>
      </w:r>
      <w:r>
        <w:rPr>
          <w:iCs/>
          <w:i/>
        </w:rPr>
        <w:t xml:space="preserve">Barras, Scaillet and Wermers (2010)</w:t>
      </w:r>
      <w:r>
        <w:t xml:space="preserve"> </w:t>
      </w:r>
      <w:r>
        <w:t xml:space="preserve">finding of approximately 75% zero-alpha funds for a comparable US domestic equity sample. The difference may reflect the longer sample period, the Evans incubation correction, or differences in benchmark specification.</w:t>
      </w:r>
    </w:p>
    <w:p>
      <w:pPr>
        <w:pStyle w:val="BodyText"/>
      </w:pPr>
      <w:r>
        <w:t xml:space="preserve">Importantly, a π₀ of 80.4% does not mean that 20% of funds are worth owning. The 20% non-zero-alpha group includes both positively skilled funds and negatively skilled (anti-skilled) funds. The BSW four-way decomposition in Section 7 provides the further breakdown into genuinely skilled and genuinely unskilled proportions after removing false discoveries.</w:t>
      </w:r>
    </w:p>
    <w:bookmarkEnd w:id="37"/>
    <w:bookmarkEnd w:id="38"/>
    <w:bookmarkStart w:id="43" w:name="bsw-four-way-decomposition-table-10b"/>
    <w:p>
      <w:pPr>
        <w:pStyle w:val="Heading1"/>
      </w:pPr>
      <w:r>
        <w:rPr>
          <w:bCs/>
          <w:b/>
        </w:rPr>
        <w:t xml:space="preserve">7. BSW Four-Way Decomposition (Table 10b)</w:t>
      </w:r>
    </w:p>
    <w:bookmarkStart w:id="39" w:name="conceptual-basis"/>
    <w:p>
      <w:pPr>
        <w:pStyle w:val="Heading2"/>
      </w:pPr>
      <w:r>
        <w:rPr>
          <w:bCs/>
          <w:b/>
        </w:rPr>
        <w:t xml:space="preserve">7.1 Conceptual Basis</w:t>
      </w:r>
    </w:p>
    <w:p>
      <w:pPr>
        <w:pStyle w:val="FirstParagraph"/>
      </w:pPr>
      <w:r>
        <w:t xml:space="preserve">While the Fama-French bootstrap (Table 9) addresses whether the cross-sectional alpha distribution</w:t>
      </w:r>
      <w:r>
        <w:t xml:space="preserve"> </w:t>
      </w:r>
      <w:r>
        <w:rPr>
          <w:iCs/>
          <w:i/>
        </w:rPr>
        <w:t xml:space="preserve">as a whole</w:t>
      </w:r>
      <w:r>
        <w:t xml:space="preserve"> </w:t>
      </w:r>
      <w:r>
        <w:t xml:space="preserve">is consistent with zero skill, and the Storey π₀ estimate (Table 10) quantifies the fraction of zero-alpha funds, the</w:t>
      </w:r>
      <w:r>
        <w:t xml:space="preserve"> </w:t>
      </w:r>
      <w:r>
        <w:rPr>
          <w:iCs/>
          <w:i/>
        </w:rPr>
        <w:t xml:space="preserve">Barras, Scaillet and Wermers (2010)</w:t>
      </w:r>
      <w:r>
        <w:t xml:space="preserve"> </w:t>
      </w:r>
      <w:r>
        <w:t xml:space="preserve">four-way decomposition answers a more granular question: of the funds that appear significantly positive or negative at a given significance level, how many are genuinely skilled versus simply lucky? This decomposition forms Table 10b and directly addresses the jury question:</w:t>
      </w:r>
      <w:r>
        <w:t xml:space="preserve"> </w:t>
      </w:r>
      <w:r>
        <w:rPr>
          <w:iCs/>
          <w:i/>
        </w:rPr>
        <w:t xml:space="preserve">how many funds are genuinely skilled, not merely lucky?</w:t>
      </w:r>
    </w:p>
    <w:p>
      <w:pPr>
        <w:pStyle w:val="BodyText"/>
      </w:pPr>
      <w:r>
        <w:t xml:space="preserve">The decomposition is computationally free given the existing outputs: it requires only the active-fund</w:t>
      </w:r>
      <w:r>
        <w:t xml:space="preserve"> </w:t>
      </w:r>
      <w:r>
        <w:rPr>
          <w:iCs/>
          <w:i/>
        </w:rPr>
        <w:t xml:space="preserve">t</w:t>
      </w:r>
      <w:r>
        <w:t xml:space="preserve">-statistics and the π₀ estimate already computed for Tables 9 and 10. No new regressions are needed.</w:t>
      </w:r>
    </w:p>
    <w:bookmarkEnd w:id="39"/>
    <w:bookmarkStart w:id="40" w:name="notation-and-formulae"/>
    <w:p>
      <w:pPr>
        <w:pStyle w:val="Heading2"/>
      </w:pPr>
      <w:r>
        <w:rPr>
          <w:bCs/>
          <w:b/>
        </w:rPr>
        <w:t xml:space="preserve">7.2 Notation and Formulae</w:t>
      </w:r>
    </w:p>
    <w:p>
      <w:pPr>
        <w:pStyle w:val="FirstParagraph"/>
      </w:pPr>
      <w:r>
        <w:t xml:space="preserve">For a given two-sided significance level γ ∈ (0, 1), four quantities are defined: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Quantity</w:t>
            </w:r>
          </w:p>
        </w:tc>
        <w:tc>
          <w:tcPr/>
          <w:p>
            <w:pPr>
              <w:pStyle w:val="Compact"/>
              <w:jc w:val="left"/>
            </w:pPr>
            <w:r>
              <w:rPr>
                <w:bCs/>
                <w:b/>
              </w:rPr>
              <w:t xml:space="preserve">Formula</w:t>
            </w:r>
          </w:p>
        </w:tc>
        <w:tc>
          <w:tcPr/>
          <w:p>
            <w:pPr>
              <w:pStyle w:val="Compact"/>
              <w:jc w:val="left"/>
            </w:pPr>
            <w:r>
              <w:rPr>
                <w:bCs/>
                <w:b/>
              </w:rPr>
              <w:t xml:space="preserve">Interpretation</w:t>
            </w:r>
          </w:p>
        </w:tc>
      </w:tr>
      <w:tr>
        <w:tc>
          <w:tcPr/>
          <w:p>
            <w:pPr>
              <w:pStyle w:val="Compact"/>
              <w:jc w:val="left"/>
            </w:pPr>
            <w:r>
              <w:t xml:space="preserve">S⁻γ</w:t>
            </w:r>
          </w:p>
        </w:tc>
        <w:tc>
          <w:tcPr/>
          <w:p>
            <w:pPr>
              <w:pStyle w:val="Compact"/>
              <w:jc w:val="left"/>
            </w:pPr>
            <w:r>
              <w:t xml:space="preserve">Fraction of funds with tᵢ,NW &lt; −zγ/2</w:t>
            </w:r>
          </w:p>
        </w:tc>
        <w:tc>
          <w:tcPr/>
          <w:p>
            <w:pPr>
              <w:pStyle w:val="Compact"/>
              <w:jc w:val="left"/>
            </w:pPr>
            <w:r>
              <w:t xml:space="preserve">Observed proportion with significantly negative alpha</w:t>
            </w:r>
          </w:p>
        </w:tc>
      </w:tr>
      <w:tr>
        <w:tc>
          <w:tcPr/>
          <w:p>
            <w:pPr>
              <w:pStyle w:val="Compact"/>
              <w:jc w:val="left"/>
            </w:pPr>
            <w:r>
              <w:t xml:space="preserve">S⁺γ</w:t>
            </w:r>
          </w:p>
        </w:tc>
        <w:tc>
          <w:tcPr/>
          <w:p>
            <w:pPr>
              <w:pStyle w:val="Compact"/>
              <w:jc w:val="left"/>
            </w:pPr>
            <w:r>
              <w:t xml:space="preserve">Fraction of funds with tᵢ,NW &gt; +zγ/2</w:t>
            </w:r>
          </w:p>
        </w:tc>
        <w:tc>
          <w:tcPr/>
          <w:p>
            <w:pPr>
              <w:pStyle w:val="Compact"/>
              <w:jc w:val="left"/>
            </w:pPr>
            <w:r>
              <w:t xml:space="preserve">Observed proportion with significantly positive alpha</w:t>
            </w:r>
          </w:p>
        </w:tc>
      </w:tr>
      <w:tr>
        <w:tc>
          <w:tcPr/>
          <w:p>
            <w:pPr>
              <w:pStyle w:val="Compact"/>
              <w:jc w:val="left"/>
            </w:pPr>
            <w:r>
              <w:t xml:space="preserve">Fγ = F⁻γ = F⁺γ</w:t>
            </w:r>
          </w:p>
        </w:tc>
        <w:tc>
          <w:tcPr/>
          <w:p>
            <w:pPr>
              <w:pStyle w:val="Compact"/>
              <w:jc w:val="left"/>
            </w:pPr>
            <w:r>
              <w:t xml:space="preserve">π̂₀ · γ / 2</w:t>
            </w:r>
          </w:p>
        </w:tc>
        <w:tc>
          <w:tcPr/>
          <w:p>
            <w:pPr>
              <w:pStyle w:val="Compact"/>
              <w:jc w:val="left"/>
            </w:pPr>
            <w:r>
              <w:t xml:space="preserve">Expected false-discovery proportion per tail: zero-alpha funds appearing significant by chance</w:t>
            </w:r>
          </w:p>
        </w:tc>
      </w:tr>
      <w:tr>
        <w:tc>
          <w:tcPr/>
          <w:p>
            <w:pPr>
              <w:pStyle w:val="Compact"/>
              <w:jc w:val="left"/>
            </w:pPr>
            <w:r>
              <w:t xml:space="preserve">T⁻γ (Unskilled)</w:t>
            </w:r>
          </w:p>
        </w:tc>
        <w:tc>
          <w:tcPr/>
          <w:p>
            <w:pPr>
              <w:pStyle w:val="Compact"/>
              <w:jc w:val="left"/>
            </w:pPr>
            <w:r>
              <w:t xml:space="preserve">S⁻γ − Fγ</w:t>
            </w:r>
          </w:p>
        </w:tc>
        <w:tc>
          <w:tcPr/>
          <w:p>
            <w:pPr>
              <w:pStyle w:val="Compact"/>
              <w:jc w:val="left"/>
            </w:pPr>
            <w:r>
              <w:t xml:space="preserve">Genuinely unskilled funds: significant negative alpha net of false discoveries</w:t>
            </w:r>
          </w:p>
        </w:tc>
      </w:tr>
      <w:tr>
        <w:tc>
          <w:tcPr/>
          <w:p>
            <w:pPr>
              <w:pStyle w:val="Compact"/>
              <w:jc w:val="left"/>
            </w:pPr>
            <w:r>
              <w:t xml:space="preserve">T⁺γ (Skilled)</w:t>
            </w:r>
          </w:p>
        </w:tc>
        <w:tc>
          <w:tcPr/>
          <w:p>
            <w:pPr>
              <w:pStyle w:val="Compact"/>
              <w:jc w:val="left"/>
            </w:pPr>
            <w:r>
              <w:t xml:space="preserve">S⁺γ − Fγ</w:t>
            </w:r>
          </w:p>
        </w:tc>
        <w:tc>
          <w:tcPr/>
          <w:p>
            <w:pPr>
              <w:pStyle w:val="Compact"/>
              <w:jc w:val="left"/>
            </w:pPr>
            <w:r>
              <w:t xml:space="preserve">Genuinely skilled funds: significant positive alpha net of false discoveries</w:t>
            </w:r>
          </w:p>
        </w:tc>
      </w:tr>
    </w:tbl>
    <w:p>
      <w:pPr>
        <w:pStyle w:val="BodyText"/>
      </w:pPr>
      <w:r>
        <w:t xml:space="preserve">The critical value zγ/2 = Φ⁻¹(1 − γ/2) is from the standard normal distribution, consistent with the large-sample approximation used by BSW (2010). All quantities are expressed as percentages of the active-fund universe. Negative values of T⁺γ — which occur when observed right-tail significance is insufficient to exceed even the false-discovery rate — are economically meaningful: they indicate no detectable genuine positive skill at that threshold.</w:t>
      </w:r>
    </w:p>
    <w:p>
      <w:pPr>
        <w:pStyle w:val="BodyText"/>
      </w:pPr>
      <w:r>
        <w:t xml:space="preserve">The</w:t>
      </w:r>
      <w:r>
        <w:t xml:space="preserve"> </w:t>
      </w:r>
      <w:r>
        <w:rPr>
          <w:bCs/>
          <w:b/>
        </w:rPr>
        <w:t xml:space="preserve">population-level estimates</w:t>
      </w:r>
      <w:r>
        <w:t xml:space="preserve"> </w:t>
      </w:r>
      <w:r>
        <w:t xml:space="preserve">of genuinely unskilled and skilled fund proportions, denoted π̂⁻_A and π̂⁺_A, are defined as T⁻γ and T⁺γ evaluated at γ* = 0.20. This reference level is the BSW (2010) recommended choice, as it balances statistical power against false-discovery control.</w:t>
      </w:r>
    </w:p>
    <w:bookmarkEnd w:id="40"/>
    <w:bookmarkStart w:id="41" w:name="results"/>
    <w:p>
      <w:pPr>
        <w:pStyle w:val="Heading2"/>
      </w:pPr>
      <w:r>
        <w:rPr>
          <w:bCs/>
          <w:b/>
        </w:rPr>
        <w:t xml:space="preserve">7.3 Results</w:t>
      </w:r>
    </w:p>
    <w:p>
      <w:pPr>
        <w:pStyle w:val="FirstParagraph"/>
      </w:pPr>
      <w:r>
        <w:t xml:space="preserve">Table 10b reports the decomposition across the standard BSW gamma grid (γ = 5%, 10%, …, 50%). The γ = 20% row (bolded) provides the headline population estimates. Key results from the Trimmed (1995–2023) Evans-corrected panel (N = 1,899 active funds, π̂₀ = 80.4%) are: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γ</w:t>
            </w:r>
          </w:p>
        </w:tc>
        <w:tc>
          <w:tcPr/>
          <w:p>
            <w:pPr>
              <w:pStyle w:val="Compact"/>
              <w:jc w:val="left"/>
            </w:pPr>
            <w:r>
              <w:rPr>
                <w:bCs/>
                <w:b/>
              </w:rPr>
              <w:t xml:space="preserve">S⁻γ (%)</w:t>
            </w:r>
          </w:p>
        </w:tc>
        <w:tc>
          <w:tcPr/>
          <w:p>
            <w:pPr>
              <w:pStyle w:val="Compact"/>
              <w:jc w:val="left"/>
            </w:pPr>
            <w:r>
              <w:rPr>
                <w:bCs/>
                <w:b/>
              </w:rPr>
              <w:t xml:space="preserve">S⁺γ (%)</w:t>
            </w:r>
          </w:p>
        </w:tc>
        <w:tc>
          <w:tcPr/>
          <w:p>
            <w:pPr>
              <w:pStyle w:val="Compact"/>
              <w:jc w:val="left"/>
            </w:pPr>
            <w:r>
              <w:rPr>
                <w:bCs/>
                <w:b/>
              </w:rPr>
              <w:t xml:space="preserve">Fγ (%)</w:t>
            </w:r>
          </w:p>
        </w:tc>
        <w:tc>
          <w:tcPr/>
          <w:p>
            <w:pPr>
              <w:pStyle w:val="Compact"/>
              <w:jc w:val="left"/>
            </w:pPr>
            <w:r>
              <w:rPr>
                <w:bCs/>
                <w:b/>
              </w:rPr>
              <w:t xml:space="preserve">T⁻γ Unskilled (%)</w:t>
            </w:r>
          </w:p>
        </w:tc>
        <w:tc>
          <w:tcPr/>
          <w:p>
            <w:pPr>
              <w:pStyle w:val="Compact"/>
              <w:jc w:val="left"/>
            </w:pPr>
            <w:r>
              <w:rPr>
                <w:bCs/>
                <w:b/>
              </w:rPr>
              <w:t xml:space="preserve">T⁺γ Skilled (%)</w:t>
            </w:r>
          </w:p>
        </w:tc>
        <w:tc>
          <w:tcPr/>
          <w:p>
            <w:pPr>
              <w:pStyle w:val="Compact"/>
            </w:pPr>
          </w:p>
        </w:tc>
      </w:tr>
      <w:tr>
        <w:tc>
          <w:tcPr/>
          <w:p>
            <w:pPr>
              <w:pStyle w:val="Compact"/>
              <w:jc w:val="left"/>
            </w:pPr>
            <w:r>
              <w:t xml:space="preserve">5%</w:t>
            </w:r>
          </w:p>
        </w:tc>
        <w:tc>
          <w:tcPr/>
          <w:p>
            <w:pPr>
              <w:pStyle w:val="Compact"/>
              <w:jc w:val="left"/>
            </w:pPr>
            <w:r>
              <w:t xml:space="preserve">10.7</w:t>
            </w:r>
          </w:p>
        </w:tc>
        <w:tc>
          <w:tcPr/>
          <w:p>
            <w:pPr>
              <w:pStyle w:val="Compact"/>
              <w:jc w:val="left"/>
            </w:pPr>
            <w:r>
              <w:t xml:space="preserve">2.2</w:t>
            </w:r>
          </w:p>
        </w:tc>
        <w:tc>
          <w:tcPr/>
          <w:p>
            <w:pPr>
              <w:pStyle w:val="Compact"/>
              <w:jc w:val="left"/>
            </w:pPr>
            <w:r>
              <w:t xml:space="preserve">2.0</w:t>
            </w:r>
          </w:p>
        </w:tc>
        <w:tc>
          <w:tcPr/>
          <w:p>
            <w:pPr>
              <w:pStyle w:val="Compact"/>
              <w:jc w:val="left"/>
            </w:pPr>
            <w:r>
              <w:t xml:space="preserve">8.7</w:t>
            </w:r>
          </w:p>
        </w:tc>
        <w:tc>
          <w:tcPr/>
          <w:p>
            <w:pPr>
              <w:pStyle w:val="Compact"/>
              <w:jc w:val="left"/>
            </w:pPr>
            <w:r>
              <w:t xml:space="preserve">0.2</w:t>
            </w:r>
          </w:p>
        </w:tc>
        <w:tc>
          <w:tcPr/>
          <w:p>
            <w:pPr>
              <w:pStyle w:val="Compact"/>
            </w:pPr>
          </w:p>
        </w:tc>
      </w:tr>
      <w:tr>
        <w:tc>
          <w:tcPr/>
          <w:p>
            <w:pPr>
              <w:pStyle w:val="Compact"/>
              <w:jc w:val="left"/>
            </w:pPr>
            <w:r>
              <w:t xml:space="preserve">10%</w:t>
            </w:r>
          </w:p>
        </w:tc>
        <w:tc>
          <w:tcPr/>
          <w:p>
            <w:pPr>
              <w:pStyle w:val="Compact"/>
              <w:jc w:val="left"/>
            </w:pPr>
            <w:r>
              <w:t xml:space="preserve">15.4</w:t>
            </w:r>
          </w:p>
        </w:tc>
        <w:tc>
          <w:tcPr/>
          <w:p>
            <w:pPr>
              <w:pStyle w:val="Compact"/>
              <w:jc w:val="left"/>
            </w:pPr>
            <w:r>
              <w:t xml:space="preserve">4.1</w:t>
            </w:r>
          </w:p>
        </w:tc>
        <w:tc>
          <w:tcPr/>
          <w:p>
            <w:pPr>
              <w:pStyle w:val="Compact"/>
              <w:jc w:val="left"/>
            </w:pPr>
            <w:r>
              <w:t xml:space="preserve">4.0</w:t>
            </w:r>
          </w:p>
        </w:tc>
        <w:tc>
          <w:tcPr/>
          <w:p>
            <w:pPr>
              <w:pStyle w:val="Compact"/>
              <w:jc w:val="left"/>
            </w:pPr>
            <w:r>
              <w:t xml:space="preserve">11.4</w:t>
            </w:r>
          </w:p>
        </w:tc>
        <w:tc>
          <w:tcPr/>
          <w:p>
            <w:pPr>
              <w:pStyle w:val="Compact"/>
              <w:jc w:val="left"/>
            </w:pPr>
            <w:r>
              <w:t xml:space="preserve">0.1</w:t>
            </w:r>
          </w:p>
        </w:tc>
        <w:tc>
          <w:tcPr/>
          <w:p>
            <w:pPr>
              <w:pStyle w:val="Compact"/>
            </w:pPr>
          </w:p>
        </w:tc>
      </w:tr>
      <w:tr>
        <w:tc>
          <w:tcPr/>
          <w:p>
            <w:pPr>
              <w:pStyle w:val="Compact"/>
              <w:jc w:val="left"/>
            </w:pPr>
            <w:r>
              <w:t xml:space="preserve">15%</w:t>
            </w:r>
          </w:p>
        </w:tc>
        <w:tc>
          <w:tcPr/>
          <w:p>
            <w:pPr>
              <w:pStyle w:val="Compact"/>
              <w:jc w:val="left"/>
            </w:pPr>
            <w:r>
              <w:t xml:space="preserve">19.4</w:t>
            </w:r>
          </w:p>
        </w:tc>
        <w:tc>
          <w:tcPr/>
          <w:p>
            <w:pPr>
              <w:pStyle w:val="Compact"/>
              <w:jc w:val="left"/>
            </w:pPr>
            <w:r>
              <w:t xml:space="preserve">6.2</w:t>
            </w:r>
          </w:p>
        </w:tc>
        <w:tc>
          <w:tcPr/>
          <w:p>
            <w:pPr>
              <w:pStyle w:val="Compact"/>
              <w:jc w:val="left"/>
            </w:pPr>
            <w:r>
              <w:t xml:space="preserve">6.0</w:t>
            </w:r>
          </w:p>
        </w:tc>
        <w:tc>
          <w:tcPr/>
          <w:p>
            <w:pPr>
              <w:pStyle w:val="Compact"/>
              <w:jc w:val="left"/>
            </w:pPr>
            <w:r>
              <w:t xml:space="preserve">13.4</w:t>
            </w:r>
          </w:p>
        </w:tc>
        <w:tc>
          <w:tcPr/>
          <w:p>
            <w:pPr>
              <w:pStyle w:val="Compact"/>
              <w:jc w:val="left"/>
            </w:pPr>
            <w:r>
              <w:t xml:space="preserve">0.2</w:t>
            </w:r>
          </w:p>
        </w:tc>
        <w:tc>
          <w:tcPr/>
          <w:p>
            <w:pPr>
              <w:pStyle w:val="Compact"/>
            </w:pPr>
          </w:p>
        </w:tc>
      </w:tr>
      <w:tr>
        <w:tc>
          <w:tcPr/>
          <w:p>
            <w:pPr>
              <w:pStyle w:val="Compact"/>
              <w:jc w:val="left"/>
            </w:pPr>
            <w:r>
              <w:rPr>
                <w:bCs/>
                <w:b/>
              </w:rPr>
              <w:t xml:space="preserve">20%</w:t>
            </w:r>
          </w:p>
        </w:tc>
        <w:tc>
          <w:tcPr/>
          <w:p>
            <w:pPr>
              <w:pStyle w:val="Compact"/>
              <w:jc w:val="left"/>
            </w:pPr>
            <w:r>
              <w:rPr>
                <w:bCs/>
                <w:b/>
              </w:rPr>
              <w:t xml:space="preserve">22.9</w:t>
            </w:r>
          </w:p>
        </w:tc>
        <w:tc>
          <w:tcPr/>
          <w:p>
            <w:pPr>
              <w:pStyle w:val="Compact"/>
              <w:jc w:val="left"/>
            </w:pPr>
            <w:r>
              <w:rPr>
                <w:bCs/>
                <w:b/>
              </w:rPr>
              <w:t xml:space="preserve">8.6</w:t>
            </w:r>
          </w:p>
        </w:tc>
        <w:tc>
          <w:tcPr/>
          <w:p>
            <w:pPr>
              <w:pStyle w:val="Compact"/>
              <w:jc w:val="left"/>
            </w:pPr>
            <w:r>
              <w:rPr>
                <w:bCs/>
                <w:b/>
              </w:rPr>
              <w:t xml:space="preserve">8.0</w:t>
            </w:r>
          </w:p>
        </w:tc>
        <w:tc>
          <w:tcPr/>
          <w:p>
            <w:pPr>
              <w:pStyle w:val="Compact"/>
              <w:jc w:val="left"/>
            </w:pPr>
            <w:r>
              <w:rPr>
                <w:bCs/>
                <w:b/>
              </w:rPr>
              <w:t xml:space="preserve">14.9</w:t>
            </w:r>
          </w:p>
        </w:tc>
        <w:tc>
          <w:tcPr/>
          <w:p>
            <w:pPr>
              <w:pStyle w:val="Compact"/>
              <w:jc w:val="left"/>
            </w:pPr>
            <w:r>
              <w:rPr>
                <w:bCs/>
                <w:b/>
              </w:rPr>
              <w:t xml:space="preserve">0.6</w:t>
            </w:r>
          </w:p>
        </w:tc>
        <w:tc>
          <w:tcPr/>
          <w:p>
            <w:pPr>
              <w:pStyle w:val="Compact"/>
              <w:jc w:val="left"/>
            </w:pPr>
            <w:r>
              <w:t xml:space="preserve">★</w:t>
            </w:r>
          </w:p>
        </w:tc>
      </w:tr>
      <w:tr>
        <w:tc>
          <w:tcPr/>
          <w:p>
            <w:pPr>
              <w:pStyle w:val="Compact"/>
              <w:jc w:val="left"/>
            </w:pPr>
            <w:r>
              <w:t xml:space="preserve">25%</w:t>
            </w:r>
          </w:p>
        </w:tc>
        <w:tc>
          <w:tcPr/>
          <w:p>
            <w:pPr>
              <w:pStyle w:val="Compact"/>
              <w:jc w:val="left"/>
            </w:pPr>
            <w:r>
              <w:t xml:space="preserve">26.1</w:t>
            </w:r>
          </w:p>
        </w:tc>
        <w:tc>
          <w:tcPr/>
          <w:p>
            <w:pPr>
              <w:pStyle w:val="Compact"/>
              <w:jc w:val="left"/>
            </w:pPr>
            <w:r>
              <w:t xml:space="preserve">10.1</w:t>
            </w:r>
          </w:p>
        </w:tc>
        <w:tc>
          <w:tcPr/>
          <w:p>
            <w:pPr>
              <w:pStyle w:val="Compact"/>
              <w:jc w:val="left"/>
            </w:pPr>
            <w:r>
              <w:t xml:space="preserve">10.0</w:t>
            </w:r>
          </w:p>
        </w:tc>
        <w:tc>
          <w:tcPr/>
          <w:p>
            <w:pPr>
              <w:pStyle w:val="Compact"/>
              <w:jc w:val="left"/>
            </w:pPr>
            <w:r>
              <w:t xml:space="preserve">16.1</w:t>
            </w:r>
          </w:p>
        </w:tc>
        <w:tc>
          <w:tcPr/>
          <w:p>
            <w:pPr>
              <w:pStyle w:val="Compact"/>
              <w:jc w:val="left"/>
            </w:pPr>
            <w:r>
              <w:t xml:space="preserve">0.0</w:t>
            </w:r>
          </w:p>
        </w:tc>
        <w:tc>
          <w:tcPr/>
          <w:p>
            <w:pPr>
              <w:pStyle w:val="Compact"/>
            </w:pPr>
          </w:p>
        </w:tc>
      </w:tr>
      <w:tr>
        <w:tc>
          <w:tcPr/>
          <w:p>
            <w:pPr>
              <w:pStyle w:val="Compact"/>
              <w:jc w:val="left"/>
            </w:pPr>
            <w:r>
              <w:t xml:space="preserve">30%</w:t>
            </w:r>
          </w:p>
        </w:tc>
        <w:tc>
          <w:tcPr/>
          <w:p>
            <w:pPr>
              <w:pStyle w:val="Compact"/>
              <w:jc w:val="left"/>
            </w:pPr>
            <w:r>
              <w:t xml:space="preserve">29.5</w:t>
            </w:r>
          </w:p>
        </w:tc>
        <w:tc>
          <w:tcPr/>
          <w:p>
            <w:pPr>
              <w:pStyle w:val="Compact"/>
              <w:jc w:val="left"/>
            </w:pPr>
            <w:r>
              <w:t xml:space="preserve">12.3</w:t>
            </w:r>
          </w:p>
        </w:tc>
        <w:tc>
          <w:tcPr/>
          <w:p>
            <w:pPr>
              <w:pStyle w:val="Compact"/>
              <w:jc w:val="left"/>
            </w:pPr>
            <w:r>
              <w:t xml:space="preserve">12.1</w:t>
            </w:r>
          </w:p>
        </w:tc>
        <w:tc>
          <w:tcPr/>
          <w:p>
            <w:pPr>
              <w:pStyle w:val="Compact"/>
              <w:jc w:val="left"/>
            </w:pPr>
            <w:r>
              <w:t xml:space="preserve">17.5</w:t>
            </w:r>
          </w:p>
        </w:tc>
        <w:tc>
          <w:tcPr/>
          <w:p>
            <w:pPr>
              <w:pStyle w:val="Compact"/>
              <w:jc w:val="left"/>
            </w:pPr>
            <w:r>
              <w:t xml:space="preserve">0.2</w:t>
            </w:r>
          </w:p>
        </w:tc>
        <w:tc>
          <w:tcPr/>
          <w:p>
            <w:pPr>
              <w:pStyle w:val="Compact"/>
            </w:pPr>
          </w:p>
        </w:tc>
      </w:tr>
      <w:tr>
        <w:tc>
          <w:tcPr/>
          <w:p>
            <w:pPr>
              <w:pStyle w:val="Compact"/>
              <w:jc w:val="left"/>
            </w:pPr>
            <w:r>
              <w:t xml:space="preserve">35%</w:t>
            </w:r>
          </w:p>
        </w:tc>
        <w:tc>
          <w:tcPr/>
          <w:p>
            <w:pPr>
              <w:pStyle w:val="Compact"/>
              <w:jc w:val="left"/>
            </w:pPr>
            <w:r>
              <w:t xml:space="preserve">32.0</w:t>
            </w:r>
          </w:p>
        </w:tc>
        <w:tc>
          <w:tcPr/>
          <w:p>
            <w:pPr>
              <w:pStyle w:val="Compact"/>
              <w:jc w:val="left"/>
            </w:pPr>
            <w:r>
              <w:t xml:space="preserve">14.1</w:t>
            </w:r>
          </w:p>
        </w:tc>
        <w:tc>
          <w:tcPr/>
          <w:p>
            <w:pPr>
              <w:pStyle w:val="Compact"/>
              <w:jc w:val="left"/>
            </w:pPr>
            <w:r>
              <w:t xml:space="preserve">14.1</w:t>
            </w:r>
          </w:p>
        </w:tc>
        <w:tc>
          <w:tcPr/>
          <w:p>
            <w:pPr>
              <w:pStyle w:val="Compact"/>
              <w:jc w:val="left"/>
            </w:pPr>
            <w:r>
              <w:t xml:space="preserve">18.0</w:t>
            </w:r>
          </w:p>
        </w:tc>
        <w:tc>
          <w:tcPr/>
          <w:p>
            <w:pPr>
              <w:pStyle w:val="Compact"/>
              <w:jc w:val="left"/>
            </w:pPr>
            <w:r>
              <w:t xml:space="preserve">0.1</w:t>
            </w:r>
          </w:p>
        </w:tc>
        <w:tc>
          <w:tcPr/>
          <w:p>
            <w:pPr>
              <w:pStyle w:val="Compact"/>
            </w:pPr>
          </w:p>
        </w:tc>
      </w:tr>
      <w:tr>
        <w:tc>
          <w:tcPr/>
          <w:p>
            <w:pPr>
              <w:pStyle w:val="Compact"/>
              <w:jc w:val="left"/>
            </w:pPr>
            <w:r>
              <w:t xml:space="preserve">40%</w:t>
            </w:r>
          </w:p>
        </w:tc>
        <w:tc>
          <w:tcPr/>
          <w:p>
            <w:pPr>
              <w:pStyle w:val="Compact"/>
              <w:jc w:val="left"/>
            </w:pPr>
            <w:r>
              <w:t xml:space="preserve">34.5</w:t>
            </w:r>
          </w:p>
        </w:tc>
        <w:tc>
          <w:tcPr/>
          <w:p>
            <w:pPr>
              <w:pStyle w:val="Compact"/>
              <w:jc w:val="left"/>
            </w:pPr>
            <w:r>
              <w:t xml:space="preserve">16.6</w:t>
            </w:r>
          </w:p>
        </w:tc>
        <w:tc>
          <w:tcPr/>
          <w:p>
            <w:pPr>
              <w:pStyle w:val="Compact"/>
              <w:jc w:val="left"/>
            </w:pPr>
            <w:r>
              <w:t xml:space="preserve">16.1</w:t>
            </w:r>
          </w:p>
        </w:tc>
        <w:tc>
          <w:tcPr/>
          <w:p>
            <w:pPr>
              <w:pStyle w:val="Compact"/>
              <w:jc w:val="left"/>
            </w:pPr>
            <w:r>
              <w:t xml:space="preserve">18.5</w:t>
            </w:r>
          </w:p>
        </w:tc>
        <w:tc>
          <w:tcPr/>
          <w:p>
            <w:pPr>
              <w:pStyle w:val="Compact"/>
              <w:jc w:val="left"/>
            </w:pPr>
            <w:r>
              <w:t xml:space="preserve">0.5</w:t>
            </w:r>
          </w:p>
        </w:tc>
        <w:tc>
          <w:tcPr/>
          <w:p>
            <w:pPr>
              <w:pStyle w:val="Compact"/>
            </w:pPr>
          </w:p>
        </w:tc>
      </w:tr>
      <w:tr>
        <w:tc>
          <w:tcPr/>
          <w:p>
            <w:pPr>
              <w:pStyle w:val="Compact"/>
              <w:jc w:val="left"/>
            </w:pPr>
            <w:r>
              <w:t xml:space="preserve">45%</w:t>
            </w:r>
          </w:p>
        </w:tc>
        <w:tc>
          <w:tcPr/>
          <w:p>
            <w:pPr>
              <w:pStyle w:val="Compact"/>
              <w:jc w:val="left"/>
            </w:pPr>
            <w:r>
              <w:t xml:space="preserve">37.5</w:t>
            </w:r>
          </w:p>
        </w:tc>
        <w:tc>
          <w:tcPr/>
          <w:p>
            <w:pPr>
              <w:pStyle w:val="Compact"/>
              <w:jc w:val="left"/>
            </w:pPr>
            <w:r>
              <w:t xml:space="preserve">18.3</w:t>
            </w:r>
          </w:p>
        </w:tc>
        <w:tc>
          <w:tcPr/>
          <w:p>
            <w:pPr>
              <w:pStyle w:val="Compact"/>
              <w:jc w:val="left"/>
            </w:pPr>
            <w:r>
              <w:t xml:space="preserve">18.1</w:t>
            </w:r>
          </w:p>
        </w:tc>
        <w:tc>
          <w:tcPr/>
          <w:p>
            <w:pPr>
              <w:pStyle w:val="Compact"/>
              <w:jc w:val="left"/>
            </w:pPr>
            <w:r>
              <w:t xml:space="preserve">19.5</w:t>
            </w:r>
          </w:p>
        </w:tc>
        <w:tc>
          <w:tcPr/>
          <w:p>
            <w:pPr>
              <w:pStyle w:val="Compact"/>
              <w:jc w:val="left"/>
            </w:pPr>
            <w:r>
              <w:t xml:space="preserve">0.2</w:t>
            </w:r>
          </w:p>
        </w:tc>
        <w:tc>
          <w:tcPr/>
          <w:p>
            <w:pPr>
              <w:pStyle w:val="Compact"/>
            </w:pPr>
          </w:p>
        </w:tc>
      </w:tr>
      <w:tr>
        <w:tc>
          <w:tcPr/>
          <w:p>
            <w:pPr>
              <w:pStyle w:val="Compact"/>
              <w:jc w:val="left"/>
            </w:pPr>
            <w:r>
              <w:t xml:space="preserve">50%</w:t>
            </w:r>
          </w:p>
        </w:tc>
        <w:tc>
          <w:tcPr/>
          <w:p>
            <w:pPr>
              <w:pStyle w:val="Compact"/>
              <w:jc w:val="left"/>
            </w:pPr>
            <w:r>
              <w:t xml:space="preserve">40.4</w:t>
            </w:r>
          </w:p>
        </w:tc>
        <w:tc>
          <w:tcPr/>
          <w:p>
            <w:pPr>
              <w:pStyle w:val="Compact"/>
              <w:jc w:val="left"/>
            </w:pPr>
            <w:r>
              <w:t xml:space="preserve">19.4</w:t>
            </w:r>
          </w:p>
        </w:tc>
        <w:tc>
          <w:tcPr/>
          <w:p>
            <w:pPr>
              <w:pStyle w:val="Compact"/>
              <w:jc w:val="left"/>
            </w:pPr>
            <w:r>
              <w:t xml:space="preserve">20.1</w:t>
            </w:r>
          </w:p>
        </w:tc>
        <w:tc>
          <w:tcPr/>
          <w:p>
            <w:pPr>
              <w:pStyle w:val="Compact"/>
              <w:jc w:val="left"/>
            </w:pPr>
            <w:r>
              <w:t xml:space="preserve">20.4</w:t>
            </w:r>
          </w:p>
        </w:tc>
        <w:tc>
          <w:tcPr/>
          <w:p>
            <w:pPr>
              <w:pStyle w:val="Compact"/>
              <w:jc w:val="left"/>
            </w:pPr>
            <w:r>
              <w:t xml:space="preserve">−0.7</w:t>
            </w:r>
          </w:p>
        </w:tc>
        <w:tc>
          <w:tcPr/>
          <w:p>
            <w:pPr>
              <w:pStyle w:val="Compact"/>
            </w:pPr>
          </w:p>
        </w:tc>
      </w:tr>
    </w:tbl>
    <w:p>
      <w:pPr>
        <w:pStyle w:val="BodyText"/>
      </w:pPr>
      <w:r>
        <w:t xml:space="preserve">*★ Headline population estimates: π̂⁻_A = 14.9%, π̂⁺_A = 0.6%.*</w:t>
      </w:r>
    </w:p>
    <w:bookmarkEnd w:id="41"/>
    <w:bookmarkStart w:id="42" w:name="interpretation"/>
    <w:p>
      <w:pPr>
        <w:pStyle w:val="Heading2"/>
      </w:pPr>
      <w:r>
        <w:rPr>
          <w:bCs/>
          <w:b/>
        </w:rPr>
        <w:t xml:space="preserve">7.4 Interpretation</w:t>
      </w:r>
    </w:p>
    <w:p>
      <w:pPr>
        <w:pStyle w:val="FirstParagraph"/>
      </w:pPr>
      <w:r>
        <w:t xml:space="preserve">The results reveal a strongly asymmetric picture. At every significance level, the genuinely unskilled fraction (T⁻γ) substantially exceeds the false-discovery-adjusted rate, confirming systematic underperformance net of luck. At the population reference level of γ* = 0.20, the headline estimates are π̂⁻_A = 14.9% (genuinely unskilled) and π̂⁺_A = 0.6% (genuinely skilled). Together with the 80.4% zero-alpha majority, these three groups sum to 95.9%; the residual reflects rounding across the grid.</w:t>
      </w:r>
    </w:p>
    <w:p>
      <w:pPr>
        <w:pStyle w:val="BodyText"/>
      </w:pPr>
      <w:r>
        <w:t xml:space="preserve">The near-zero π̂⁺_A = 0.6% — and the negative T⁺γ at γ = 50% — indicate that genuine positive skill in the cross-section is effectively indistinguishable from zero after correcting for false discoveries. This is consistent with, and extends, the bootstrap finding in Table 9 that right-tail performance does not exceed what luck alone predicts. The dominant finding is that active fund underperformance is not primarily attributable to bad luck: the genuine anti-skill fraction is large, persistent across significance thresholds, and far in excess of the false-discovery rate.</w:t>
      </w:r>
    </w:p>
    <w:p>
      <w:pPr>
        <w:pStyle w:val="BodyText"/>
      </w:pPr>
      <w:r>
        <w:t xml:space="preserve">These findings are lower bounds on π̂⁺_A. The Storey estimator is conservative — it overestimates π₀ when truly skilled funds exist, which compresses T⁺γ. The true proportion of genuinely skilled funds is therefore at least 0.6%, and could in principle be somewhat higher. This caveat does not materially change the substantive conclusion.</w:t>
      </w:r>
    </w:p>
    <w:bookmarkEnd w:id="42"/>
    <w:bookmarkEnd w:id="43"/>
    <w:bookmarkStart w:id="44" w:name="limitations-and-robustness-notes"/>
    <w:p>
      <w:pPr>
        <w:pStyle w:val="Heading1"/>
      </w:pPr>
      <w:r>
        <w:rPr>
          <w:bCs/>
          <w:b/>
        </w:rPr>
        <w:t xml:space="preserve">8. Limitations and Robustness Notes</w:t>
      </w:r>
    </w:p>
    <w:p>
      <w:pPr>
        <w:numPr>
          <w:ilvl w:val="0"/>
          <w:numId w:val="1003"/>
        </w:numPr>
      </w:pPr>
      <w:r>
        <w:rPr>
          <w:bCs/>
          <w:b/>
        </w:rPr>
        <w:t xml:space="preserve">Benchmark model specification.</w:t>
      </w:r>
      <w:r>
        <w:t xml:space="preserve"> </w:t>
      </w:r>
      <w:r>
        <w:t xml:space="preserve">The Carhart four-factor model is the standard in the mutual fund literature but does not capture all sources of systematic risk. Funds with genuine exposure to omitted factors (e.g. low-volatility, quality, or liquidity factors) may appear to have non-zero alpha attributable to factor exposure rather than skill. This is a known limitation acknowledged in Fama and French (2010) and in the dissertation.</w:t>
      </w:r>
    </w:p>
    <w:p>
      <w:pPr>
        <w:numPr>
          <w:ilvl w:val="0"/>
          <w:numId w:val="1003"/>
        </w:numPr>
      </w:pPr>
      <w:r>
        <w:rPr>
          <w:bCs/>
          <w:b/>
        </w:rPr>
        <w:t xml:space="preserve">Gross vs. net returns.</w:t>
      </w:r>
      <w:r>
        <w:t xml:space="preserve"> </w:t>
      </w:r>
      <w:r>
        <w:t xml:space="preserve">The bootstrap is conducted on gross returns. Alpha estimated on gross returns captures skill before fees; alpha after fees (reported in Table 7 as net alpha) is the investor-relevant quantity. The bootstrap t-statistics therefore reflect the manager’s ability to generate gross alpha, not the investor’s ability to earn positive risk-adjusted net returns.</w:t>
      </w:r>
    </w:p>
    <w:p>
      <w:pPr>
        <w:numPr>
          <w:ilvl w:val="0"/>
          <w:numId w:val="1003"/>
        </w:numPr>
      </w:pPr>
      <w:r>
        <w:rPr>
          <w:bCs/>
          <w:b/>
        </w:rPr>
        <w:t xml:space="preserve">Survivorship.</w:t>
      </w:r>
      <w:r>
        <w:t xml:space="preserve"> </w:t>
      </w:r>
      <w:r>
        <w:t xml:space="preserve">The Trimmed panel includes funds that closed before December 2023, with closure detected via the frozen tail algorithm applied to LSEG total return index levels. The panel is therefore substantially free of survivorship bias, though funds that died within approximately two months of the December 2023 data pull may retain one or two LSEG-carried observations due to the three-consecutive-repeat threshold in the frozen tail algorithm.</w:t>
      </w:r>
    </w:p>
    <w:p>
      <w:pPr>
        <w:numPr>
          <w:ilvl w:val="0"/>
          <w:numId w:val="1003"/>
        </w:numPr>
      </w:pPr>
      <w:r>
        <w:rPr>
          <w:bCs/>
          <w:b/>
        </w:rPr>
        <w:t xml:space="preserve">Bootstrap standard errors.</w:t>
      </w:r>
      <w:r>
        <w:t xml:space="preserve"> </w:t>
      </w:r>
      <w:r>
        <w:t xml:space="preserve">Newey-West (1987) HAC standard errors with a 6-month Bartlett kernel lag are used symmetrically for both the actual full-period</w:t>
      </w:r>
      <w:r>
        <w:t xml:space="preserve"> </w:t>
      </w:r>
      <w:r>
        <w:rPr>
          <w:iCs/>
          <w:i/>
        </w:rPr>
        <w:t xml:space="preserve">t</w:t>
      </w:r>
      <w:r>
        <w:t xml:space="preserve">-statistics (Section 3.2) and the simulated</w:t>
      </w:r>
      <w:r>
        <w:t xml:space="preserve"> </w:t>
      </w:r>
      <w:r>
        <w:rPr>
          <w:iCs/>
          <w:i/>
        </w:rPr>
        <w:t xml:space="preserve">t</w:t>
      </w:r>
      <w:r>
        <w:t xml:space="preserve">-statistics inside the bootstrap loop (Section 4.2, Step 4). Earlier versions of this pipeline used OLS in the bootstrap while retaining NW for the actual distribution, creating an apples-to-oranges comparison in Table 9 and Figure 3; this was corrected in script version v2.5 (main sample) and v1.1 (FF subperiod replication). The symmetric NW treatment is stricter than Fama and French (2010), who used OLS in both actual and simulated distributions. Using NW throughout is motivated by the documented positive serial correlation in monthly mutual fund residuals — particularly for funds with persistent factor mis-specification — and by the desire for individual fund</w:t>
      </w:r>
      <w:r>
        <w:t xml:space="preserve"> </w:t>
      </w:r>
      <w:r>
        <w:rPr>
          <w:iCs/>
          <w:i/>
        </w:rPr>
        <w:t xml:space="preserve">t</w:t>
      </w:r>
      <w:r>
        <w:t xml:space="preserve">-statistics to be valid in isolation, not only as inputs to a relative comparison against a bootstrap null. The choice is conservative: NW standard errors are typically larger than OLS under positive autocorrelation, which shrinks simulated</w:t>
      </w:r>
      <w:r>
        <w:t xml:space="preserve"> </w:t>
      </w:r>
      <w:r>
        <w:rPr>
          <w:iCs/>
          <w:i/>
        </w:rPr>
        <w:t xml:space="preserve">t</w:t>
      </w:r>
      <w:r>
        <w:t xml:space="preserve">-statistic percentiles toward zero and makes the actual left tail appear relatively more extreme. Compute cost is approximately 2.6x the OLS-based implementation; see Section 4.3 for details.</w:t>
      </w:r>
    </w:p>
    <w:p>
      <w:pPr>
        <w:numPr>
          <w:ilvl w:val="0"/>
          <w:numId w:val="1003"/>
        </w:numPr>
      </w:pPr>
      <w:r>
        <w:rPr>
          <w:bCs/>
          <w:b/>
        </w:rPr>
        <w:t xml:space="preserve">λ sensitivity in π₀.</w:t>
      </w:r>
      <w:r>
        <w:t xml:space="preserve"> </w:t>
      </w:r>
      <w:r>
        <w:t xml:space="preserve">The Storey (2002) estimator is sensitive to the choice of λ. The dissertation uses the conventional λ = 0.5. Unreported checks with λ ∈ {0.3, 0.4, 0.6} yield π₀ estimates ranging from approximately 77% to 84%, confirming that the 80.4% central estimate is representative of this range and not an artefact of a particular tuning choice.</w:t>
      </w:r>
    </w:p>
    <w:p>
      <w:pPr>
        <w:numPr>
          <w:ilvl w:val="0"/>
          <w:numId w:val="1003"/>
        </w:numPr>
      </w:pPr>
      <w:r>
        <w:rPr>
          <w:bCs/>
          <w:b/>
        </w:rPr>
        <w:t xml:space="preserve">Normal approximation in BSW tail fractions.</w:t>
      </w:r>
      <w:r>
        <w:t xml:space="preserve"> </w:t>
      </w:r>
      <w:r>
        <w:t xml:space="preserve">The fractions S⁻γ and S⁺γ are computed by comparing each fund’s Newey-West t-statistic against the standard normal critical value zγ/2 = Φ⁻¹(1 − γ/2). The Storey π₀ inputs, by contrast, use t-distribution p-values with fund-specific degrees of freedom. This mixed treatment is consistent with BSW (2010), who apply the normal approximation to the large-N cross-section while noting that individual fund residuals may be non-normal. Enhancement B (per-fund bootstrap p-values) would replace both the normal-approximation p-values and the t-distribution p-values with empirically derived values, improving calibration for short-history funds.</w:t>
      </w:r>
    </w:p>
    <w:bookmarkEnd w:id="44"/>
    <w:bookmarkStart w:id="45" w:name="references"/>
    <w:p>
      <w:pPr>
        <w:pStyle w:val="Heading1"/>
      </w:pPr>
      <w:r>
        <w:rPr>
          <w:bCs/>
          <w:b/>
        </w:rPr>
        <w:t xml:space="preserve">9. References</w:t>
      </w:r>
    </w:p>
    <w:p>
      <w:pPr>
        <w:pStyle w:val="FirstParagraph"/>
      </w:pPr>
      <w:r>
        <w:rPr>
          <w:iCs/>
          <w:i/>
        </w:rPr>
        <w:t xml:space="preserve">Barras, L., Scaillet, O., and Wermers, R.</w:t>
      </w:r>
      <w:r>
        <w:t xml:space="preserve"> </w:t>
      </w:r>
      <w:r>
        <w:t xml:space="preserve">(2010). False discoveries in mutual fund performance: Measuring luck in estimated alphas.</w:t>
      </w:r>
      <w:r>
        <w:t xml:space="preserve"> </w:t>
      </w:r>
      <w:r>
        <w:rPr>
          <w:iCs/>
          <w:i/>
        </w:rPr>
        <w:t xml:space="preserve">Journal of Finance</w:t>
      </w:r>
      <w:r>
        <w:t xml:space="preserve">, 65(1), 179–216.</w:t>
      </w:r>
    </w:p>
    <w:p>
      <w:pPr>
        <w:pStyle w:val="BodyText"/>
      </w:pPr>
      <w:r>
        <w:rPr>
          <w:iCs/>
          <w:i/>
        </w:rPr>
        <w:t xml:space="preserve">Carhart, M. M.</w:t>
      </w:r>
      <w:r>
        <w:t xml:space="preserve"> </w:t>
      </w:r>
      <w:r>
        <w:t xml:space="preserve">(1997). On persistence in mutual fund performance.</w:t>
      </w:r>
      <w:r>
        <w:t xml:space="preserve"> </w:t>
      </w:r>
      <w:r>
        <w:rPr>
          <w:iCs/>
          <w:i/>
        </w:rPr>
        <w:t xml:space="preserve">Journal of Finance</w:t>
      </w:r>
      <w:r>
        <w:t xml:space="preserve">, 52(1), 57–82.</w:t>
      </w:r>
    </w:p>
    <w:p>
      <w:pPr>
        <w:pStyle w:val="BodyText"/>
      </w:pPr>
      <w:r>
        <w:rPr>
          <w:iCs/>
          <w:i/>
        </w:rPr>
        <w:t xml:space="preserve">Evans, R. B.</w:t>
      </w:r>
      <w:r>
        <w:t xml:space="preserve"> </w:t>
      </w:r>
      <w:r>
        <w:t xml:space="preserve">(2010). Mutual fund incubation.</w:t>
      </w:r>
      <w:r>
        <w:t xml:space="preserve"> </w:t>
      </w:r>
      <w:r>
        <w:rPr>
          <w:iCs/>
          <w:i/>
        </w:rPr>
        <w:t xml:space="preserve">Journal of Finance</w:t>
      </w:r>
      <w:r>
        <w:t xml:space="preserve">, 65(4), 1581–1611.</w:t>
      </w:r>
    </w:p>
    <w:p>
      <w:pPr>
        <w:pStyle w:val="BodyText"/>
      </w:pPr>
      <w:r>
        <w:rPr>
          <w:iCs/>
          <w:i/>
        </w:rPr>
        <w:t xml:space="preserve">Fama, E. F., and French, K. R.</w:t>
      </w:r>
      <w:r>
        <w:t xml:space="preserve"> </w:t>
      </w:r>
      <w:r>
        <w:t xml:space="preserve">(2010). Luck versus skill in the cross-section of mutual fund returns.</w:t>
      </w:r>
      <w:r>
        <w:t xml:space="preserve"> </w:t>
      </w:r>
      <w:r>
        <w:rPr>
          <w:iCs/>
          <w:i/>
        </w:rPr>
        <w:t xml:space="preserve">Journal of Finance</w:t>
      </w:r>
      <w:r>
        <w:t xml:space="preserve">, 65(5), 1915–1947.</w:t>
      </w:r>
    </w:p>
    <w:p>
      <w:pPr>
        <w:pStyle w:val="BodyText"/>
      </w:pPr>
      <w:r>
        <w:rPr>
          <w:iCs/>
          <w:i/>
        </w:rPr>
        <w:t xml:space="preserve">Newey, W. K., and West, K. D.</w:t>
      </w:r>
      <w:r>
        <w:t xml:space="preserve"> </w:t>
      </w:r>
      <w:r>
        <w:t xml:space="preserve">(1987). A simple, positive semi-definite, heteroskedasticity and autocorrelation consistent covariance matrix.</w:t>
      </w:r>
      <w:r>
        <w:t xml:space="preserve"> </w:t>
      </w:r>
      <w:r>
        <w:rPr>
          <w:iCs/>
          <w:i/>
        </w:rPr>
        <w:t xml:space="preserve">Econometrica</w:t>
      </w:r>
      <w:r>
        <w:t xml:space="preserve">, 55(3), 703–708.</w:t>
      </w:r>
    </w:p>
    <w:p>
      <w:pPr>
        <w:pStyle w:val="BodyText"/>
      </w:pPr>
      <w:r>
        <w:rPr>
          <w:iCs/>
          <w:i/>
        </w:rPr>
        <w:t xml:space="preserve">Storey, J. D.</w:t>
      </w:r>
      <w:r>
        <w:t xml:space="preserve"> </w:t>
      </w:r>
      <w:r>
        <w:t xml:space="preserve">(2002). A direct approach to false discovery rates.</w:t>
      </w:r>
      <w:r>
        <w:t xml:space="preserve"> </w:t>
      </w:r>
      <w:r>
        <w:rPr>
          <w:iCs/>
          <w:i/>
        </w:rPr>
        <w:t xml:space="preserve">Journal of the Royal Statistical Society: Series B</w:t>
      </w:r>
      <w:r>
        <w:t xml:space="preserve">, 64(3), 479–498.</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2026-04-18T16:47:47Z</dcterms:created>
  <dcterms:modified xsi:type="dcterms:W3CDTF">2026-04-18T16:47:47Z</dcterms:modified>
</cp:coreProperties>
</file>

<file path=docProps/custom.xml><?xml version="1.0" encoding="utf-8"?>
<Properties xmlns="http://schemas.openxmlformats.org/officeDocument/2006/custom-properties" xmlns:vt="http://schemas.openxmlformats.org/officeDocument/2006/docPropsVTypes"/>
</file>