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Data Construction and Cleaning Methodology</w:t>
      </w:r>
    </w:p>
    <w:p>
      <w:pPr>
        <w:pStyle w:val="BodyText"/>
      </w:pPr>
      <w:r>
        <w:t xml:space="preserve">The Active Management Puzzle — Working Document</w:t>
      </w:r>
    </w:p>
    <w:bookmarkStart w:id="20" w:name="overview"/>
    <w:p>
      <w:pPr>
        <w:pStyle w:val="Heading1"/>
      </w:pPr>
      <w:r>
        <w:rPr>
          <w:bCs/>
          <w:b/>
        </w:rPr>
        <w:t xml:space="preserve">1. Overview</w:t>
      </w:r>
    </w:p>
    <w:p>
      <w:pPr>
        <w:pStyle w:val="FirstParagraph"/>
      </w:pPr>
      <w:r>
        <w:t xml:space="preserve">The raw dataset consists of monthly observations for</w:t>
      </w:r>
      <w:r>
        <w:t xml:space="preserve"> </w:t>
      </w:r>
      <w:r>
        <w:rPr>
          <w:bCs/>
          <w:b/>
        </w:rPr>
        <w:t xml:space="preserve">3,764 U.S. domestic equity mutual fund share classes</w:t>
      </w:r>
      <w:r>
        <w:t xml:space="preserve"> </w:t>
      </w:r>
      <w:r>
        <w:t xml:space="preserve">sourced from LSEG Workspace and Bloomberg, covering the period from December 1994 through February 2026. The fund-level time series variables included in the raw panel are: gross total return index, net total return index, tracking difference, net assets, share class assets, total fund assets, number of shares outstanding, and fund flow. The panel is supplemented by monthly time series of Carhart (1997) four-factor returns, benchmark total return indices, and a suite of behavioral sentiment proxies.</w:t>
      </w:r>
    </w:p>
    <w:p>
      <w:pPr>
        <w:pStyle w:val="BodyText"/>
      </w:pPr>
      <w:r>
        <w:t xml:space="preserve">Because the raw data contain observations that do not correspond to genuine fund activity — arising from data vendor practices, fund incubation economics, leveraged product contamination, and isolated data errors — six sequential cleaning steps are applied before any analysis is conducted. These steps produce three analytically distinct panels, described in Section 9. All cleaning operations are applied programmatically in R, ensuring full reproducibility.</w:t>
      </w:r>
    </w:p>
    <w:bookmarkEnd w:id="20"/>
    <w:bookmarkStart w:id="21" w:name="raw-panel-construction"/>
    <w:p>
      <w:pPr>
        <w:pStyle w:val="Heading1"/>
      </w:pPr>
      <w:r>
        <w:rPr>
          <w:bCs/>
          <w:b/>
        </w:rPr>
        <w:t xml:space="preserve">2. Raw Panel Construction</w:t>
      </w:r>
    </w:p>
    <w:p>
      <w:pPr>
        <w:pStyle w:val="FirstParagraph"/>
      </w:pPr>
      <w:r>
        <w:t xml:space="preserve">Each time series variable is stored in a separate wide-format Excel sheet, with fund tickers on rows and calendar months on columns. Each sheet is individually imported and pivoted to long format — one observation per fund-month — and the resulting long tables are joined on the composite key (Ticker, date) using a full outer join. The static fund attributes sheet is then merged by ticker. Monthly macro variables are merged by date. The result is an unbalanced long-format panel in which each row corresponds to a unique fund-month observation.</w:t>
      </w:r>
    </w:p>
    <w:p>
      <w:pPr>
        <w:pStyle w:val="BodyText"/>
      </w:pPr>
      <w:r>
        <w:t xml:space="preserve">All date column headers in the raw Excel files are stored as Excel serial numbers, converted using the standard Excel origin of December 30, 1899. LSEG error strings (#N/A N/A, #N/A Field Not Applicable) are treated as missing values prior to any conversion.</w:t>
      </w:r>
    </w:p>
    <w:bookmarkEnd w:id="21"/>
    <w:bookmarkStart w:id="25" w:name="X8599ff31c6c5dda167099b75deaf090617b84e1"/>
    <w:p>
      <w:pPr>
        <w:pStyle w:val="Heading1"/>
      </w:pPr>
      <w:r>
        <w:rPr>
          <w:bCs/>
          <w:b/>
        </w:rPr>
        <w:t xml:space="preserve">3. Cleaning Step 1: Removal of Post-Closure Forward-Filled Observations</w:t>
      </w:r>
    </w:p>
    <w:bookmarkStart w:id="22" w:name="the-problem"/>
    <w:p>
      <w:pPr>
        <w:pStyle w:val="Heading2"/>
      </w:pPr>
      <w:r>
        <w:rPr>
          <w:bCs/>
          <w:b/>
        </w:rPr>
        <w:t xml:space="preserve">3.1 The Problem</w:t>
      </w:r>
    </w:p>
    <w:p>
      <w:pPr>
        <w:pStyle w:val="FirstParagraph"/>
      </w:pPr>
      <w:r>
        <w:t xml:space="preserve">LSEG Workspace does not truncate the return series of liquidated or inactive funds at the point of closure. Instead, it forward-fills the last valid total return index value for all subsequent months through the end of the data pull. If left uncorrected, these observations would introduce spurious zero-return months into the panel, biasing downward measured performance and contaminating fund flow regressions.</w:t>
      </w:r>
    </w:p>
    <w:p>
      <w:pPr>
        <w:pStyle w:val="BodyText"/>
      </w:pPr>
      <w:r>
        <w:t xml:space="preserve">The Close Date field in LSEG static data is unreliable: all active funds receive the data pull date as their close date, liquidated funds receive either the pull date or an error string, and inactive funds receive only error strings. This field is therefore not used for any filtering.</w:t>
      </w:r>
    </w:p>
    <w:bookmarkEnd w:id="22"/>
    <w:bookmarkStart w:id="23" w:name="the-frozen-tail-algorithm"/>
    <w:p>
      <w:pPr>
        <w:pStyle w:val="Heading2"/>
      </w:pPr>
      <w:r>
        <w:rPr>
          <w:bCs/>
          <w:b/>
        </w:rPr>
        <w:t xml:space="preserve">3.2 The Frozen Tail Algorithm</w:t>
      </w:r>
    </w:p>
    <w:p>
      <w:pPr>
        <w:pStyle w:val="FirstParagraph"/>
      </w:pPr>
      <w:r>
        <w:t xml:space="preserve">A data-driven algorithm operates on the gross total return index series as the master signal and proceeds as follows:</w:t>
      </w:r>
    </w:p>
    <w:p>
      <w:pPr>
        <w:pStyle w:val="BodyText"/>
      </w:pPr>
      <w:r>
        <w:rPr>
          <w:bCs/>
          <w:b/>
        </w:rPr>
        <w:t xml:space="preserve">(1)</w:t>
      </w:r>
      <w:r>
        <w:t xml:space="preserve"> </w:t>
      </w:r>
      <w:r>
        <w:t xml:space="preserve">Observations with a missing gross return index are removed.</w:t>
      </w:r>
    </w:p>
    <w:p>
      <w:pPr>
        <w:pStyle w:val="BodyText"/>
      </w:pPr>
      <w:r>
        <w:rPr>
          <w:bCs/>
          <w:b/>
        </w:rPr>
        <w:t xml:space="preserve">(2)</w:t>
      </w:r>
      <w:r>
        <w:t xml:space="preserve"> </w:t>
      </w:r>
      <w:r>
        <w:t xml:space="preserve">A binary indicator is_frozen is constructed, equal to one if the current month’s index value equals the prior month’s value.</w:t>
      </w:r>
    </w:p>
    <w:p>
      <w:pPr>
        <w:pStyle w:val="BodyText"/>
      </w:pPr>
      <w:r>
        <w:rPr>
          <w:bCs/>
          <w:b/>
        </w:rPr>
        <w:t xml:space="preserve">(3)</w:t>
      </w:r>
      <w:r>
        <w:t xml:space="preserve"> </w:t>
      </w:r>
      <w:r>
        <w:t xml:space="preserve">The last date on which the index moved is identified for each fund.</w:t>
      </w:r>
    </w:p>
    <w:p>
      <w:pPr>
        <w:pStyle w:val="BodyText"/>
      </w:pPr>
      <w:r>
        <w:rPr>
          <w:bCs/>
          <w:b/>
        </w:rPr>
        <w:t xml:space="preserve">(4)</w:t>
      </w:r>
      <w:r>
        <w:t xml:space="preserve"> </w:t>
      </w:r>
      <w:r>
        <w:t xml:space="preserve">The length of the terminal frozen block — the count of is_frozen observations strictly after the last movement date — is computed for each fund.</w:t>
      </w:r>
    </w:p>
    <w:p>
      <w:pPr>
        <w:pStyle w:val="BodyText"/>
      </w:pPr>
      <w:r>
        <w:rPr>
          <w:bCs/>
          <w:b/>
        </w:rPr>
        <w:t xml:space="preserve">(5)</w:t>
      </w:r>
      <w:r>
        <w:t xml:space="preserve"> </w:t>
      </w:r>
      <w:r>
        <w:t xml:space="preserve">The terminal frozen block is removed</w:t>
      </w:r>
      <w:r>
        <w:t xml:space="preserve"> </w:t>
      </w:r>
      <w:r>
        <w:rPr>
          <w:bCs/>
          <w:b/>
        </w:rPr>
        <w:t xml:space="preserve">only if its length is at least two</w:t>
      </w:r>
      <w:r>
        <w:t xml:space="preserve"> </w:t>
      </w:r>
      <w:r>
        <w:t xml:space="preserve">(equivalently, at least three consecutive identical index values at the tail). Once this threshold is met, deletion begins at the first repeated value.</w:t>
      </w:r>
    </w:p>
    <w:p>
      <w:pPr>
        <w:pStyle w:val="BodyText"/>
      </w:pPr>
      <w:r>
        <w:t xml:space="preserve">The minimum run-length threshold of two protects against false positives. A fund that happens to return exactly 0% in its final active month would produce a single terminal frozen observation, which falls below the threshold and is therefore retained. Funds subject to genuine LSEG carry — which is indefinite and therefore always produces a terminal run well exceeding the threshold — are correctly identified and trimmed from the first repeated value onward.</w:t>
      </w:r>
    </w:p>
    <w:p>
      <w:pPr>
        <w:pStyle w:val="BodyText"/>
      </w:pPr>
      <w:r>
        <w:rPr>
          <w:bCs/>
          <w:b/>
        </w:rPr>
        <w:t xml:space="preserve">Known limitation:</w:t>
      </w:r>
      <w:r>
        <w:t xml:space="preserve"> </w:t>
      </w:r>
      <w:r>
        <w:t xml:space="preserve">Funds that cease activity within two months of December 2023 (the end of the data pull) may retain one to two carried observations, as the LSEG carry sequence is truncated by the data pull before reaching the three-repeat threshold. This affects at most two terminal observations per affected fund and cannot materially influence panel-level regression estimates.</w:t>
      </w:r>
    </w:p>
    <w:p>
      <w:pPr>
        <w:pStyle w:val="BodyText"/>
      </w:pPr>
      <w:r>
        <w:t xml:space="preserve">This algorithm does not remove legitimate mid-life identical consecutive returns. Only confirmed terminal frozen blocks are excised. As a byproduct, an effective closure date table is produced for each fund.</w:t>
      </w:r>
    </w:p>
    <w:bookmarkEnd w:id="23"/>
    <w:bookmarkStart w:id="24" w:name="synchronisation-of-companion-series"/>
    <w:p>
      <w:pPr>
        <w:pStyle w:val="Heading2"/>
      </w:pPr>
      <w:r>
        <w:rPr>
          <w:bCs/>
          <w:b/>
        </w:rPr>
        <w:t xml:space="preserve">3.3 Synchronisation of Companion Series</w:t>
      </w:r>
    </w:p>
    <w:p>
      <w:pPr>
        <w:pStyle w:val="FirstParagraph"/>
      </w:pPr>
      <w:r>
        <w:t xml:space="preserve">All companion series — net return index, tracking difference, net assets, share class assets, total assets, number of shares outstanding, and fund flow — are synchronised to the cleaned return timeline via a semi-join on (Ticker, date).</w:t>
      </w:r>
    </w:p>
    <w:bookmarkEnd w:id="24"/>
    <w:bookmarkEnd w:id="25"/>
    <w:bookmarkStart w:id="26" w:name="Xc4df0f18bb90eee93fe8213e736a8fb0960b723"/>
    <w:p>
      <w:pPr>
        <w:pStyle w:val="Heading1"/>
      </w:pPr>
      <w:r>
        <w:rPr>
          <w:bCs/>
          <w:b/>
        </w:rPr>
        <w:t xml:space="preserve">4. Cleaning Step 2: Exclusion of Funds with No Valid Return Observations</w:t>
      </w:r>
    </w:p>
    <w:p>
      <w:pPr>
        <w:pStyle w:val="FirstParagraph"/>
      </w:pPr>
      <w:r>
        <w:t xml:space="preserve">Following frozen tail removal, funds with no remaining valid gross return observations are permanently excluded. In the present sample,</w:t>
      </w:r>
      <w:r>
        <w:t xml:space="preserve"> </w:t>
      </w:r>
      <w:r>
        <w:rPr>
          <w:bCs/>
          <w:b/>
        </w:rPr>
        <w:t xml:space="preserve">29 funds</w:t>
      </w:r>
      <w:r>
        <w:t xml:space="preserve"> </w:t>
      </w:r>
      <w:r>
        <w:t xml:space="preserve">are eliminated. After this exclusion, the working sample consists of</w:t>
      </w:r>
      <w:r>
        <w:t xml:space="preserve"> </w:t>
      </w:r>
      <w:r>
        <w:rPr>
          <w:bCs/>
          <w:b/>
        </w:rPr>
        <w:t xml:space="preserve">3,735 fund share classes</w:t>
      </w:r>
      <w:r>
        <w:t xml:space="preserve">.</w:t>
      </w:r>
    </w:p>
    <w:bookmarkEnd w:id="26"/>
    <w:bookmarkStart w:id="27" w:name="X71f8da8ebc0e368b0e1c97272c6054b6a36fdec"/>
    <w:p>
      <w:pPr>
        <w:pStyle w:val="Heading1"/>
      </w:pPr>
      <w:r>
        <w:rPr>
          <w:bCs/>
          <w:b/>
        </w:rPr>
        <w:t xml:space="preserve">5. Cleaning Step 3: Exclusion of Funds with Confirmed Data Errors</w:t>
      </w:r>
    </w:p>
    <w:p>
      <w:pPr>
        <w:pStyle w:val="FirstParagraph"/>
      </w:pPr>
      <w:r>
        <w:t xml:space="preserve">A systematic review of the cross-sectional distribution of fund-level return statistics identified two funds with confirmed data errors in the LSEG return index series. These funds are excluded from all panels and analyses.</w:t>
      </w:r>
    </w:p>
    <w:p>
      <w:pPr>
        <w:pStyle w:val="BodyText"/>
      </w:pPr>
      <w:r>
        <w:rPr>
          <w:bCs/>
          <w:b/>
        </w:rPr>
        <w:t xml:space="preserve">QWVOX US Equity</w:t>
      </w:r>
      <w:r>
        <w:t xml:space="preserve">: The gross total return index for this fund reaches 113,446 by the end of the sample period, starting from a base value of 1 in December 1994. This implies a cumulative return exceeding 11,000,000% — impossible for any US domestic equity mutual fund. The pattern is consistent with an index scaling or base value error in the LSEG data feed. The fund exhibits excess kurtosis of 91.6 in monthly returns, confirming the anomalous nature of the series.</w:t>
      </w:r>
    </w:p>
    <w:p>
      <w:pPr>
        <w:pStyle w:val="BodyText"/>
      </w:pPr>
      <w:r>
        <w:rPr>
          <w:bCs/>
          <w:b/>
        </w:rPr>
        <w:t xml:space="preserve">VALLCEN US Equity</w:t>
      </w:r>
      <w:r>
        <w:t xml:space="preserve">: This fund records a single-month gross return of −75.9% in April 2022. During this month, the S&amp;P 500 declined approximately 8.7% — a substantial but not catastrophic drawdown. The fund held approximately $152 million in assets and had no documented leverage or derivative overlay that could produce a return of this magnitude. The observation is consistent with a data feed error in the LSEG return index. All other monthly returns for this fund are within plausible ranges (maximum drawdown in other months: −20.2% in October 2008).</w:t>
      </w:r>
    </w:p>
    <w:p>
      <w:pPr>
        <w:pStyle w:val="BodyText"/>
      </w:pPr>
      <w:r>
        <w:t xml:space="preserve">Both funds are recorded in the exclusion registry (flagged_funds.xlsx) under the DATA_ERROR flag and are excluded prior to panel assembly.</w:t>
      </w:r>
    </w:p>
    <w:bookmarkEnd w:id="27"/>
    <w:bookmarkStart w:id="31" w:name="X968364036523625b7c8dfa2c76372957e3679f2"/>
    <w:p>
      <w:pPr>
        <w:pStyle w:val="Heading1"/>
      </w:pPr>
      <w:r>
        <w:rPr>
          <w:bCs/>
          <w:b/>
        </w:rPr>
        <w:t xml:space="preserve">6. Cleaning Step 4: Evans (2010) Incubation Bias Correction</w:t>
      </w:r>
    </w:p>
    <w:bookmarkStart w:id="28" w:name="the-incubation-bias"/>
    <w:p>
      <w:pPr>
        <w:pStyle w:val="Heading2"/>
      </w:pPr>
      <w:r>
        <w:rPr>
          <w:bCs/>
          <w:b/>
        </w:rPr>
        <w:t xml:space="preserve">6.1 The Incubation Bias</w:t>
      </w:r>
    </w:p>
    <w:p>
      <w:pPr>
        <w:pStyle w:val="FirstParagraph"/>
      </w:pPr>
      <w:r>
        <w:t xml:space="preserve">Mutual fund incubation is a strategy whereby fund families privately seed multiple new funds and, after an evaluation period, selectively open to the public only those that have performed well. Evans (2010) documents that incubated funds outperform non-incubated funds by approximately 3.5% per annum on a risk-adjusted basis during the incubation period, with this outperformance fully reversing post-incubation. The inclusion of incubation-period returns in fund databases imparts a systematic upward bias to measured average fund performance.</w:t>
      </w:r>
    </w:p>
    <w:p>
      <w:pPr>
        <w:pStyle w:val="BodyText"/>
      </w:pPr>
      <w:r>
        <w:t xml:space="preserve">Evans (2010) demonstrates that a TNA filter of $25 million removes only 47% of incubated funds while excluding 24% of non-incubated funds with systematically worse performance, introducing its own bias.</w:t>
      </w:r>
    </w:p>
    <w:bookmarkEnd w:id="28"/>
    <w:bookmarkStart w:id="29" w:name="correction-method-age-filter"/>
    <w:p>
      <w:pPr>
        <w:pStyle w:val="Heading2"/>
      </w:pPr>
      <w:r>
        <w:rPr>
          <w:bCs/>
          <w:b/>
        </w:rPr>
        <w:t xml:space="preserve">6.2 Correction Method: Age Filter</w:t>
      </w:r>
    </w:p>
    <w:p>
      <w:pPr>
        <w:pStyle w:val="FirstParagraph"/>
      </w:pPr>
      <w:r>
        <w:t xml:space="preserve">Evans (2010) proposes two corrections. The preferred method uses the NASD ticker creation date as a proxy for the end of incubation. However, this data is available only through CRSP and NASD repositories, to which the present study does not have access. Evans (2010) therefore also validates a more general</w:t>
      </w:r>
      <w:r>
        <w:t xml:space="preserve"> </w:t>
      </w:r>
      <w:r>
        <w:rPr>
          <w:bCs/>
          <w:b/>
        </w:rPr>
        <w:t xml:space="preserve">age filter</w:t>
      </w:r>
      <w:r>
        <w:t xml:space="preserve">: removing the first 36 months of return data for every fund. Evans (2010) shows that fewer than 5% of incubated funds remain in incubation longer than 36 months, so this threshold eliminates virtually the entire bias.</w:t>
      </w:r>
    </w:p>
    <w:p>
      <w:pPr>
        <w:pStyle w:val="BodyText"/>
      </w:pPr>
      <w:r>
        <w:t xml:space="preserve">For each fund, an Evans cutoff date is computed as the fund’s Inception Date plus 36 calendar months. Where Inception Date is missing or contains an LSEG error string, the first observed return date is used as a fallback.</w:t>
      </w:r>
    </w:p>
    <w:bookmarkEnd w:id="29"/>
    <w:bookmarkStart w:id="30" w:name="X743a57b70ad3cff43560a797c73f75b7c9c502f"/>
    <w:p>
      <w:pPr>
        <w:pStyle w:val="Heading2"/>
      </w:pPr>
      <w:r>
        <w:rPr>
          <w:bCs/>
          <w:b/>
        </w:rPr>
        <w:t xml:space="preserve">6.3 Implications for the Flow-Performance Analysis</w:t>
      </w:r>
    </w:p>
    <w:p>
      <w:pPr>
        <w:pStyle w:val="FirstParagraph"/>
      </w:pPr>
      <w:r>
        <w:t xml:space="preserve">Evans (2010) documents that including incubated fund data overstates both the positive flow-performance relationship (Sirri and Tufano, 1998) and the negative size-performance relationship (Chen et al., 2004) — two findings central to this study’s empirical framework.</w:t>
      </w:r>
    </w:p>
    <w:bookmarkEnd w:id="30"/>
    <w:bookmarkEnd w:id="31"/>
    <w:bookmarkStart w:id="32" w:name="X00710a22cbb83b4701f904b989b186912c5b412"/>
    <w:p>
      <w:pPr>
        <w:pStyle w:val="Heading1"/>
      </w:pPr>
      <w:r>
        <w:rPr>
          <w:bCs/>
          <w:b/>
        </w:rPr>
        <w:t xml:space="preserve">7. Cleaning Step 5: Winsorisation of Monthly Returns</w:t>
      </w:r>
    </w:p>
    <w:p>
      <w:pPr>
        <w:pStyle w:val="FirstParagraph"/>
      </w:pPr>
      <w:r>
        <w:t xml:space="preserve">Monthly percentage returns — computed as Indexₜ / Indexₜ₋₁ − 1 from the gross and net total return index levels — are winsorised at the 1st and 99th percentiles across all fund-month observations. This is applied after the exclusion of confirmed data error funds and after return computation.</w:t>
      </w:r>
    </w:p>
    <w:p>
      <w:pPr>
        <w:pStyle w:val="BodyText"/>
      </w:pPr>
      <w:r>
        <w:t xml:space="preserve">Winsorisation is standard practice in the mutual fund literature. Carhart (1997) and Fama and French (2010) both apply return winsorisation to address extreme values arising from leveraged fund blow-ups, illiquid pricing anomalies, and residual data errors that survive earlier cleaning steps. The 1st/99th percentile threshold is the most common choice in the literature and is applied symmetrically to both tails.</w:t>
      </w:r>
    </w:p>
    <w:p>
      <w:pPr>
        <w:pStyle w:val="BodyText"/>
      </w:pPr>
      <w:r>
        <w:rPr>
          <w:bCs/>
          <w:b/>
        </w:rPr>
        <w:t xml:space="preserve">Raw return preservation:</w:t>
      </w:r>
      <w:r>
        <w:t xml:space="preserve"> </w:t>
      </w:r>
      <w:r>
        <w:t xml:space="preserve">The unwinsorised gross and net returns (ret_gross_raw, ret_net_raw) are retained on the panel alongside the winsorised versions (ret_gross, ret_net). This is necessary because the Sirri-Tufano flow identity — Flowₜ = TNAₜ − TNAₜ₋₁ × (1 + Rₜ) — is an accounting identity, not a statistical model. Substituting a winsorised return into this formula would produce fictitious asset growth and systematically biased flow estimates, particularly in months where genuine extreme returns occur. Winsorisation of returns is therefore applied only in the performance measurement and regression contexts, not in the construction of fund flow variables.</w:t>
      </w:r>
    </w:p>
    <w:p>
      <w:pPr>
        <w:pStyle w:val="BodyText"/>
      </w:pPr>
      <w:r>
        <w:t xml:space="preserve">Fund flow variables are winsorised separately at the same percentile threshold within the flow calculation script, following Sirri and Tufano (1998). December fund flow observations are excluded from winsorisation and from all flow analyses due to the well-documented year-end capital gains distribution artifact in LSEG-reported flow data.</w:t>
      </w:r>
    </w:p>
    <w:bookmarkEnd w:id="32"/>
    <w:bookmarkStart w:id="38" w:name="Xd8bd9c32d5911e84ed96e09b74a587b76cccb7e"/>
    <w:p>
      <w:pPr>
        <w:pStyle w:val="Heading1"/>
      </w:pPr>
      <w:r>
        <w:rPr>
          <w:bCs/>
          <w:b/>
        </w:rPr>
        <w:t xml:space="preserve">8. Cleaning Step 6: Exclusion of Leveraged and Derivative-Based Products from the Passive Universe</w:t>
      </w:r>
    </w:p>
    <w:bookmarkStart w:id="33" w:name="the-problem-1"/>
    <w:p>
      <w:pPr>
        <w:pStyle w:val="Heading2"/>
      </w:pPr>
      <w:r>
        <w:rPr>
          <w:bCs/>
          <w:b/>
        </w:rPr>
        <w:t xml:space="preserve">8.1 The Problem</w:t>
      </w:r>
    </w:p>
    <w:p>
      <w:pPr>
        <w:pStyle w:val="FirstParagraph"/>
      </w:pPr>
      <w:r>
        <w:t xml:space="preserve">A diagnostic query identified 30 passive funds with annual turnover exceeding 200%, with values ranging from 205% to 3,996%. Manual review confirmed all 30 to be leveraged or derivative-based mutual funds: Rydex 2× Strategy funds, ProFunds UltraSector products, and Direxion Bull products. These funds are classified as passive by LSEG (Actively_Managed_New = N) because they mechanically track an index. However, their economic character is categorically different from conventional long-only index funds.</w:t>
      </w:r>
    </w:p>
    <w:p>
      <w:pPr>
        <w:pStyle w:val="BodyText"/>
      </w:pPr>
      <w:r>
        <w:t xml:space="preserve">These products deliver a constant daily leverage multiple — typically 1.25×, 1.5×, or 2× the index return — by holding equity swaps or futures contracts and resetting the exposure every business day. Daily resetting generates annual portfolio turnover of 200%–4,000%, compared with 5%–30% for conventional index funds. More importantly, the daily-reset mechanism introduces path dependency: for a 2× fund, the expected return over any horizon longer than one day is 2× the index return minus a variance drag equal to the index variance scaled by the leverage factor. This</w:t>
      </w:r>
      <w:r>
        <w:t xml:space="preserve"> </w:t>
      </w:r>
      <w:r>
        <w:t xml:space="preserve">“</w:t>
      </w:r>
      <w:r>
        <w:t xml:space="preserve">volatility decay</w:t>
      </w:r>
      <w:r>
        <w:t xml:space="preserve">”</w:t>
      </w:r>
      <w:r>
        <w:t xml:space="preserve"> </w:t>
      </w:r>
      <w:r>
        <w:t xml:space="preserve">(Avellaneda and Zhang, 2010) causes leveraged funds to persistently underperform their stated multiple over multi-year holding periods, even in rising markets. Including these funds in the passive fee-quintile analysis contaminated the high-fee passive quintile (Q5) with anomalously low returns and extreme turnover values, producing results that are uninterpretable in the context of a fee-performance comparison.</w:t>
      </w:r>
    </w:p>
    <w:bookmarkEnd w:id="33"/>
    <w:bookmarkStart w:id="34" w:name="exclusion-criteria"/>
    <w:p>
      <w:pPr>
        <w:pStyle w:val="Heading2"/>
      </w:pPr>
      <w:r>
        <w:rPr>
          <w:bCs/>
          <w:b/>
        </w:rPr>
        <w:t xml:space="preserve">8.2 Exclusion Criteria</w:t>
      </w:r>
    </w:p>
    <w:p>
      <w:pPr>
        <w:pStyle w:val="FirstParagraph"/>
      </w:pPr>
      <w:r>
        <w:t xml:space="preserve">Three exclusion criteria are applied to the Passive group only:</w:t>
      </w:r>
    </w:p>
    <w:p>
      <w:pPr>
        <w:pStyle w:val="BodyText"/>
      </w:pPr>
      <w:r>
        <w:rPr>
          <w:bCs/>
          <w:b/>
        </w:rPr>
        <w:t xml:space="preserve">(a) Keyword filter on fund name.</w:t>
      </w:r>
      <w:r>
        <w:t xml:space="preserve"> </w:t>
      </w:r>
      <w:r>
        <w:t xml:space="preserve">Funds whose name contains any of the following strings are excluded:</w:t>
      </w:r>
      <w:r>
        <w:t xml:space="preserve"> </w:t>
      </w:r>
      <w:r>
        <w:t xml:space="preserve">“</w:t>
      </w:r>
      <w:r>
        <w:t xml:space="preserve">2x</w:t>
      </w:r>
      <w:r>
        <w:t xml:space="preserve">”</w:t>
      </w:r>
      <w:r>
        <w:t xml:space="preserve">,</w:t>
      </w:r>
      <w:r>
        <w:t xml:space="preserve"> </w:t>
      </w:r>
      <w:r>
        <w:t xml:space="preserve">“</w:t>
      </w:r>
      <w:r>
        <w:t xml:space="preserve">3x</w:t>
      </w:r>
      <w:r>
        <w:t xml:space="preserve">”</w:t>
      </w:r>
      <w:r>
        <w:t xml:space="preserve">,</w:t>
      </w:r>
      <w:r>
        <w:t xml:space="preserve"> </w:t>
      </w:r>
      <w:r>
        <w:t xml:space="preserve">“</w:t>
      </w:r>
      <w:r>
        <w:t xml:space="preserve">1.5x</w:t>
      </w:r>
      <w:r>
        <w:t xml:space="preserve">”</w:t>
      </w:r>
      <w:r>
        <w:t xml:space="preserve">,</w:t>
      </w:r>
      <w:r>
        <w:t xml:space="preserve"> </w:t>
      </w:r>
      <w:r>
        <w:t xml:space="preserve">“</w:t>
      </w:r>
      <w:r>
        <w:t xml:space="preserve">ultra</w:t>
      </w:r>
      <w:r>
        <w:t xml:space="preserve">”</w:t>
      </w:r>
      <w:r>
        <w:t xml:space="preserve">,</w:t>
      </w:r>
      <w:r>
        <w:t xml:space="preserve"> </w:t>
      </w:r>
      <w:r>
        <w:t xml:space="preserve">“</w:t>
      </w:r>
      <w:r>
        <w:t xml:space="preserve">inverse</w:t>
      </w:r>
      <w:r>
        <w:t xml:space="preserve">”</w:t>
      </w:r>
      <w:r>
        <w:t xml:space="preserve">,</w:t>
      </w:r>
      <w:r>
        <w:t xml:space="preserve"> </w:t>
      </w:r>
      <w:r>
        <w:t xml:space="preserve">“</w:t>
      </w:r>
      <w:r>
        <w:t xml:space="preserve">bear market</w:t>
      </w:r>
      <w:r>
        <w:t xml:space="preserve">”</w:t>
      </w:r>
      <w:r>
        <w:t xml:space="preserve">,</w:t>
      </w:r>
      <w:r>
        <w:t xml:space="preserve"> </w:t>
      </w:r>
      <w:r>
        <w:t xml:space="preserve">“</w:t>
      </w:r>
      <w:r>
        <w:t xml:space="preserve">bull 1</w:t>
      </w:r>
      <w:r>
        <w:t xml:space="preserve">”</w:t>
      </w:r>
      <w:r>
        <w:t xml:space="preserve"> </w:t>
      </w:r>
      <w:r>
        <w:t xml:space="preserve">(capturing Direxion</w:t>
      </w:r>
      <w:r>
        <w:t xml:space="preserve"> </w:t>
      </w:r>
      <w:r>
        <w:t xml:space="preserve">“</w:t>
      </w:r>
      <w:r>
        <w:t xml:space="preserve">Bull 125</w:t>
      </w:r>
      <w:r>
        <w:t xml:space="preserve">”</w:t>
      </w:r>
      <w:r>
        <w:t xml:space="preserve">,</w:t>
      </w:r>
      <w:r>
        <w:t xml:space="preserve"> </w:t>
      </w:r>
      <w:r>
        <w:t xml:space="preserve">“</w:t>
      </w:r>
      <w:r>
        <w:t xml:space="preserve">Bull 150</w:t>
      </w:r>
      <w:r>
        <w:t xml:space="preserve">”</w:t>
      </w:r>
      <w:r>
        <w:t xml:space="preserve">, etc.),</w:t>
      </w:r>
      <w:r>
        <w:t xml:space="preserve"> </w:t>
      </w:r>
      <w:r>
        <w:t xml:space="preserve">“</w:t>
      </w:r>
      <w:r>
        <w:t xml:space="preserve">profund</w:t>
      </w:r>
      <w:r>
        <w:t xml:space="preserve">”</w:t>
      </w:r>
      <w:r>
        <w:t xml:space="preserve"> </w:t>
      </w:r>
      <w:r>
        <w:t xml:space="preserve">(all ProFunds share classes in this universe are leveraged). Matching is case-insensitive. The keyword</w:t>
      </w:r>
      <w:r>
        <w:t xml:space="preserve"> </w:t>
      </w:r>
      <w:r>
        <w:t xml:space="preserve">“</w:t>
      </w:r>
      <w:r>
        <w:t xml:space="preserve">plus</w:t>
      </w:r>
      <w:r>
        <w:t xml:space="preserve">”</w:t>
      </w:r>
      <w:r>
        <w:t xml:space="preserve"> </w:t>
      </w:r>
      <w:r>
        <w:t xml:space="preserve">was considered but excluded from the filter because it appears in many conventional long-only fund names.</w:t>
      </w:r>
    </w:p>
    <w:p>
      <w:pPr>
        <w:pStyle w:val="BodyText"/>
      </w:pPr>
      <w:r>
        <w:rPr>
          <w:bCs/>
          <w:b/>
        </w:rPr>
        <w:t xml:space="preserve">(b) Hard-coded misclassifications.</w:t>
      </w:r>
      <w:r>
        <w:t xml:space="preserve"> </w:t>
      </w:r>
      <w:r>
        <w:t xml:space="preserve">Two funds are excluded as active strategies misclassified as passive by LSEG: MOJAX US Equity (DF Tactical Momentum Fund, a tactical active fund) and GENDX US Equity (Gotham Enhanced Index, a long/short quantitative strategy). Both appear with Actively_Managed_New = N in LSEG static data; the classification is a confirmed data error.</w:t>
      </w:r>
    </w:p>
    <w:bookmarkEnd w:id="34"/>
    <w:bookmarkStart w:id="35" w:name="X238daf60b4008313d7aac584fe34b710d5cf286"/>
    <w:p>
      <w:pPr>
        <w:pStyle w:val="Heading2"/>
      </w:pPr>
      <w:r>
        <w:rPr>
          <w:bCs/>
          <w:b/>
        </w:rPr>
        <w:t xml:space="preserve">8.3 Explicit Retention: Rydex Pure Style Funds</w:t>
      </w:r>
    </w:p>
    <w:p>
      <w:pPr>
        <w:pStyle w:val="FirstParagraph"/>
      </w:pPr>
      <w:r>
        <w:t xml:space="preserve">Five Rydex Pure Style funds (RYAVX, RYZAX, RYAZX, RYWAX, RYAWX) match the</w:t>
      </w:r>
      <w:r>
        <w:t xml:space="preserve"> </w:t>
      </w:r>
      <w:r>
        <w:t xml:space="preserve">“</w:t>
      </w:r>
      <w:r>
        <w:t xml:space="preserve">profund</w:t>
      </w:r>
      <w:r>
        <w:t xml:space="preserve">”</w:t>
      </w:r>
      <w:r>
        <w:t xml:space="preserve"> </w:t>
      </w:r>
      <w:r>
        <w:t xml:space="preserve">exclusion keyword pattern but are explicitly retained. These are long-only, 1× products tracking S&amp;P Pure Style indices (S&amp;P 500 Pure Value, S&amp;P 500 Pure Growth, S&amp;P Small-Cap 600 Pure Value, S&amp;P Small-Cap 600 Growth, S&amp;P Mid-Cap 400 Pure Value). Their high reported turnover in LSEG reflects the reconstitution-heavy methodology of the S&amp;P Pure Style index construction, not derivative rolling. Including them in the passive universe is appropriate.</w:t>
      </w:r>
    </w:p>
    <w:bookmarkEnd w:id="35"/>
    <w:bookmarkStart w:id="36" w:name="scope"/>
    <w:p>
      <w:pPr>
        <w:pStyle w:val="Heading2"/>
      </w:pPr>
      <w:r>
        <w:rPr>
          <w:bCs/>
          <w:b/>
        </w:rPr>
        <w:t xml:space="preserve">8.4 Scope</w:t>
      </w:r>
    </w:p>
    <w:p>
      <w:pPr>
        <w:pStyle w:val="FirstParagraph"/>
      </w:pPr>
      <w:r>
        <w:t xml:space="preserve">The filter is applied to all three panels (panel_master, panel_incubation, panel_trimmed) immediately after active/passive classification. The number of passive funds removed is logged at runtime. All retained passive funds remain in the Active group unaffected.</w:t>
      </w:r>
    </w:p>
    <w:bookmarkEnd w:id="36"/>
    <w:bookmarkStart w:id="37" w:name="references"/>
    <w:p>
      <w:pPr>
        <w:pStyle w:val="Heading2"/>
      </w:pPr>
      <w:r>
        <w:rPr>
          <w:bCs/>
          <w:b/>
        </w:rPr>
        <w:t xml:space="preserve">8.5 References</w:t>
      </w:r>
    </w:p>
    <w:p>
      <w:pPr>
        <w:pStyle w:val="FirstParagraph"/>
      </w:pPr>
      <w:r>
        <w:t xml:space="preserve">The primary technical reference for volatility decay in daily-reset leveraged funds is Avellaneda and Zhang (2010). The implicit practice of excluding these products from long-only mutual fund performance analyses is consistent with Cremers and Petajisto (2009, Review of Financial Studies) and Amihud and Goyenko (2013, Review of Financial Studies).</w:t>
      </w:r>
    </w:p>
    <w:bookmarkEnd w:id="37"/>
    <w:bookmarkEnd w:id="38"/>
    <w:bookmarkStart w:id="39" w:name="output-panels"/>
    <w:p>
      <w:pPr>
        <w:pStyle w:val="Heading1"/>
      </w:pPr>
      <w:r>
        <w:rPr>
          <w:bCs/>
          <w:b/>
        </w:rPr>
        <w:t xml:space="preserve">9. Output Panels</w:t>
      </w:r>
    </w:p>
    <w:p>
      <w:pPr>
        <w:pStyle w:val="FirstParagraph"/>
      </w:pPr>
      <w:r>
        <w:t xml:space="preserve">The cleaning pipeline produces three analytically distinct panels. All six cleaning steps are applied to each panel where applicable:</w:t>
      </w:r>
    </w:p>
    <w:p>
      <w:pPr>
        <w:pStyle w:val="BodyText"/>
      </w:pPr>
      <w:r>
        <w:rPr>
          <w:bCs/>
          <w:b/>
        </w:rPr>
        <w:t xml:space="preserve">panel_master</w:t>
      </w:r>
      <w:r>
        <w:t xml:space="preserve">: Full cleaned panel after frozen tail removal, empty fund exclusion, data error exclusion, active/passive classification, and leveraged fund exclusion. No incubation correction and no date restriction. Both raw (ret_gross_raw, ret_net_raw) and unwinsorised (ret_gross, ret_net) columns are present but identical at this stage. Audit baseline.</w:t>
      </w:r>
    </w:p>
    <w:p>
      <w:pPr>
        <w:pStyle w:val="BodyText"/>
      </w:pPr>
      <w:r>
        <w:rPr>
          <w:bCs/>
          <w:b/>
        </w:rPr>
        <w:t xml:space="preserve">panel_incubation</w:t>
      </w:r>
      <w:r>
        <w:t xml:space="preserve">: Evans (2010) 36-month age filter additionally applied. Leveraged fund exclusion applied. No date restriction.</w:t>
      </w:r>
    </w:p>
    <w:p>
      <w:pPr>
        <w:pStyle w:val="BodyText"/>
      </w:pPr>
      <w:r>
        <w:rPr>
          <w:bCs/>
          <w:b/>
        </w:rPr>
        <w:t xml:space="preserve">panel_trimmed</w:t>
      </w:r>
      <w:r>
        <w:t xml:space="preserve">: Evans filter applied; panel restricted to January 1995 through December 2023 (December 1994 retained for lag computation); return winsorisation applied; leveraged fund exclusion applied. ret_gross and ret_net are winsorised versions; ret_gross_raw and ret_net_raw retain the unwinsorised values. Reserved for the panel-level H1–H4 regressions (date cap aligns with factor and sentiment series availability) and for Appendix A.2.</w:t>
      </w:r>
    </w:p>
    <w:p>
      <w:pPr>
        <w:pStyle w:val="BodyText"/>
      </w:pPr>
      <w:r>
        <w:t xml:space="preserve">Main results in the main-text tables (Tables 2, 5–13 and Figures 2–3) are reported using</w:t>
      </w:r>
      <w:r>
        <w:t xml:space="preserve"> </w:t>
      </w:r>
      <w:r>
        <w:rPr>
          <w:bCs/>
          <w:b/>
        </w:rPr>
        <w:t xml:space="preserve">panel_incubation</w:t>
      </w:r>
      <w:r>
        <w:t xml:space="preserve">. Results using panel_master are reported as the audit baseline in Appendix A. The panel_trimmed variant is retained for two purposes: (i) the panel-level regressions of Hypotheses H1–H4, where alignment with factor and sentiment series availability motivates the 1995–2023 date cap, and (ii) the sub-period analyses in Appendix D whose bootstrap/BSW machinery was initially calibrated against this panel. The descriptive statistics for panel_trimmed appear in Appendix A (Table A.2) for completeness. This is a revision from the pre-April-2026 design, under which panel_trimmed served as the primary main-text panel; the switch reflects the structural-break evidence of persistent post-2011 alpha compression (see subperiod_methodology.docx §4), which makes the 2023 truncation of panel_trimmed unnecessarily restrictive for the main-sample moments and for Section-D comparative inference.</w:t>
      </w:r>
    </w:p>
    <w:bookmarkEnd w:id="39"/>
    <w:bookmarkStart w:id="40" w:name="references-1"/>
    <w:p>
      <w:pPr>
        <w:pStyle w:val="Heading1"/>
      </w:pPr>
      <w:r>
        <w:rPr>
          <w:bCs/>
          <w:b/>
        </w:rPr>
        <w:t xml:space="preserve">10. References</w:t>
      </w:r>
    </w:p>
    <w:p>
      <w:pPr>
        <w:pStyle w:val="FirstParagraph"/>
      </w:pPr>
      <w:r>
        <w:t xml:space="preserve">Amihud, Y., &amp; Goyenko, R. (2013). Mutual fund’s R² as predictor of performance. Review of Financial Studies, 26(3), 667–694.</w:t>
      </w:r>
    </w:p>
    <w:p>
      <w:pPr>
        <w:pStyle w:val="BodyText"/>
      </w:pPr>
      <w:r>
        <w:t xml:space="preserve">Avellaneda, M., &amp; Zhang, S. (2010). Path-dependence of leveraged ETF returns. SIAM Journal on Financial Mathematics, 1(1), 586–603.</w:t>
      </w:r>
    </w:p>
    <w:p>
      <w:pPr>
        <w:pStyle w:val="BodyText"/>
      </w:pPr>
      <w:r>
        <w:t xml:space="preserve">Carhart, M. M. (1997). On persistence in mutual fund performance. Journal of Finance, 52(1), 57–82.</w:t>
      </w:r>
    </w:p>
    <w:p>
      <w:pPr>
        <w:pStyle w:val="BodyText"/>
      </w:pPr>
      <w:r>
        <w:t xml:space="preserve">Chen, J., Hong, H., Huang, M., &amp; Kubik, J. D. (2004). Does fund size erode mutual fund performance? American Economic Review, 94(5), 1276–1302.</w:t>
      </w:r>
    </w:p>
    <w:p>
      <w:pPr>
        <w:pStyle w:val="BodyText"/>
      </w:pPr>
      <w:r>
        <w:t xml:space="preserve">Cremers, K. J. M., &amp; Petajisto, A. (2009). How active is your fund manager? A new measure that predicts performance. Review of Financial Studies, 22(9), 3329–3365.</w:t>
      </w:r>
    </w:p>
    <w:p>
      <w:pPr>
        <w:pStyle w:val="BodyText"/>
      </w:pPr>
      <w:r>
        <w:t xml:space="preserve">Evans, R. B. (2010). Mutual fund incubation. Journal of Finance, 65(4), 1581–1611.</w:t>
      </w:r>
    </w:p>
    <w:p>
      <w:pPr>
        <w:pStyle w:val="BodyText"/>
      </w:pPr>
      <w:r>
        <w:t xml:space="preserve">Fama, E. F., &amp; French, K. R. (2010). Luck versus skill in the cross-section of mutual fund returns. Journal of Finance, 65(5), 1915–1947.</w:t>
      </w:r>
    </w:p>
    <w:p>
      <w:pPr>
        <w:pStyle w:val="BodyText"/>
      </w:pPr>
      <w:r>
        <w:t xml:space="preserve">Sirri, E. R., &amp; Tufano, P. (1998). Costly search and mutual fund flows. Journal of Finance, 53(5), 1589–1622.</w:t>
      </w:r>
    </w:p>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2026-04-18T16:47:47Z</dcterms:created>
  <dcterms:modified xsi:type="dcterms:W3CDTF">2026-04-18T16:47:47Z</dcterms:modified>
</cp:coreProperties>
</file>

<file path=docProps/custom.xml><?xml version="1.0" encoding="utf-8"?>
<Properties xmlns="http://schemas.openxmlformats.org/officeDocument/2006/custom-properties" xmlns:vt="http://schemas.openxmlformats.org/officeDocument/2006/docPropsVTypes"/>
</file>