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Since the sentiment indices are constructed and risk factors calculated</w:t>
      </w:r>
      <w:r>
        <w:t xml:space="preserve"> </w:t>
      </w:r>
      <w:r>
        <w:t xml:space="preserve">using US data, we excluded the funds whose geographic focus lies outside</w:t>
      </w:r>
      <w:r>
        <w:t xml:space="preserve"> </w:t>
      </w:r>
      <w:r>
        <w:t xml:space="preserve">the U.S or globally.</w:t>
      </w:r>
    </w:p>
    <w:p>
      <w:pPr>
        <w:pStyle w:val="BodyText"/>
      </w:pPr>
      <w:r>
        <w:t xml:space="preserve">We focused on funds that are located in the U.S and investing in US</w:t>
      </w:r>
      <w:r>
        <w:t xml:space="preserve"> </w:t>
      </w:r>
      <w:r>
        <w:t xml:space="preserve">securities.</w:t>
      </w:r>
    </w:p>
    <w:p>
      <w:pPr>
        <w:pStyle w:val="BodyText"/>
      </w:pPr>
      <w:r>
        <w:t xml:space="preserve">The factors (Carhart)and sentiment indices we use will be invalid for</w:t>
      </w:r>
      <w:r>
        <w:t xml:space="preserve"> </w:t>
      </w:r>
      <w:r>
        <w:t xml:space="preserve">funds outside our scope.</w:t>
      </w:r>
    </w:p>
    <w:p>
      <w:pPr>
        <w:pStyle w:val="BodyText"/>
      </w:pPr>
      <w:r>
        <w:t xml:space="preserve">Behavioral drivers behind fixed income and mixed fund flows would be</w:t>
      </w:r>
      <w:r>
        <w:t xml:space="preserve"> </w:t>
      </w:r>
      <w:r>
        <w:t xml:space="preserve">different to those of equity</w:t>
      </w:r>
    </w:p>
    <w:p>
      <w:pPr>
        <w:pStyle w:val="BodyText"/>
      </w:pPr>
      <w:r>
        <w:t xml:space="preserve">"Following the sample construction of Sirri &amp; Tufano (1998), Cremers &amp;</w:t>
      </w:r>
      <w:r>
        <w:t xml:space="preserve"> </w:t>
      </w:r>
      <w:r>
        <w:t xml:space="preserve">Petajisto (2009), and Fama &amp; French (2010), we restrict our universe to</w:t>
      </w:r>
      <w:r>
        <w:t xml:space="preserve"> </w:t>
      </w:r>
      <w:r>
        <w:t xml:space="preserve">diversified long-only domestic equity funds. Sector funds are excluded</w:t>
      </w:r>
      <w:r>
        <w:t xml:space="preserve"> </w:t>
      </w:r>
      <w:r>
        <w:t xml:space="preserve">as their mandated concentration creates structural benchmark mismatches</w:t>
      </w:r>
      <w:r>
        <w:t xml:space="preserve"> </w:t>
      </w:r>
      <w:r>
        <w:t xml:space="preserve">that would confound our activeness proxies (Kacperczyk et al., 2005).</w:t>
      </w:r>
      <w:r>
        <w:t xml:space="preserve"> </w:t>
      </w:r>
      <w:r>
        <w:t xml:space="preserve">Long/short and market neutral funds are excluded as leveraged and short</w:t>
      </w:r>
      <w:r>
        <w:t xml:space="preserve"> </w:t>
      </w:r>
      <w:r>
        <w:t xml:space="preserve">positions violate the arithmetic identity of Sharpe (1991) that</w:t>
      </w:r>
      <w:r>
        <w:t xml:space="preserve"> </w:t>
      </w:r>
      <w:r>
        <w:t xml:space="preserve">underpins our theoretical framework, and render Carhart (1997) factor</w:t>
      </w:r>
      <w:r>
        <w:t xml:space="preserve"> </w:t>
      </w:r>
      <w:r>
        <w:t xml:space="preserve">model interpretation unreliable (Fama &amp; French, 2010)."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2026-04-18T16:47:47Z</dcterms:created>
  <dcterms:modified xsi:type="dcterms:W3CDTF">2026-04-18T16:47:47Z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