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Glossary of Abbreviations</w:t>
      </w:r>
    </w:p>
    <w:p>
      <w:pPr>
        <w:pStyle w:val="BodyText"/>
      </w:pPr>
      <w:r>
        <w:rPr>
          <w:iCs/>
          <w:i/>
        </w:rPr>
        <w:t xml:space="preserve">PhD Dissertation — Active Management Puzzle</w:t>
      </w:r>
    </w:p>
    <w:p>
      <w:pPr>
        <w:pStyle w:val="BodyText"/>
      </w:pPr>
      <w:r>
        <w:t xml:space="preserve">Management Department, Bogazici University | March 2026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57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Statistical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Econometric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Methods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 /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2SLS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Two-Stage Least Squares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Akaike Information Criterion (model selection;</w:t>
            </w:r>
            <w:r>
              <w:t xml:space="preserve"> </w:t>
            </w:r>
            <w:r>
              <w:t xml:space="preserve">penalises log-likelihood by number of parameters)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First-Order Autoregressive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Information Criterion (Schwarz criterion;</w:t>
            </w:r>
            <w:r>
              <w:t xml:space="preserve"> </w:t>
            </w:r>
            <w:r>
              <w:t xml:space="preserve">stricter penalty on parameters than AIC)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Asset Pricing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Difference-in-Differences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Generalised Least Squares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Generalised Method of Moments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Heteroscedasticity and Autocorrelation Consistent</w:t>
            </w:r>
            <w:r>
              <w:t xml:space="preserve"> </w:t>
            </w:r>
            <w:r>
              <w:t xml:space="preserve">(standard errors)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Instrumental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Average Treatment Effect (causal estimand</w:t>
            </w:r>
            <w:r>
              <w:t xml:space="preserve"> </w:t>
            </w:r>
            <w:r>
              <w:t xml:space="preserve">identified by IV or RD designs; relevant to Morningstar</w:t>
            </w:r>
            <w:r>
              <w:t xml:space="preserve"> </w:t>
            </w:r>
            <w:r>
              <w:t xml:space="preserve">RD in Section 7.3)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Likelihood Estimation (estimation method used</w:t>
            </w:r>
            <w:r>
              <w:t xml:space="preserve"> </w:t>
            </w:r>
            <w:r>
              <w:t xml:space="preserve">in the fund-survival hazard model, Section 7.4)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Newey-West (lag-truncated HAC standard error estimator;</w:t>
            </w:r>
            <w:r>
              <w:t xml:space="preserve"> </w:t>
            </w:r>
            <w:r>
              <w:t xml:space="preserve">single-cluster alternative to two-way clustering)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Least Squares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 / RDD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Regression Discontinuity (Design)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Inflation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Least Squares</w:t>
            </w:r>
          </w:p>
        </w:tc>
      </w:tr>
    </w:tbl>
    <w:p/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57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Asset Pricing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Factor Models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 /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Arbitrage Pricing Theory (Ross, 1976); factor-based</w:t>
            </w:r>
            <w:r>
              <w:t xml:space="preserve"> </w:t>
            </w:r>
            <w:r>
              <w:t xml:space="preserve">alternative to CAPM underpinning multifactor return</w:t>
            </w:r>
            <w:r>
              <w:t xml:space="preserve"> </w:t>
            </w:r>
            <w:r>
              <w:t xml:space="preserve">decomposition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 Under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Asset Pricing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Fama-French Three-Factor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Fama-French Five-Factor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High-Minus-Low (value factor, Fama-French)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Ratio (annualised alpha divided by tracking</w:t>
            </w:r>
            <w:r>
              <w:t xml:space="preserve"> </w:t>
            </w:r>
            <w:r>
              <w:t xml:space="preserve">error; risk-adjusted active return measure)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Excess Return Factor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Momentum Factor (Carhart)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Asset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of Determination (also: goodness-of-fit</w:t>
            </w:r>
            <w:r>
              <w:t xml:space="preserve"> </w:t>
            </w:r>
            <w:r>
              <w:t xml:space="preserve">statistic)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Robust-Minus-Weak (profitability factor, FF5)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Conservative-Minus-Aggressive (investment factor, FF5)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Small-Minus-Big (size factor, Fama-French)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 Ratio (excess return per unit of total</w:t>
            </w:r>
            <w:r>
              <w:t xml:space="preserve"> </w:t>
            </w:r>
            <w:r>
              <w:t xml:space="preserve">volatility; William Sharpe, 1966)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Net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Up-Minus-Down (momentum factor, alternative notation</w:t>
            </w:r>
            <w:r>
              <w:t xml:space="preserve"> </w:t>
            </w:r>
            <w:r>
              <w:t xml:space="preserve">for MOM)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Winners-Minus-Losers (momentum factor, alternative</w:t>
            </w:r>
            <w:r>
              <w:t xml:space="preserve"> </w:t>
            </w:r>
            <w:r>
              <w:t xml:space="preserve">notation)</w:t>
            </w:r>
          </w:p>
        </w:tc>
      </w:tr>
    </w:tbl>
    <w:p/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57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 &amp; Market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Measures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 /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Share (Cremers &amp; Petajisto, 2009)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Share Proxy: 1 − R² from rolling Carhart</w:t>
            </w:r>
            <w:r>
              <w:t xml:space="preserve"> </w:t>
            </w:r>
            <w:r>
              <w:t xml:space="preserve">regression (Amihud &amp; Goyenko, 2013)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ASSkew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Share Proxy: Rolling 36-month return skewness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Baker-Wurgler (Sentiment Index)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Call-to-Put Ratio (CBOE equity options; H2 robustness</w:t>
            </w:r>
            <w:r>
              <w:t xml:space="preserve"> </w:t>
            </w:r>
            <w:r>
              <w:t xml:space="preserve">proxy)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 / ExpR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Expense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Flow-Performance Relationship (the central empirical</w:t>
            </w:r>
            <w:r>
              <w:t xml:space="preserve"> </w:t>
            </w:r>
            <w:r>
              <w:t xml:space="preserve">regularity of the fund flow literature; non-linear</w:t>
            </w:r>
            <w:r>
              <w:t xml:space="preserve"> </w:t>
            </w:r>
            <w:r>
              <w:t xml:space="preserve">relationship between past performance rank and</w:t>
            </w:r>
            <w:r>
              <w:t xml:space="preserve"> </w:t>
            </w:r>
            <w:r>
              <w:t xml:space="preserve">subsequent net flows)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 / ΔMD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 Debt / Year-over-Year Change in Margin Debt</w:t>
            </w:r>
            <w:r>
              <w:t xml:space="preserve"> </w:t>
            </w:r>
            <w:r>
              <w:t xml:space="preserve">(FINRA)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Baker-Wurgler Investor Sentiment Index (orthogonalised)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Morningstar Star Rating (1–5)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Error (standard deviation of fund excess</w:t>
            </w:r>
            <w:r>
              <w:t xml:space="preserve"> </w:t>
            </w:r>
            <w:r>
              <w:t xml:space="preserve">return vs. benchmark)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Turnover Ratio (fund-level or market-wide share</w:t>
            </w:r>
            <w:r>
              <w:t xml:space="preserve"> </w:t>
            </w:r>
            <w:r>
              <w:t xml:space="preserve">turnover)</w:t>
            </w:r>
          </w:p>
        </w:tc>
      </w:tr>
    </w:tbl>
    <w:p/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57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Databases &amp; 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Sources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 /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 quarterly institutional holdings disclosure; the</w:t>
            </w:r>
            <w:r>
              <w:t xml:space="preserve"> </w:t>
            </w:r>
            <w:r>
              <w:t xml:space="preserve">regulatory filing underlying the Thomson Reuters s12</w:t>
            </w:r>
            <w:r>
              <w:t xml:space="preserve"> </w:t>
            </w:r>
            <w:r>
              <w:t xml:space="preserve">database and MFLINKS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Chicago Board Options Exchange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for Research in Security Prices</w:t>
            </w:r>
            <w:r>
              <w:t xml:space="preserve"> </w:t>
            </w:r>
            <w:r>
              <w:t xml:space="preserve">(Survivor-Bias-Free Mutual Fund Database)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Data Gathering, Analysis, and Retrieval</w:t>
            </w:r>
            <w:r>
              <w:t xml:space="preserve"> </w:t>
            </w:r>
            <w:r>
              <w:t xml:space="preserve">system (SEC filing database)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Industry Regulatory Authority (source for</w:t>
            </w:r>
            <w:r>
              <w:t xml:space="preserve"> </w:t>
            </w:r>
            <w:r>
              <w:t xml:space="preserve">margin debt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London Stock Exchange Group (formerly Refinitiv; data</w:t>
            </w:r>
            <w:r>
              <w:t xml:space="preserve"> </w:t>
            </w:r>
            <w:r>
              <w:t xml:space="preserve">platform used in this study)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MFLINKS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linking CRSP mutual fund records to Thomson</w:t>
            </w:r>
            <w:r>
              <w:t xml:space="preserve"> </w:t>
            </w:r>
            <w:r>
              <w:t xml:space="preserve">Reuters holdings (13F)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Reuters Instrument Code (Refinitiv/LSEG security</w:t>
            </w:r>
            <w:r>
              <w:t xml:space="preserve"> </w:t>
            </w:r>
            <w:r>
              <w:t xml:space="preserve">identifier)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Thomson Reuters Mutual Fund Holdings Database</w:t>
            </w:r>
            <w:r>
              <w:t xml:space="preserve"> </w:t>
            </w:r>
            <w:r>
              <w:t xml:space="preserve">(13F-based)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U.S. Securities and Exchange Commission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CBOE Volatility Index (market-implied 30-day equity</w:t>
            </w:r>
            <w:r>
              <w:t xml:space="preserve"> </w:t>
            </w:r>
            <w:r>
              <w:t xml:space="preserve">volatility; fear gauge; robustness proxy for investor</w:t>
            </w:r>
            <w:r>
              <w:t xml:space="preserve"> </w:t>
            </w:r>
            <w:r>
              <w:t xml:space="preserve">sentiment in Section 7.5)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Wharton Research Data Services (academic data platform</w:t>
            </w:r>
            <w:r>
              <w:t xml:space="preserve"> </w:t>
            </w:r>
            <w:r>
              <w:t xml:space="preserve">hosting CRSP, Compustat, and related databases)</w:t>
            </w:r>
          </w:p>
        </w:tc>
      </w:tr>
    </w:tbl>
    <w:p/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57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Benchmark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Indices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 /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DJIA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 Jones Industrial 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Industry Classification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Investable Market Index (MSCI; covers large, mid, and</w:t>
            </w:r>
            <w:r>
              <w:t xml:space="preserve"> </w:t>
            </w:r>
            <w:r>
              <w:t xml:space="preserve">small cap)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Morgan Stanley Capital International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NDX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NASDAQ-100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1000 Growth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1000 Value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Midcap Growth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Midcap Value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3000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1000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2000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2000 Value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Russell 2000 Growth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500 Index (price return)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500 Index Total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Return (index variant inclusive of dividends)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Return (index variant excluding dividends)</w:t>
            </w:r>
          </w:p>
        </w:tc>
      </w:tr>
    </w:tbl>
    <w:p/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57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Hypothesis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Labels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 /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Sentiment-Convexity Hypothesis: high sentiment</w:t>
            </w:r>
            <w:r>
              <w:t xml:space="preserve"> </w:t>
            </w:r>
            <w:r>
              <w:t xml:space="preserve">amplifies flow-performance convexity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Disposition-Control Hypothesis: margin debt growth</w:t>
            </w:r>
            <w:r>
              <w:t xml:space="preserve"> </w:t>
            </w:r>
            <w:r>
              <w:t xml:space="preserve">attenuates outflows from losers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Lottery Demand Hypothesis: flows positively correlated</w:t>
            </w:r>
            <w:r>
              <w:t xml:space="preserve"> </w:t>
            </w:r>
            <w:r>
              <w:t xml:space="preserve">with fund distinctiveness during high-sentiment regimes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 Elasticity Hypothesis: negative flow-expense ratio</w:t>
            </w:r>
            <w:r>
              <w:t xml:space="preserve"> </w:t>
            </w:r>
            <w:r>
              <w:t xml:space="preserve">sensitivity weakens during high-sentiment regimes</w:t>
            </w:r>
          </w:p>
        </w:tc>
      </w:tr>
    </w:tbl>
    <w:p/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57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Theoretical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Conceptual Terms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 /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Management Puzzle (Gruber, 1996): persistence of</w:t>
            </w:r>
            <w:r>
              <w:t xml:space="preserve"> </w:t>
            </w:r>
            <w:r>
              <w:t xml:space="preserve">active fund flows despite aggregate underperformance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Participant (ETF creation/redemption</w:t>
            </w:r>
            <w:r>
              <w:t xml:space="preserve"> </w:t>
            </w:r>
            <w:r>
              <w:t xml:space="preserve">arbitrageur)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Berk-Green (2004) rational equilibrium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Effect (Shefrin &amp; Statman, 1985): tendency</w:t>
            </w:r>
            <w:r>
              <w:t xml:space="preserve"> </w:t>
            </w:r>
            <w:r>
              <w:t xml:space="preserve">to sell winners too early and hold losers too long; the</w:t>
            </w:r>
            <w:r>
              <w:t xml:space="preserve"> </w:t>
            </w:r>
            <w:r>
              <w:t xml:space="preserve">behavioural mechanism directly tested in H2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Delegated Sensation Seeking (contribution of this</w:t>
            </w:r>
            <w:r>
              <w:t xml:space="preserve"> </w:t>
            </w:r>
            <w:r>
              <w:t xml:space="preserve">study: lazy gamblers delegating lottery construction to</w:t>
            </w:r>
            <w:r>
              <w:t xml:space="preserve"> </w:t>
            </w:r>
            <w:r>
              <w:t xml:space="preserve">active managers)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Market Hypothesis (Fama, 1970)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Exchange-Traded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Illusion of Control (Langer, 1975)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Aversion (Kahneman &amp; Tversky, 1979): asymmetric</w:t>
            </w:r>
            <w:r>
              <w:t xml:space="preserve"> </w:t>
            </w:r>
            <w:r>
              <w:t xml:space="preserve">weighting of losses relative to equivalent gains;</w:t>
            </w:r>
            <w:r>
              <w:t xml:space="preserve"> </w:t>
            </w:r>
            <w:r>
              <w:t xml:space="preserve">foundational component of Prospect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Myopic Loss Aversion (Benartzi &amp; Thaler, 1995):</w:t>
            </w:r>
            <w:r>
              <w:t xml:space="preserve"> </w:t>
            </w:r>
            <w:r>
              <w:t xml:space="preserve">combination of loss aversion and frequent portfolio</w:t>
            </w:r>
            <w:r>
              <w:t xml:space="preserve"> </w:t>
            </w:r>
            <w:r>
              <w:t xml:space="preserve">evaluation; cited as driver of equity market</w:t>
            </w:r>
            <w:r>
              <w:t xml:space="preserve"> </w:t>
            </w:r>
            <w:r>
              <w:t xml:space="preserve">participation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Marginal Rate of Substitution (used in shadow price</w:t>
            </w:r>
            <w:r>
              <w:t xml:space="preserve"> </w:t>
            </w:r>
            <w:r>
              <w:t xml:space="preserve">derivation)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Open-End (mutual) Fund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PP / PPF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Psychological Premium Framework (central framework of</w:t>
            </w:r>
            <w:r>
              <w:t xml:space="preserve"> </w:t>
            </w:r>
            <w:r>
              <w:t xml:space="preserve">this study)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 Theory (Tversky &amp; Kahneman, 1979 / 1992)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Representativeness Heuristic (Kahneman &amp; Tversky,</w:t>
            </w:r>
            <w:r>
              <w:t xml:space="preserve"> </w:t>
            </w:r>
            <w:r>
              <w:t xml:space="preserve">1974): cognitive shortcut by which short-term past</w:t>
            </w:r>
            <w:r>
              <w:t xml:space="preserve"> </w:t>
            </w:r>
            <w:r>
              <w:t xml:space="preserve">performance is extrapolated as evidence of persistent</w:t>
            </w:r>
            <w:r>
              <w:t xml:space="preserve"> </w:t>
            </w:r>
            <w:r>
              <w:t xml:space="preserve">skill; primary mechanism behind return-chasing in H1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Price (time-varying estimate of basis points of</w:t>
            </w:r>
            <w:r>
              <w:t xml:space="preserve"> </w:t>
            </w:r>
            <w:r>
              <w:t xml:space="preserve">alpha sacrificed per unit of distinctiveness)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Sirri-Tufano (1998) piecewise regression framework</w:t>
            </w:r>
          </w:p>
        </w:tc>
      </w:tr>
    </w:tbl>
    <w:p/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57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Regression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Variables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 /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 fixed effect (absorbs time-invariant fund</w:t>
            </w:r>
            <w:r>
              <w:t xml:space="preserve"> </w:t>
            </w:r>
            <w:r>
              <w:t xml:space="preserve">characteristics)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β₁, β₂, β₃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 coefficients on R^LOW, R^MID, R^HIGH</w:t>
            </w:r>
            <w:r>
              <w:t xml:space="preserve"> </w:t>
            </w:r>
            <w:r>
              <w:t xml:space="preserve">performance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δ₁, δ₂, δ₃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coefficients: behavioral regime dummy ×</w:t>
            </w:r>
            <w:r>
              <w:t xml:space="preserve"> </w:t>
            </w:r>
            <w:r>
              <w:t xml:space="preserve">performance segment slopes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on (Activeness Proxy × Behavioral Regime</w:t>
            </w:r>
            <w:r>
              <w:t xml:space="preserve"> </w:t>
            </w:r>
            <w:r>
              <w:t xml:space="preserve">Dummy); tests 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Coefficient on (Expense Ratio × Behavioral Regime</w:t>
            </w:r>
            <w:r>
              <w:t xml:space="preserve"> </w:t>
            </w:r>
            <w:r>
              <w:t xml:space="preserve">Dummy); tests H4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coefficient on Activeness Proxy (main effect)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coefficient on Expense Ratio (main effect)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D^HIGH_t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dummy: 1 if behavioral state variable exceeds</w:t>
            </w:r>
            <w:r>
              <w:t xml:space="preserve"> </w:t>
            </w:r>
            <w:r>
              <w:t xml:space="preserve">historical 66th percentile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Flow_i,t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fund flows for fund i in month t (fractional,</w:t>
            </w:r>
            <w:r>
              <w:t xml:space="preserve"> </w:t>
            </w:r>
            <w:r>
              <w:t xml:space="preserve">winsorized 1st–99th pctile)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R^HIGH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Piecewise performance rank: max(Rank − 0.80, 0); top</w:t>
            </w:r>
            <w:r>
              <w:t xml:space="preserve"> </w:t>
            </w:r>
            <w:r>
              <w:t xml:space="preserve">quintile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R^LOW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Piecewise performance rank: min(Rank, 0.20); bottom</w:t>
            </w:r>
            <w:r>
              <w:t xml:space="preserve"> </w:t>
            </w:r>
            <w:r>
              <w:t xml:space="preserve">quintile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R^MID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Piecewise performance rank: min(Rank − R^LOW, 0.60);</w:t>
            </w:r>
            <w:r>
              <w:t xml:space="preserve"> </w:t>
            </w:r>
            <w:r>
              <w:t xml:space="preserve">middle 60%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Rank_i,t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Fractional performance rank within Lipper category,</w:t>
            </w:r>
            <w:r>
              <w:t xml:space="preserve"> </w:t>
            </w:r>
            <w:r>
              <w:t xml:space="preserve">month t</w:t>
            </w:r>
          </w:p>
        </w:tc>
      </w:tr>
    </w:tbl>
    <w:p/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57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Miscellaneous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Academic &amp;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Institutional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Form /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Association of Individual Investors (Bull-Bear</w:t>
            </w:r>
            <w:r>
              <w:t xml:space="preserve"> </w:t>
            </w:r>
            <w:r>
              <w:t xml:space="preserve">sentiment survey)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American Economic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Bogazici University (Boğaziçi Üniversitesi);</w:t>
            </w:r>
            <w:r>
              <w:t xml:space="preserve"> </w:t>
            </w:r>
            <w:r>
              <w:t xml:space="preserve">institution at which this dissertation is submitted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BÜMAD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Bogazici University, Management 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of Finance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of Financial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of Political Economy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JFQA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of Financial and Quantitative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Bureau of Economic 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Journal of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of Financial Studies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Sciences Institute (Sosyal Bilimler Enstitüsü),</w:t>
            </w:r>
            <w:r>
              <w:t xml:space="preserve"> </w:t>
            </w:r>
            <w:r>
              <w:t xml:space="preserve">Bogazici University; the graduate institute responsible</w:t>
            </w:r>
            <w:r>
              <w:t xml:space="preserve"> </w:t>
            </w:r>
            <w:r>
              <w:t xml:space="preserve">for dissertation review, revision, and final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Net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Year-over-Year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YÖK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Council of Higher Education (Yükseköğretim Kurulu);</w:t>
            </w:r>
            <w:r>
              <w:t xml:space="preserve"> </w:t>
            </w:r>
            <w:r>
              <w:t xml:space="preserve">Turkey's national higher education regulatory and</w:t>
            </w:r>
            <w:r>
              <w:t xml:space="preserve"> </w:t>
            </w:r>
            <w:r>
              <w:t xml:space="preserve">accreditation authority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This glossary covers abbreviations used across all project</w:t>
      </w:r>
      <w:r>
        <w:rPr>
          <w:iCs/>
          <w:i/>
        </w:rPr>
        <w:t xml:space="preserve"> </w:t>
      </w:r>
      <w:r>
        <w:rPr>
          <w:iCs/>
          <w:i/>
        </w:rPr>
        <w:t xml:space="preserve">documents as of March 2026. Hypothesis labels (H1–H4) reflect the</w:t>
      </w:r>
      <w:r>
        <w:rPr>
          <w:iCs/>
          <w:i/>
        </w:rPr>
        <w:t xml:space="preserve"> </w:t>
      </w:r>
      <w:r>
        <w:rPr>
          <w:iCs/>
          <w:i/>
        </w:rPr>
        <w:t xml:space="preserve">revised four-hypothesis framework in the final proposal. Notation</w:t>
      </w:r>
      <w:r>
        <w:rPr>
          <w:iCs/>
          <w:i/>
        </w:rPr>
        <w:t xml:space="preserve"> </w:t>
      </w:r>
      <w:r>
        <w:rPr>
          <w:iCs/>
          <w:i/>
        </w:rPr>
        <w:t xml:space="preserve">entries in the Regression Variables section use Unicode Greek characters</w:t>
      </w:r>
      <w:r>
        <w:rPr>
          <w:iCs/>
          <w:i/>
        </w:rPr>
        <w:t xml:space="preserve"> </w:t>
      </w:r>
      <w:r>
        <w:rPr>
          <w:iCs/>
          <w:i/>
        </w:rPr>
        <w:t xml:space="preserve">consistent with LaTeX/Overleaf rendering.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2026-04-18T16:47:48Z</dcterms:created>
  <dcterms:modified xsi:type="dcterms:W3CDTF">2026-04-18T16:47:48Z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