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Lipper Category Assignment — Methodology Note</w:t>
      </w:r>
    </w:p>
    <w:p>
      <w:pPr>
        <w:pStyle w:val="BodyText"/>
      </w:pPr>
      <w:r>
        <w:rPr>
          <w:iCs/>
          <w:i/>
        </w:rPr>
        <w:t xml:space="preserve">The Active Management Puzzle | Management Department, Bogazici University | March 2026</w:t>
      </w:r>
    </w:p>
    <w:p>
      <w:pPr>
        <w:pStyle w:val="BodyText"/>
      </w:pPr>
      <w:r>
        <w:rPr>
          <w:bCs/>
          <w:b/>
        </w:rPr>
        <w:t xml:space="preserve">1. Purpose</w:t>
      </w:r>
    </w:p>
    <w:p>
      <w:pPr>
        <w:pStyle w:val="BodyText"/>
      </w:pPr>
      <w:r>
        <w:t xml:space="preserve">Within-category performance ranking is central to the Sirri and Tufano (1998) flow-performance regression framework that underlies all four hypotheses of this dissertation. Each fund’s fractional performance rank is computed relative to other funds in the same Lipper category in the same year. This requires a Lipper category assignment for every fund in the H1/H2/H4 analysis sample.</w:t>
      </w:r>
    </w:p>
    <w:p>
      <w:pPr>
        <w:pStyle w:val="BodyText"/>
      </w:pPr>
      <w:r>
        <w:t xml:space="preserve">The LSEG Workspace static data export populates the Lipper Category field for 1,712 of the 3,764 funds in the full panel (45.5%). The remaining 2,052 funds have a missing or error value in this field. This document describes the priority-ordered procedure used to assign Lipper categories to funds where the LSEG field is absent, and documents the outcome of that procedure.</w:t>
      </w:r>
    </w:p>
    <w:p>
      <w:pPr>
        <w:pStyle w:val="BodyText"/>
      </w:pPr>
      <w:r>
        <w:rPr>
          <w:bCs/>
          <w:b/>
        </w:rPr>
        <w:t xml:space="preserve">2. Data Sources Used</w:t>
      </w:r>
    </w:p>
    <w:p>
      <w:pPr>
        <w:pStyle w:val="BodyText"/>
      </w:pPr>
      <w:r>
        <w:t xml:space="preserve">Three fields from the fund-level static data file (lipper.xlsx) are used in the assignment procedure:</w:t>
      </w:r>
    </w:p>
    <w:p>
      <w:pPr>
        <w:numPr>
          <w:ilvl w:val="0"/>
          <w:numId w:val="1001"/>
        </w:numPr>
      </w:pPr>
      <w:r>
        <w:t xml:space="preserve">LSEG Category — the authoritative Lipper classification sourced directly from LSEG Workspace static data. Used as-is where populated.</w:t>
      </w:r>
    </w:p>
    <w:p>
      <w:pPr>
        <w:numPr>
          <w:ilvl w:val="0"/>
          <w:numId w:val="1001"/>
        </w:numPr>
      </w:pPr>
      <w:r>
        <w:t xml:space="preserve">New_Benchmark — the assigned benchmark code from the benchmark assignment exercise (Benchmark_Assignment_updated.xlsx). Codes such as RLV, RUT, and RMCG uniquely identify the size-style combination of the benchmark and therefore the appropriate Lipper peer group.</w:t>
      </w:r>
    </w:p>
    <w:p>
      <w:pPr>
        <w:numPr>
          <w:ilvl w:val="0"/>
          <w:numId w:val="1001"/>
        </w:numPr>
      </w:pPr>
      <w:r>
        <w:t xml:space="preserve">Mcap_Focus and Fund_Strategy — Bloomberg static fields capturing market capitalisation focus (Large-cap, Mid-cap, Small-cap, Broad Market) and investment style (Value, Blend, Growth). Used as a fallback when neither the LSEG Category nor a specific-style benchmark code is available.</w:t>
      </w:r>
    </w:p>
    <w:p>
      <w:pPr>
        <w:pStyle w:val="FirstParagraph"/>
      </w:pPr>
      <w:r>
        <w:rPr>
          <w:bCs/>
          <w:b/>
        </w:rPr>
        <w:t xml:space="preserve">3. Assignment Priority Logic</w:t>
      </w:r>
    </w:p>
    <w:p>
      <w:pPr>
        <w:pStyle w:val="BodyText"/>
      </w:pPr>
      <w:r>
        <w:t xml:space="preserve">The following four priorities are applied in strict order. Once a fund is assigned at a given priority, lower priorities are not evaluated.</w:t>
      </w:r>
    </w:p>
    <w:p>
      <w:pPr>
        <w:pStyle w:val="BodyText"/>
      </w:pPr>
      <w:r>
        <w:rPr>
          <w:bCs/>
          <w:b/>
        </w:rPr>
        <w:t xml:space="preserve">Priority 1 — LSEG Category (Direct)</w:t>
      </w:r>
    </w:p>
    <w:p>
      <w:pPr>
        <w:pStyle w:val="BodyText"/>
      </w:pPr>
      <w:r>
        <w:t xml:space="preserve">Where the LSEG Category field is populated and contains a valid Lipper category string, the value is used directly without modification. This is the authoritative source and covers 1,712 funds. Source tag: LSEG_Direct.</w:t>
      </w:r>
    </w:p>
    <w:p>
      <w:pPr>
        <w:pStyle w:val="BodyText"/>
      </w:pPr>
      <w:r>
        <w:rPr>
          <w:bCs/>
          <w:b/>
        </w:rPr>
        <w:t xml:space="preserve">Priority 2 — Benchmark Code Map</w:t>
      </w:r>
    </w:p>
    <w:p>
      <w:pPr>
        <w:pStyle w:val="BodyText"/>
      </w:pPr>
      <w:r>
        <w:t xml:space="preserve">For the remaining 2,052 funds, the assigned benchmark code (New_Benchmark) is checked against a deterministic mapping table. Style-specific Russell and S&amp;P benchmark codes unambiguously identify the size and style characteristics of the benchmark mandate, and therefore the appropriate Lipper peer group. This mapping covers 1,541 additional funds.</w:t>
      </w:r>
    </w:p>
    <w:p>
      <w:pPr>
        <w:pStyle w:val="BodyText"/>
      </w:pPr>
      <w:r>
        <w:t xml:space="preserve">Note that the Russell 3000 broad index code (RUA) is intentionally excluded from this map. RUA is the default catch-all benchmark assigned to funds where no more specific information was available (confidence score 1 in the benchmark assignment exercise). It carries no style information and therefore cannot support an unambiguous Lipper category derivation. Funds assigned RUA as their only benchmark fall through to Priority 3 or Priority 4. Source tag: Benchmark_Map.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Code</w:t>
            </w:r>
          </w:p>
        </w:tc>
        <w:tc>
          <w:tcPr/>
          <w:p>
            <w:pPr>
              <w:pStyle w:val="Compact"/>
              <w:jc w:val="left"/>
            </w:pPr>
            <w:r>
              <w:rPr>
                <w:bCs/>
                <w:b/>
              </w:rPr>
              <w:t xml:space="preserve">Benchmark Name</w:t>
            </w:r>
          </w:p>
        </w:tc>
        <w:tc>
          <w:tcPr/>
          <w:p>
            <w:pPr>
              <w:pStyle w:val="Compact"/>
              <w:jc w:val="left"/>
            </w:pPr>
            <w:r>
              <w:rPr>
                <w:bCs/>
                <w:b/>
              </w:rPr>
              <w:t xml:space="preserve">Assigned Lipper Category</w:t>
            </w:r>
          </w:p>
        </w:tc>
      </w:tr>
      <w:tr>
        <w:tc>
          <w:tcPr/>
          <w:p>
            <w:pPr>
              <w:pStyle w:val="Compact"/>
              <w:jc w:val="left"/>
            </w:pPr>
            <w:r>
              <w:t xml:space="preserve">RLV</w:t>
            </w:r>
          </w:p>
        </w:tc>
        <w:tc>
          <w:tcPr/>
          <w:p>
            <w:pPr>
              <w:pStyle w:val="Compact"/>
              <w:jc w:val="left"/>
            </w:pPr>
            <w:r>
              <w:t xml:space="preserve">Russell 1000 Value</w:t>
            </w:r>
          </w:p>
        </w:tc>
        <w:tc>
          <w:tcPr/>
          <w:p>
            <w:pPr>
              <w:pStyle w:val="Compact"/>
              <w:jc w:val="left"/>
            </w:pPr>
            <w:r>
              <w:t xml:space="preserve">Large-Cap Value Funds</w:t>
            </w:r>
          </w:p>
        </w:tc>
      </w:tr>
      <w:tr>
        <w:tc>
          <w:tcPr/>
          <w:p>
            <w:pPr>
              <w:pStyle w:val="Compact"/>
              <w:jc w:val="left"/>
            </w:pPr>
            <w:r>
              <w:t xml:space="preserve">RUI</w:t>
            </w:r>
          </w:p>
        </w:tc>
        <w:tc>
          <w:tcPr/>
          <w:p>
            <w:pPr>
              <w:pStyle w:val="Compact"/>
              <w:jc w:val="left"/>
            </w:pPr>
            <w:r>
              <w:t xml:space="preserve">Russell 1000</w:t>
            </w:r>
          </w:p>
        </w:tc>
        <w:tc>
          <w:tcPr/>
          <w:p>
            <w:pPr>
              <w:pStyle w:val="Compact"/>
              <w:jc w:val="left"/>
            </w:pPr>
            <w:r>
              <w:t xml:space="preserve">Large-Cap Core Funds</w:t>
            </w:r>
          </w:p>
        </w:tc>
      </w:tr>
      <w:tr>
        <w:tc>
          <w:tcPr/>
          <w:p>
            <w:pPr>
              <w:pStyle w:val="Compact"/>
              <w:jc w:val="left"/>
            </w:pPr>
            <w:r>
              <w:t xml:space="preserve">RLG</w:t>
            </w:r>
          </w:p>
        </w:tc>
        <w:tc>
          <w:tcPr/>
          <w:p>
            <w:pPr>
              <w:pStyle w:val="Compact"/>
              <w:jc w:val="left"/>
            </w:pPr>
            <w:r>
              <w:t xml:space="preserve">Russell 1000 Growth</w:t>
            </w:r>
          </w:p>
        </w:tc>
        <w:tc>
          <w:tcPr/>
          <w:p>
            <w:pPr>
              <w:pStyle w:val="Compact"/>
              <w:jc w:val="left"/>
            </w:pPr>
            <w:r>
              <w:t xml:space="preserve">Large-Cap Growth Funds</w:t>
            </w:r>
          </w:p>
        </w:tc>
      </w:tr>
      <w:tr>
        <w:tc>
          <w:tcPr/>
          <w:p>
            <w:pPr>
              <w:pStyle w:val="Compact"/>
              <w:jc w:val="left"/>
            </w:pPr>
            <w:r>
              <w:t xml:space="preserve">RMCV</w:t>
            </w:r>
          </w:p>
        </w:tc>
        <w:tc>
          <w:tcPr/>
          <w:p>
            <w:pPr>
              <w:pStyle w:val="Compact"/>
              <w:jc w:val="left"/>
            </w:pPr>
            <w:r>
              <w:t xml:space="preserve">Russell Midcap Value</w:t>
            </w:r>
          </w:p>
        </w:tc>
        <w:tc>
          <w:tcPr/>
          <w:p>
            <w:pPr>
              <w:pStyle w:val="Compact"/>
              <w:jc w:val="left"/>
            </w:pPr>
            <w:r>
              <w:t xml:space="preserve">Mid-Cap Value Funds</w:t>
            </w:r>
          </w:p>
        </w:tc>
      </w:tr>
      <w:tr>
        <w:tc>
          <w:tcPr/>
          <w:p>
            <w:pPr>
              <w:pStyle w:val="Compact"/>
              <w:jc w:val="left"/>
            </w:pPr>
            <w:r>
              <w:t xml:space="preserve">RMCC</w:t>
            </w:r>
          </w:p>
        </w:tc>
        <w:tc>
          <w:tcPr/>
          <w:p>
            <w:pPr>
              <w:pStyle w:val="Compact"/>
              <w:jc w:val="left"/>
            </w:pPr>
            <w:r>
              <w:t xml:space="preserve">Russell Midcap</w:t>
            </w:r>
          </w:p>
        </w:tc>
        <w:tc>
          <w:tcPr/>
          <w:p>
            <w:pPr>
              <w:pStyle w:val="Compact"/>
              <w:jc w:val="left"/>
            </w:pPr>
            <w:r>
              <w:t xml:space="preserve">Mid-Cap Core Funds</w:t>
            </w:r>
          </w:p>
        </w:tc>
      </w:tr>
      <w:tr>
        <w:tc>
          <w:tcPr/>
          <w:p>
            <w:pPr>
              <w:pStyle w:val="Compact"/>
              <w:jc w:val="left"/>
            </w:pPr>
            <w:r>
              <w:t xml:space="preserve">RMCG</w:t>
            </w:r>
          </w:p>
        </w:tc>
        <w:tc>
          <w:tcPr/>
          <w:p>
            <w:pPr>
              <w:pStyle w:val="Compact"/>
              <w:jc w:val="left"/>
            </w:pPr>
            <w:r>
              <w:t xml:space="preserve">Russell Midcap Growth</w:t>
            </w:r>
          </w:p>
        </w:tc>
        <w:tc>
          <w:tcPr/>
          <w:p>
            <w:pPr>
              <w:pStyle w:val="Compact"/>
              <w:jc w:val="left"/>
            </w:pPr>
            <w:r>
              <w:t xml:space="preserve">Mid-Cap Growth Funds</w:t>
            </w:r>
          </w:p>
        </w:tc>
      </w:tr>
      <w:tr>
        <w:tc>
          <w:tcPr/>
          <w:p>
            <w:pPr>
              <w:pStyle w:val="Compact"/>
              <w:jc w:val="left"/>
            </w:pPr>
            <w:r>
              <w:t xml:space="preserve">RUJ</w:t>
            </w:r>
          </w:p>
        </w:tc>
        <w:tc>
          <w:tcPr/>
          <w:p>
            <w:pPr>
              <w:pStyle w:val="Compact"/>
              <w:jc w:val="left"/>
            </w:pPr>
            <w:r>
              <w:t xml:space="preserve">Russell 2000 Value</w:t>
            </w:r>
          </w:p>
        </w:tc>
        <w:tc>
          <w:tcPr/>
          <w:p>
            <w:pPr>
              <w:pStyle w:val="Compact"/>
              <w:jc w:val="left"/>
            </w:pPr>
            <w:r>
              <w:t xml:space="preserve">Small-Cap Value Funds</w:t>
            </w:r>
          </w:p>
        </w:tc>
      </w:tr>
      <w:tr>
        <w:tc>
          <w:tcPr/>
          <w:p>
            <w:pPr>
              <w:pStyle w:val="Compact"/>
              <w:jc w:val="left"/>
            </w:pPr>
            <w:r>
              <w:t xml:space="preserve">RUT</w:t>
            </w:r>
          </w:p>
        </w:tc>
        <w:tc>
          <w:tcPr/>
          <w:p>
            <w:pPr>
              <w:pStyle w:val="Compact"/>
              <w:jc w:val="left"/>
            </w:pPr>
            <w:r>
              <w:t xml:space="preserve">Russell 2000</w:t>
            </w:r>
          </w:p>
        </w:tc>
        <w:tc>
          <w:tcPr/>
          <w:p>
            <w:pPr>
              <w:pStyle w:val="Compact"/>
              <w:jc w:val="left"/>
            </w:pPr>
            <w:r>
              <w:t xml:space="preserve">Small-Cap Core Funds</w:t>
            </w:r>
          </w:p>
        </w:tc>
      </w:tr>
      <w:tr>
        <w:tc>
          <w:tcPr/>
          <w:p>
            <w:pPr>
              <w:pStyle w:val="Compact"/>
              <w:jc w:val="left"/>
            </w:pPr>
            <w:r>
              <w:t xml:space="preserve">RUO</w:t>
            </w:r>
          </w:p>
        </w:tc>
        <w:tc>
          <w:tcPr/>
          <w:p>
            <w:pPr>
              <w:pStyle w:val="Compact"/>
              <w:jc w:val="left"/>
            </w:pPr>
            <w:r>
              <w:t xml:space="preserve">Russell 2000 Growth</w:t>
            </w:r>
          </w:p>
        </w:tc>
        <w:tc>
          <w:tcPr/>
          <w:p>
            <w:pPr>
              <w:pStyle w:val="Compact"/>
              <w:jc w:val="left"/>
            </w:pPr>
            <w:r>
              <w:t xml:space="preserve">Small-Cap Growth Funds</w:t>
            </w:r>
          </w:p>
        </w:tc>
      </w:tr>
      <w:tr>
        <w:tc>
          <w:tcPr/>
          <w:p>
            <w:pPr>
              <w:pStyle w:val="Compact"/>
              <w:jc w:val="left"/>
            </w:pPr>
            <w:r>
              <w:t xml:space="preserve">RAV</w:t>
            </w:r>
          </w:p>
        </w:tc>
        <w:tc>
          <w:tcPr/>
          <w:p>
            <w:pPr>
              <w:pStyle w:val="Compact"/>
              <w:jc w:val="left"/>
            </w:pPr>
            <w:r>
              <w:t xml:space="preserve">Russell 3000 Value</w:t>
            </w:r>
          </w:p>
        </w:tc>
        <w:tc>
          <w:tcPr/>
          <w:p>
            <w:pPr>
              <w:pStyle w:val="Compact"/>
              <w:jc w:val="left"/>
            </w:pPr>
            <w:r>
              <w:t xml:space="preserve">Multi-Cap Value Funds</w:t>
            </w:r>
          </w:p>
        </w:tc>
      </w:tr>
      <w:tr>
        <w:tc>
          <w:tcPr/>
          <w:p>
            <w:pPr>
              <w:pStyle w:val="Compact"/>
              <w:jc w:val="left"/>
            </w:pPr>
            <w:r>
              <w:t xml:space="preserve">RAG</w:t>
            </w:r>
          </w:p>
        </w:tc>
        <w:tc>
          <w:tcPr/>
          <w:p>
            <w:pPr>
              <w:pStyle w:val="Compact"/>
              <w:jc w:val="left"/>
            </w:pPr>
            <w:r>
              <w:t xml:space="preserve">Russell 3000 Growth</w:t>
            </w:r>
          </w:p>
        </w:tc>
        <w:tc>
          <w:tcPr/>
          <w:p>
            <w:pPr>
              <w:pStyle w:val="Compact"/>
              <w:jc w:val="left"/>
            </w:pPr>
            <w:r>
              <w:t xml:space="preserve">Multi-Cap Growth Funds</w:t>
            </w:r>
          </w:p>
        </w:tc>
      </w:tr>
      <w:tr>
        <w:tc>
          <w:tcPr/>
          <w:p>
            <w:pPr>
              <w:pStyle w:val="Compact"/>
              <w:jc w:val="left"/>
            </w:pPr>
            <w:r>
              <w:t xml:space="preserve">R2500V</w:t>
            </w:r>
          </w:p>
        </w:tc>
        <w:tc>
          <w:tcPr/>
          <w:p>
            <w:pPr>
              <w:pStyle w:val="Compact"/>
              <w:jc w:val="left"/>
            </w:pPr>
            <w:r>
              <w:t xml:space="preserve">Russell 2500 Value</w:t>
            </w:r>
          </w:p>
        </w:tc>
        <w:tc>
          <w:tcPr/>
          <w:p>
            <w:pPr>
              <w:pStyle w:val="Compact"/>
              <w:jc w:val="left"/>
            </w:pPr>
            <w:r>
              <w:t xml:space="preserve">Multi-Cap Value Funds</w:t>
            </w:r>
          </w:p>
        </w:tc>
      </w:tr>
      <w:tr>
        <w:tc>
          <w:tcPr/>
          <w:p>
            <w:pPr>
              <w:pStyle w:val="Compact"/>
              <w:jc w:val="left"/>
            </w:pPr>
            <w:r>
              <w:t xml:space="preserve">R2500</w:t>
            </w:r>
          </w:p>
        </w:tc>
        <w:tc>
          <w:tcPr/>
          <w:p>
            <w:pPr>
              <w:pStyle w:val="Compact"/>
              <w:jc w:val="left"/>
            </w:pPr>
            <w:r>
              <w:t xml:space="preserve">Russell 2500</w:t>
            </w:r>
          </w:p>
        </w:tc>
        <w:tc>
          <w:tcPr/>
          <w:p>
            <w:pPr>
              <w:pStyle w:val="Compact"/>
              <w:jc w:val="left"/>
            </w:pPr>
            <w:r>
              <w:t xml:space="preserve">Multi-Cap Core Funds</w:t>
            </w:r>
          </w:p>
        </w:tc>
      </w:tr>
      <w:tr>
        <w:tc>
          <w:tcPr/>
          <w:p>
            <w:pPr>
              <w:pStyle w:val="Compact"/>
              <w:jc w:val="left"/>
            </w:pPr>
            <w:r>
              <w:t xml:space="preserve">R2500G</w:t>
            </w:r>
          </w:p>
        </w:tc>
        <w:tc>
          <w:tcPr/>
          <w:p>
            <w:pPr>
              <w:pStyle w:val="Compact"/>
              <w:jc w:val="left"/>
            </w:pPr>
            <w:r>
              <w:t xml:space="preserve">Russell 2500 Growth</w:t>
            </w:r>
          </w:p>
        </w:tc>
        <w:tc>
          <w:tcPr/>
          <w:p>
            <w:pPr>
              <w:pStyle w:val="Compact"/>
              <w:jc w:val="left"/>
            </w:pPr>
            <w:r>
              <w:t xml:space="preserve">Multi-Cap Growth Funds</w:t>
            </w:r>
          </w:p>
        </w:tc>
      </w:tr>
      <w:tr>
        <w:tc>
          <w:tcPr/>
          <w:p>
            <w:pPr>
              <w:pStyle w:val="Compact"/>
              <w:jc w:val="left"/>
            </w:pPr>
            <w:r>
              <w:t xml:space="preserve">MID</w:t>
            </w:r>
          </w:p>
        </w:tc>
        <w:tc>
          <w:tcPr/>
          <w:p>
            <w:pPr>
              <w:pStyle w:val="Compact"/>
              <w:jc w:val="left"/>
            </w:pPr>
            <w:r>
              <w:t xml:space="preserve">S&amp;P MidCap 400</w:t>
            </w:r>
          </w:p>
        </w:tc>
        <w:tc>
          <w:tcPr/>
          <w:p>
            <w:pPr>
              <w:pStyle w:val="Compact"/>
              <w:jc w:val="left"/>
            </w:pPr>
            <w:r>
              <w:t xml:space="preserve">Mid-Cap Core Funds</w:t>
            </w:r>
          </w:p>
        </w:tc>
      </w:tr>
      <w:tr>
        <w:tc>
          <w:tcPr/>
          <w:p>
            <w:pPr>
              <w:pStyle w:val="Compact"/>
              <w:jc w:val="left"/>
            </w:pPr>
            <w:r>
              <w:t xml:space="preserve">SML</w:t>
            </w:r>
          </w:p>
        </w:tc>
        <w:tc>
          <w:tcPr/>
          <w:p>
            <w:pPr>
              <w:pStyle w:val="Compact"/>
              <w:jc w:val="left"/>
            </w:pPr>
            <w:r>
              <w:t xml:space="preserve">S&amp;P SmallCap 600</w:t>
            </w:r>
          </w:p>
        </w:tc>
        <w:tc>
          <w:tcPr/>
          <w:p>
            <w:pPr>
              <w:pStyle w:val="Compact"/>
              <w:jc w:val="left"/>
            </w:pPr>
            <w:r>
              <w:t xml:space="preserve">Small-Cap Core Funds</w:t>
            </w:r>
          </w:p>
        </w:tc>
      </w:tr>
    </w:tbl>
    <w:p>
      <w:pPr>
        <w:pStyle w:val="BodyText"/>
      </w:pPr>
      <w:r>
        <w:rPr>
          <w:bCs/>
          <w:b/>
        </w:rPr>
        <w:t xml:space="preserve">Priority 3 — Bloomberg Field Derivation</w:t>
      </w:r>
    </w:p>
    <w:p>
      <w:pPr>
        <w:pStyle w:val="BodyText"/>
      </w:pPr>
      <w:r>
        <w:t xml:space="preserve">For funds not resolved by Priorities 1 or 2, the Bloomberg Mcap_Focus and Fund_Strategy fields are combined to construct a Lipper category label. Three sub-cases are applied in order:</w:t>
      </w:r>
    </w:p>
    <w:p>
      <w:pPr>
        <w:numPr>
          <w:ilvl w:val="0"/>
          <w:numId w:val="1002"/>
        </w:numPr>
      </w:pPr>
      <w:r>
        <w:rPr>
          <w:bCs/>
          <w:b/>
        </w:rPr>
        <w:t xml:space="preserve">3a —</w:t>
      </w:r>
      <w:r>
        <w:rPr>
          <w:bCs/>
          <w:b/>
        </w:rPr>
        <w:t xml:space="preserve"> </w:t>
      </w:r>
      <w:r>
        <w:t xml:space="preserve">Both Mcap_Focus and Fund_Strategy present (182 funds): the Lipper category is constructed as [Size Prefix] [Style Suffix] Funds, where the size prefix is derived from Mcap_Focus and the style suffix from Fund_Strategy. Source tag: Derived_McapStrat.</w:t>
      </w:r>
    </w:p>
    <w:p>
      <w:pPr>
        <w:numPr>
          <w:ilvl w:val="0"/>
          <w:numId w:val="1002"/>
        </w:numPr>
      </w:pPr>
      <w:r>
        <w:rPr>
          <w:bCs/>
          <w:b/>
        </w:rPr>
        <w:t xml:space="preserve">3b —</w:t>
      </w:r>
      <w:r>
        <w:rPr>
          <w:bCs/>
          <w:b/>
        </w:rPr>
        <w:t xml:space="preserve"> </w:t>
      </w:r>
      <w:r>
        <w:t xml:space="preserve">Mcap_Focus present, Fund_Strategy missing or not in {Value, Blend, Growth} (49 funds): the fund is assigned to the Core category for the identified size tier. The rationale is that a missing or non-standard strategy field provides no style evidence, and Core (Blend) is the modal category and the least biased default. Source tag: Derived_McapOnly.</w:t>
      </w:r>
    </w:p>
    <w:p>
      <w:pPr>
        <w:numPr>
          <w:ilvl w:val="0"/>
          <w:numId w:val="1002"/>
        </w:numPr>
      </w:pPr>
      <w:r>
        <w:rPr>
          <w:bCs/>
          <w:b/>
        </w:rPr>
        <w:t xml:space="preserve">3c —</w:t>
      </w:r>
      <w:r>
        <w:rPr>
          <w:bCs/>
          <w:b/>
        </w:rPr>
        <w:t xml:space="preserve"> </w:t>
      </w:r>
      <w:r>
        <w:t xml:space="preserve">Fund_Strategy present, Mcap_Focus missing or equal to Broad Market (175 funds): the fund is assigned to the Multi-Cap category for the identified style. Broad Market and missing Mcap fields indicate no specific size constraint, and Multi-Cap is the appropriate Lipper designation for unconstrained mandates. Source tag: Derived_StratOnly.</w:t>
      </w:r>
    </w:p>
    <w:p>
      <w:pPr>
        <w:pStyle w:val="FirstParagraph"/>
      </w:pPr>
      <w:r>
        <w:t xml:space="preserve">The complete derivation matrix for Priority 3 is shown below.</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Mcap_Focus</w:t>
            </w:r>
          </w:p>
        </w:tc>
        <w:tc>
          <w:tcPr/>
          <w:p>
            <w:pPr>
              <w:pStyle w:val="Compact"/>
              <w:jc w:val="left"/>
            </w:pPr>
            <w:r>
              <w:rPr>
                <w:bCs/>
                <w:b/>
              </w:rPr>
              <w:t xml:space="preserve">Fund_Strategy</w:t>
            </w:r>
          </w:p>
        </w:tc>
        <w:tc>
          <w:tcPr/>
          <w:p>
            <w:pPr>
              <w:pStyle w:val="Compact"/>
              <w:jc w:val="left"/>
            </w:pPr>
            <w:r>
              <w:rPr>
                <w:bCs/>
                <w:b/>
              </w:rPr>
              <w:t xml:space="preserve">Assigned Lipper Category</w:t>
            </w:r>
          </w:p>
        </w:tc>
        <w:tc>
          <w:tcPr/>
          <w:p>
            <w:pPr>
              <w:pStyle w:val="Compact"/>
              <w:jc w:val="left"/>
            </w:pPr>
            <w:r>
              <w:rPr>
                <w:bCs/>
                <w:b/>
              </w:rPr>
              <w:t xml:space="preserve">Source Tag</w:t>
            </w:r>
          </w:p>
        </w:tc>
      </w:tr>
      <w:tr>
        <w:tc>
          <w:tcPr/>
          <w:p>
            <w:pPr>
              <w:pStyle w:val="Compact"/>
              <w:jc w:val="left"/>
            </w:pPr>
            <w:r>
              <w:t xml:space="preserve">Large-cap</w:t>
            </w:r>
          </w:p>
        </w:tc>
        <w:tc>
          <w:tcPr/>
          <w:p>
            <w:pPr>
              <w:pStyle w:val="Compact"/>
              <w:jc w:val="left"/>
            </w:pPr>
            <w:r>
              <w:t xml:space="preserve">Value</w:t>
            </w:r>
          </w:p>
        </w:tc>
        <w:tc>
          <w:tcPr/>
          <w:p>
            <w:pPr>
              <w:pStyle w:val="Compact"/>
              <w:jc w:val="left"/>
            </w:pPr>
            <w:r>
              <w:t xml:space="preserve">Large-Cap Value Funds</w:t>
            </w:r>
          </w:p>
        </w:tc>
        <w:tc>
          <w:tcPr/>
          <w:p>
            <w:pPr>
              <w:pStyle w:val="Compact"/>
              <w:jc w:val="left"/>
            </w:pPr>
            <w:r>
              <w:t xml:space="preserve">Derived_McapStrat</w:t>
            </w:r>
          </w:p>
        </w:tc>
      </w:tr>
      <w:tr>
        <w:tc>
          <w:tcPr/>
          <w:p>
            <w:pPr>
              <w:pStyle w:val="Compact"/>
              <w:jc w:val="left"/>
            </w:pPr>
            <w:r>
              <w:t xml:space="preserve">Large-cap</w:t>
            </w:r>
          </w:p>
        </w:tc>
        <w:tc>
          <w:tcPr/>
          <w:p>
            <w:pPr>
              <w:pStyle w:val="Compact"/>
              <w:jc w:val="left"/>
            </w:pPr>
            <w:r>
              <w:t xml:space="preserve">Blend</w:t>
            </w:r>
          </w:p>
        </w:tc>
        <w:tc>
          <w:tcPr/>
          <w:p>
            <w:pPr>
              <w:pStyle w:val="Compact"/>
              <w:jc w:val="left"/>
            </w:pPr>
            <w:r>
              <w:t xml:space="preserve">Large-Cap Core Funds</w:t>
            </w:r>
          </w:p>
        </w:tc>
        <w:tc>
          <w:tcPr/>
          <w:p>
            <w:pPr>
              <w:pStyle w:val="Compact"/>
              <w:jc w:val="left"/>
            </w:pPr>
            <w:r>
              <w:t xml:space="preserve">Derived_McapStrat</w:t>
            </w:r>
          </w:p>
        </w:tc>
      </w:tr>
      <w:tr>
        <w:tc>
          <w:tcPr/>
          <w:p>
            <w:pPr>
              <w:pStyle w:val="Compact"/>
              <w:jc w:val="left"/>
            </w:pPr>
            <w:r>
              <w:t xml:space="preserve">Large-cap</w:t>
            </w:r>
          </w:p>
        </w:tc>
        <w:tc>
          <w:tcPr/>
          <w:p>
            <w:pPr>
              <w:pStyle w:val="Compact"/>
              <w:jc w:val="left"/>
            </w:pPr>
            <w:r>
              <w:t xml:space="preserve">Growth</w:t>
            </w:r>
          </w:p>
        </w:tc>
        <w:tc>
          <w:tcPr/>
          <w:p>
            <w:pPr>
              <w:pStyle w:val="Compact"/>
              <w:jc w:val="left"/>
            </w:pPr>
            <w:r>
              <w:t xml:space="preserve">Large-Cap Growth Funds</w:t>
            </w:r>
          </w:p>
        </w:tc>
        <w:tc>
          <w:tcPr/>
          <w:p>
            <w:pPr>
              <w:pStyle w:val="Compact"/>
              <w:jc w:val="left"/>
            </w:pPr>
            <w:r>
              <w:t xml:space="preserve">Derived_McapStrat</w:t>
            </w:r>
          </w:p>
        </w:tc>
      </w:tr>
      <w:tr>
        <w:tc>
          <w:tcPr/>
          <w:p>
            <w:pPr>
              <w:pStyle w:val="Compact"/>
              <w:jc w:val="left"/>
            </w:pPr>
            <w:r>
              <w:t xml:space="preserve">Mid-cap</w:t>
            </w:r>
          </w:p>
        </w:tc>
        <w:tc>
          <w:tcPr/>
          <w:p>
            <w:pPr>
              <w:pStyle w:val="Compact"/>
              <w:jc w:val="left"/>
            </w:pPr>
            <w:r>
              <w:t xml:space="preserve">Value</w:t>
            </w:r>
          </w:p>
        </w:tc>
        <w:tc>
          <w:tcPr/>
          <w:p>
            <w:pPr>
              <w:pStyle w:val="Compact"/>
              <w:jc w:val="left"/>
            </w:pPr>
            <w:r>
              <w:t xml:space="preserve">Mid-Cap Value Funds</w:t>
            </w:r>
          </w:p>
        </w:tc>
        <w:tc>
          <w:tcPr/>
          <w:p>
            <w:pPr>
              <w:pStyle w:val="Compact"/>
              <w:jc w:val="left"/>
            </w:pPr>
            <w:r>
              <w:t xml:space="preserve">Derived_McapStrat</w:t>
            </w:r>
          </w:p>
        </w:tc>
      </w:tr>
      <w:tr>
        <w:tc>
          <w:tcPr/>
          <w:p>
            <w:pPr>
              <w:pStyle w:val="Compact"/>
              <w:jc w:val="left"/>
            </w:pPr>
            <w:r>
              <w:t xml:space="preserve">Mid-cap</w:t>
            </w:r>
          </w:p>
        </w:tc>
        <w:tc>
          <w:tcPr/>
          <w:p>
            <w:pPr>
              <w:pStyle w:val="Compact"/>
              <w:jc w:val="left"/>
            </w:pPr>
            <w:r>
              <w:t xml:space="preserve">Blend</w:t>
            </w:r>
          </w:p>
        </w:tc>
        <w:tc>
          <w:tcPr/>
          <w:p>
            <w:pPr>
              <w:pStyle w:val="Compact"/>
              <w:jc w:val="left"/>
            </w:pPr>
            <w:r>
              <w:t xml:space="preserve">Mid-Cap Core Funds</w:t>
            </w:r>
          </w:p>
        </w:tc>
        <w:tc>
          <w:tcPr/>
          <w:p>
            <w:pPr>
              <w:pStyle w:val="Compact"/>
              <w:jc w:val="left"/>
            </w:pPr>
            <w:r>
              <w:t xml:space="preserve">Derived_McapStrat</w:t>
            </w:r>
          </w:p>
        </w:tc>
      </w:tr>
      <w:tr>
        <w:tc>
          <w:tcPr/>
          <w:p>
            <w:pPr>
              <w:pStyle w:val="Compact"/>
              <w:jc w:val="left"/>
            </w:pPr>
            <w:r>
              <w:t xml:space="preserve">Mid-cap</w:t>
            </w:r>
          </w:p>
        </w:tc>
        <w:tc>
          <w:tcPr/>
          <w:p>
            <w:pPr>
              <w:pStyle w:val="Compact"/>
              <w:jc w:val="left"/>
            </w:pPr>
            <w:r>
              <w:t xml:space="preserve">Growth</w:t>
            </w:r>
          </w:p>
        </w:tc>
        <w:tc>
          <w:tcPr/>
          <w:p>
            <w:pPr>
              <w:pStyle w:val="Compact"/>
              <w:jc w:val="left"/>
            </w:pPr>
            <w:r>
              <w:t xml:space="preserve">Mid-Cap Growth Funds</w:t>
            </w:r>
          </w:p>
        </w:tc>
        <w:tc>
          <w:tcPr/>
          <w:p>
            <w:pPr>
              <w:pStyle w:val="Compact"/>
              <w:jc w:val="left"/>
            </w:pPr>
            <w:r>
              <w:t xml:space="preserve">Derived_McapStrat</w:t>
            </w:r>
          </w:p>
        </w:tc>
      </w:tr>
      <w:tr>
        <w:tc>
          <w:tcPr/>
          <w:p>
            <w:pPr>
              <w:pStyle w:val="Compact"/>
              <w:jc w:val="left"/>
            </w:pPr>
            <w:r>
              <w:t xml:space="preserve">Small-cap</w:t>
            </w:r>
          </w:p>
        </w:tc>
        <w:tc>
          <w:tcPr/>
          <w:p>
            <w:pPr>
              <w:pStyle w:val="Compact"/>
              <w:jc w:val="left"/>
            </w:pPr>
            <w:r>
              <w:t xml:space="preserve">Value</w:t>
            </w:r>
          </w:p>
        </w:tc>
        <w:tc>
          <w:tcPr/>
          <w:p>
            <w:pPr>
              <w:pStyle w:val="Compact"/>
              <w:jc w:val="left"/>
            </w:pPr>
            <w:r>
              <w:t xml:space="preserve">Small-Cap Value Funds</w:t>
            </w:r>
          </w:p>
        </w:tc>
        <w:tc>
          <w:tcPr/>
          <w:p>
            <w:pPr>
              <w:pStyle w:val="Compact"/>
              <w:jc w:val="left"/>
            </w:pPr>
            <w:r>
              <w:t xml:space="preserve">Derived_McapStrat</w:t>
            </w:r>
          </w:p>
        </w:tc>
      </w:tr>
      <w:tr>
        <w:tc>
          <w:tcPr/>
          <w:p>
            <w:pPr>
              <w:pStyle w:val="Compact"/>
              <w:jc w:val="left"/>
            </w:pPr>
            <w:r>
              <w:t xml:space="preserve">Small-cap</w:t>
            </w:r>
          </w:p>
        </w:tc>
        <w:tc>
          <w:tcPr/>
          <w:p>
            <w:pPr>
              <w:pStyle w:val="Compact"/>
              <w:jc w:val="left"/>
            </w:pPr>
            <w:r>
              <w:t xml:space="preserve">Blend</w:t>
            </w:r>
          </w:p>
        </w:tc>
        <w:tc>
          <w:tcPr/>
          <w:p>
            <w:pPr>
              <w:pStyle w:val="Compact"/>
              <w:jc w:val="left"/>
            </w:pPr>
            <w:r>
              <w:t xml:space="preserve">Small-Cap Core Funds</w:t>
            </w:r>
          </w:p>
        </w:tc>
        <w:tc>
          <w:tcPr/>
          <w:p>
            <w:pPr>
              <w:pStyle w:val="Compact"/>
              <w:jc w:val="left"/>
            </w:pPr>
            <w:r>
              <w:t xml:space="preserve">Derived_McapStrat</w:t>
            </w:r>
          </w:p>
        </w:tc>
      </w:tr>
      <w:tr>
        <w:tc>
          <w:tcPr/>
          <w:p>
            <w:pPr>
              <w:pStyle w:val="Compact"/>
              <w:jc w:val="left"/>
            </w:pPr>
            <w:r>
              <w:t xml:space="preserve">Small-cap</w:t>
            </w:r>
          </w:p>
        </w:tc>
        <w:tc>
          <w:tcPr/>
          <w:p>
            <w:pPr>
              <w:pStyle w:val="Compact"/>
              <w:jc w:val="left"/>
            </w:pPr>
            <w:r>
              <w:t xml:space="preserve">Growth</w:t>
            </w:r>
          </w:p>
        </w:tc>
        <w:tc>
          <w:tcPr/>
          <w:p>
            <w:pPr>
              <w:pStyle w:val="Compact"/>
              <w:jc w:val="left"/>
            </w:pPr>
            <w:r>
              <w:t xml:space="preserve">Small-Cap Growth Funds</w:t>
            </w:r>
          </w:p>
        </w:tc>
        <w:tc>
          <w:tcPr/>
          <w:p>
            <w:pPr>
              <w:pStyle w:val="Compact"/>
              <w:jc w:val="left"/>
            </w:pPr>
            <w:r>
              <w:t xml:space="preserve">Derived_McapStrat</w:t>
            </w:r>
          </w:p>
        </w:tc>
      </w:tr>
      <w:tr>
        <w:tc>
          <w:tcPr/>
          <w:p>
            <w:pPr>
              <w:pStyle w:val="Compact"/>
              <w:jc w:val="left"/>
            </w:pPr>
            <w:r>
              <w:t xml:space="preserve">Broad Market</w:t>
            </w:r>
          </w:p>
        </w:tc>
        <w:tc>
          <w:tcPr/>
          <w:p>
            <w:pPr>
              <w:pStyle w:val="Compact"/>
              <w:jc w:val="left"/>
            </w:pPr>
            <w:r>
              <w:t xml:space="preserve">Value</w:t>
            </w:r>
          </w:p>
        </w:tc>
        <w:tc>
          <w:tcPr/>
          <w:p>
            <w:pPr>
              <w:pStyle w:val="Compact"/>
              <w:jc w:val="left"/>
            </w:pPr>
            <w:r>
              <w:t xml:space="preserve">Multi-Cap Value Funds</w:t>
            </w:r>
          </w:p>
        </w:tc>
        <w:tc>
          <w:tcPr/>
          <w:p>
            <w:pPr>
              <w:pStyle w:val="Compact"/>
              <w:jc w:val="left"/>
            </w:pPr>
            <w:r>
              <w:t xml:space="preserve">Derived_McapStrat</w:t>
            </w:r>
          </w:p>
        </w:tc>
      </w:tr>
      <w:tr>
        <w:tc>
          <w:tcPr/>
          <w:p>
            <w:pPr>
              <w:pStyle w:val="Compact"/>
              <w:jc w:val="left"/>
            </w:pPr>
            <w:r>
              <w:t xml:space="preserve">Broad Market</w:t>
            </w:r>
          </w:p>
        </w:tc>
        <w:tc>
          <w:tcPr/>
          <w:p>
            <w:pPr>
              <w:pStyle w:val="Compact"/>
              <w:jc w:val="left"/>
            </w:pPr>
            <w:r>
              <w:t xml:space="preserve">Blend</w:t>
            </w:r>
          </w:p>
        </w:tc>
        <w:tc>
          <w:tcPr/>
          <w:p>
            <w:pPr>
              <w:pStyle w:val="Compact"/>
              <w:jc w:val="left"/>
            </w:pPr>
            <w:r>
              <w:t xml:space="preserve">Multi-Cap Core Funds</w:t>
            </w:r>
          </w:p>
        </w:tc>
        <w:tc>
          <w:tcPr/>
          <w:p>
            <w:pPr>
              <w:pStyle w:val="Compact"/>
              <w:jc w:val="left"/>
            </w:pPr>
            <w:r>
              <w:t xml:space="preserve">Derived_McapStrat</w:t>
            </w:r>
          </w:p>
        </w:tc>
      </w:tr>
      <w:tr>
        <w:tc>
          <w:tcPr/>
          <w:p>
            <w:pPr>
              <w:pStyle w:val="Compact"/>
              <w:jc w:val="left"/>
            </w:pPr>
            <w:r>
              <w:t xml:space="preserve">Broad Market</w:t>
            </w:r>
          </w:p>
        </w:tc>
        <w:tc>
          <w:tcPr/>
          <w:p>
            <w:pPr>
              <w:pStyle w:val="Compact"/>
              <w:jc w:val="left"/>
            </w:pPr>
            <w:r>
              <w:t xml:space="preserve">Growth</w:t>
            </w:r>
          </w:p>
        </w:tc>
        <w:tc>
          <w:tcPr/>
          <w:p>
            <w:pPr>
              <w:pStyle w:val="Compact"/>
              <w:jc w:val="left"/>
            </w:pPr>
            <w:r>
              <w:t xml:space="preserve">Multi-Cap Growth Funds</w:t>
            </w:r>
          </w:p>
        </w:tc>
        <w:tc>
          <w:tcPr/>
          <w:p>
            <w:pPr>
              <w:pStyle w:val="Compact"/>
              <w:jc w:val="left"/>
            </w:pPr>
            <w:r>
              <w:t xml:space="preserve">Derived_McapStrat</w:t>
            </w:r>
          </w:p>
        </w:tc>
      </w:tr>
      <w:tr>
        <w:tc>
          <w:tcPr/>
          <w:p>
            <w:pPr>
              <w:pStyle w:val="Compact"/>
              <w:jc w:val="left"/>
            </w:pPr>
            <w:r>
              <w:t xml:space="preserve">Large-cap</w:t>
            </w:r>
          </w:p>
        </w:tc>
        <w:tc>
          <w:tcPr/>
          <w:p>
            <w:pPr>
              <w:pStyle w:val="Compact"/>
              <w:jc w:val="left"/>
            </w:pPr>
            <w:r>
              <w:t xml:space="preserve">(missing)</w:t>
            </w:r>
          </w:p>
        </w:tc>
        <w:tc>
          <w:tcPr/>
          <w:p>
            <w:pPr>
              <w:pStyle w:val="Compact"/>
              <w:jc w:val="left"/>
            </w:pPr>
            <w:r>
              <w:t xml:space="preserve">Large-Cap Core Funds</w:t>
            </w:r>
          </w:p>
        </w:tc>
        <w:tc>
          <w:tcPr/>
          <w:p>
            <w:pPr>
              <w:pStyle w:val="Compact"/>
              <w:jc w:val="left"/>
            </w:pPr>
            <w:r>
              <w:t xml:space="preserve">Derived_McapOnly</w:t>
            </w:r>
          </w:p>
        </w:tc>
      </w:tr>
      <w:tr>
        <w:tc>
          <w:tcPr/>
          <w:p>
            <w:pPr>
              <w:pStyle w:val="Compact"/>
              <w:jc w:val="left"/>
            </w:pPr>
            <w:r>
              <w:t xml:space="preserve">Mid-cap</w:t>
            </w:r>
          </w:p>
        </w:tc>
        <w:tc>
          <w:tcPr/>
          <w:p>
            <w:pPr>
              <w:pStyle w:val="Compact"/>
              <w:jc w:val="left"/>
            </w:pPr>
            <w:r>
              <w:t xml:space="preserve">(missing)</w:t>
            </w:r>
          </w:p>
        </w:tc>
        <w:tc>
          <w:tcPr/>
          <w:p>
            <w:pPr>
              <w:pStyle w:val="Compact"/>
              <w:jc w:val="left"/>
            </w:pPr>
            <w:r>
              <w:t xml:space="preserve">Mid-Cap Core Funds</w:t>
            </w:r>
          </w:p>
        </w:tc>
        <w:tc>
          <w:tcPr/>
          <w:p>
            <w:pPr>
              <w:pStyle w:val="Compact"/>
              <w:jc w:val="left"/>
            </w:pPr>
            <w:r>
              <w:t xml:space="preserve">Derived_McapOnly</w:t>
            </w:r>
          </w:p>
        </w:tc>
      </w:tr>
      <w:tr>
        <w:tc>
          <w:tcPr/>
          <w:p>
            <w:pPr>
              <w:pStyle w:val="Compact"/>
              <w:jc w:val="left"/>
            </w:pPr>
            <w:r>
              <w:t xml:space="preserve">Small-cap</w:t>
            </w:r>
          </w:p>
        </w:tc>
        <w:tc>
          <w:tcPr/>
          <w:p>
            <w:pPr>
              <w:pStyle w:val="Compact"/>
              <w:jc w:val="left"/>
            </w:pPr>
            <w:r>
              <w:t xml:space="preserve">(missing)</w:t>
            </w:r>
          </w:p>
        </w:tc>
        <w:tc>
          <w:tcPr/>
          <w:p>
            <w:pPr>
              <w:pStyle w:val="Compact"/>
              <w:jc w:val="left"/>
            </w:pPr>
            <w:r>
              <w:t xml:space="preserve">Small-Cap Core Funds</w:t>
            </w:r>
          </w:p>
        </w:tc>
        <w:tc>
          <w:tcPr/>
          <w:p>
            <w:pPr>
              <w:pStyle w:val="Compact"/>
              <w:jc w:val="left"/>
            </w:pPr>
            <w:r>
              <w:t xml:space="preserve">Derived_McapOnly</w:t>
            </w:r>
          </w:p>
        </w:tc>
      </w:tr>
      <w:tr>
        <w:tc>
          <w:tcPr/>
          <w:p>
            <w:pPr>
              <w:pStyle w:val="Compact"/>
              <w:jc w:val="left"/>
            </w:pPr>
            <w:r>
              <w:t xml:space="preserve">Broad Market</w:t>
            </w:r>
          </w:p>
        </w:tc>
        <w:tc>
          <w:tcPr/>
          <w:p>
            <w:pPr>
              <w:pStyle w:val="Compact"/>
              <w:jc w:val="left"/>
            </w:pPr>
            <w:r>
              <w:t xml:space="preserve">(missing)</w:t>
            </w:r>
          </w:p>
        </w:tc>
        <w:tc>
          <w:tcPr/>
          <w:p>
            <w:pPr>
              <w:pStyle w:val="Compact"/>
              <w:jc w:val="left"/>
            </w:pPr>
            <w:r>
              <w:t xml:space="preserve">Multi-Cap Core Funds</w:t>
            </w:r>
          </w:p>
        </w:tc>
        <w:tc>
          <w:tcPr/>
          <w:p>
            <w:pPr>
              <w:pStyle w:val="Compact"/>
              <w:jc w:val="left"/>
            </w:pPr>
            <w:r>
              <w:t xml:space="preserve">Derived_McapOnly</w:t>
            </w:r>
          </w:p>
        </w:tc>
      </w:tr>
      <w:tr>
        <w:tc>
          <w:tcPr/>
          <w:p>
            <w:pPr>
              <w:pStyle w:val="Compact"/>
              <w:jc w:val="left"/>
            </w:pPr>
            <w:r>
              <w:t xml:space="preserve">(missing)</w:t>
            </w:r>
          </w:p>
        </w:tc>
        <w:tc>
          <w:tcPr/>
          <w:p>
            <w:pPr>
              <w:pStyle w:val="Compact"/>
              <w:jc w:val="left"/>
            </w:pPr>
            <w:r>
              <w:t xml:space="preserve">Value</w:t>
            </w:r>
          </w:p>
        </w:tc>
        <w:tc>
          <w:tcPr/>
          <w:p>
            <w:pPr>
              <w:pStyle w:val="Compact"/>
              <w:jc w:val="left"/>
            </w:pPr>
            <w:r>
              <w:t xml:space="preserve">Multi-Cap Value Funds</w:t>
            </w:r>
          </w:p>
        </w:tc>
        <w:tc>
          <w:tcPr/>
          <w:p>
            <w:pPr>
              <w:pStyle w:val="Compact"/>
              <w:jc w:val="left"/>
            </w:pPr>
            <w:r>
              <w:t xml:space="preserve">Derived_StratOnly</w:t>
            </w:r>
          </w:p>
        </w:tc>
      </w:tr>
      <w:tr>
        <w:tc>
          <w:tcPr/>
          <w:p>
            <w:pPr>
              <w:pStyle w:val="Compact"/>
              <w:jc w:val="left"/>
            </w:pPr>
            <w:r>
              <w:t xml:space="preserve">(missing)</w:t>
            </w:r>
          </w:p>
        </w:tc>
        <w:tc>
          <w:tcPr/>
          <w:p>
            <w:pPr>
              <w:pStyle w:val="Compact"/>
              <w:jc w:val="left"/>
            </w:pPr>
            <w:r>
              <w:t xml:space="preserve">Blend</w:t>
            </w:r>
          </w:p>
        </w:tc>
        <w:tc>
          <w:tcPr/>
          <w:p>
            <w:pPr>
              <w:pStyle w:val="Compact"/>
              <w:jc w:val="left"/>
            </w:pPr>
            <w:r>
              <w:t xml:space="preserve">Multi-Cap Core Funds</w:t>
            </w:r>
          </w:p>
        </w:tc>
        <w:tc>
          <w:tcPr/>
          <w:p>
            <w:pPr>
              <w:pStyle w:val="Compact"/>
              <w:jc w:val="left"/>
            </w:pPr>
            <w:r>
              <w:t xml:space="preserve">Derived_StratOnly</w:t>
            </w:r>
          </w:p>
        </w:tc>
      </w:tr>
      <w:tr>
        <w:tc>
          <w:tcPr/>
          <w:p>
            <w:pPr>
              <w:pStyle w:val="Compact"/>
              <w:jc w:val="left"/>
            </w:pPr>
            <w:r>
              <w:t xml:space="preserve">(missing)</w:t>
            </w:r>
          </w:p>
        </w:tc>
        <w:tc>
          <w:tcPr/>
          <w:p>
            <w:pPr>
              <w:pStyle w:val="Compact"/>
              <w:jc w:val="left"/>
            </w:pPr>
            <w:r>
              <w:t xml:space="preserve">Growth</w:t>
            </w:r>
          </w:p>
        </w:tc>
        <w:tc>
          <w:tcPr/>
          <w:p>
            <w:pPr>
              <w:pStyle w:val="Compact"/>
              <w:jc w:val="left"/>
            </w:pPr>
            <w:r>
              <w:t xml:space="preserve">Multi-Cap Growth Funds</w:t>
            </w:r>
          </w:p>
        </w:tc>
        <w:tc>
          <w:tcPr/>
          <w:p>
            <w:pPr>
              <w:pStyle w:val="Compact"/>
              <w:jc w:val="left"/>
            </w:pPr>
            <w:r>
              <w:t xml:space="preserve">Derived_StratOnly</w:t>
            </w:r>
          </w:p>
        </w:tc>
      </w:tr>
    </w:tbl>
    <w:p>
      <w:pPr>
        <w:pStyle w:val="BodyText"/>
      </w:pPr>
      <w:r>
        <w:rPr>
          <w:bCs/>
          <w:b/>
        </w:rPr>
        <w:t xml:space="preserve">Priority 4 — Unresolvable (NA)</w:t>
      </w:r>
    </w:p>
    <w:p>
      <w:pPr>
        <w:pStyle w:val="BodyText"/>
      </w:pPr>
      <w:r>
        <w:t xml:space="preserve">Funds for which none of the above priorities yields a valid assignment are coded as NA. These 105 funds have no populated LSEG Category, no style-specific benchmark code, and no usable Bloomberg Mcap_Focus or Fund_Strategy field. Inspection of the fund names and benchmark codes confirms that this group consists entirely of sector funds (technology, healthcare, real estate, energy MLP), long/short equity funds, market-neutral funds, bear market funds, and funds with Unknown active management status — all of which are excluded from the H1/H2/H4 regression sample for independent reasons. The NA assignment for these funds is therefore the correct outcome and entails no loss of analytical sample. Source tag: Unresolvable.</w:t>
      </w:r>
    </w:p>
    <w:p>
      <w:pPr>
        <w:pStyle w:val="BodyText"/>
      </w:pPr>
      <w:r>
        <w:rPr>
          <w:bCs/>
          <w:b/>
        </w:rPr>
        <w:t xml:space="preserve">4. Classification Outcome</w:t>
      </w:r>
    </w:p>
    <w:p>
      <w:pPr>
        <w:pStyle w:val="BodyText"/>
      </w:pPr>
      <w:r>
        <w:t xml:space="preserve">The priority procedure classifies 3,659 of 3,764 funds (97.2%). The 105 unresolvable funds (2.8%) are all outside the analysis sample. The table below summarises the outcome by source.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Priority</w:t>
            </w:r>
          </w:p>
        </w:tc>
        <w:tc>
          <w:tcPr/>
          <w:p>
            <w:pPr>
              <w:pStyle w:val="Compact"/>
              <w:jc w:val="left"/>
            </w:pPr>
            <w:r>
              <w:rPr>
                <w:bCs/>
                <w:b/>
              </w:rPr>
              <w:t xml:space="preserve">Source Tag</w:t>
            </w:r>
          </w:p>
        </w:tc>
        <w:tc>
          <w:tcPr/>
          <w:p>
            <w:pPr>
              <w:pStyle w:val="Compact"/>
              <w:jc w:val="left"/>
            </w:pPr>
            <w:r>
              <w:rPr>
                <w:bCs/>
                <w:b/>
              </w:rPr>
              <w:t xml:space="preserve">Description</w:t>
            </w:r>
          </w:p>
        </w:tc>
        <w:tc>
          <w:tcPr/>
          <w:p>
            <w:pPr>
              <w:pStyle w:val="Compact"/>
              <w:jc w:val="left"/>
            </w:pPr>
            <w:r>
              <w:rPr>
                <w:bCs/>
                <w:b/>
              </w:rPr>
              <w:t xml:space="preserve">Funds</w:t>
            </w:r>
          </w:p>
        </w:tc>
        <w:tc>
          <w:tcPr/>
          <w:p>
            <w:pPr>
              <w:pStyle w:val="Compact"/>
              <w:jc w:val="left"/>
            </w:pPr>
            <w:r>
              <w:rPr>
                <w:bCs/>
                <w:b/>
              </w:rPr>
              <w:t xml:space="preserve">%</w:t>
            </w:r>
          </w:p>
        </w:tc>
      </w:tr>
      <w:tr>
        <w:tc>
          <w:tcPr/>
          <w:p>
            <w:pPr>
              <w:pStyle w:val="Compact"/>
              <w:jc w:val="left"/>
            </w:pPr>
            <w:r>
              <w:t xml:space="preserve">1</w:t>
            </w:r>
          </w:p>
        </w:tc>
        <w:tc>
          <w:tcPr/>
          <w:p>
            <w:pPr>
              <w:pStyle w:val="Compact"/>
              <w:jc w:val="left"/>
            </w:pPr>
            <w:r>
              <w:t xml:space="preserve">LSEG_Direct</w:t>
            </w:r>
          </w:p>
        </w:tc>
        <w:tc>
          <w:tcPr/>
          <w:p>
            <w:pPr>
              <w:pStyle w:val="Compact"/>
              <w:jc w:val="left"/>
            </w:pPr>
            <w:r>
              <w:t xml:space="preserve">LSEG Category field populated</w:t>
            </w:r>
          </w:p>
        </w:tc>
        <w:tc>
          <w:tcPr/>
          <w:p>
            <w:pPr>
              <w:pStyle w:val="Compact"/>
              <w:jc w:val="left"/>
            </w:pPr>
            <w:r>
              <w:t xml:space="preserve">1,712</w:t>
            </w:r>
          </w:p>
        </w:tc>
        <w:tc>
          <w:tcPr/>
          <w:p>
            <w:pPr>
              <w:pStyle w:val="Compact"/>
              <w:jc w:val="left"/>
            </w:pPr>
            <w:r>
              <w:t xml:space="preserve">45.5%</w:t>
            </w:r>
          </w:p>
        </w:tc>
      </w:tr>
      <w:tr>
        <w:tc>
          <w:tcPr/>
          <w:p>
            <w:pPr>
              <w:pStyle w:val="Compact"/>
              <w:jc w:val="left"/>
            </w:pPr>
            <w:r>
              <w:t xml:space="preserve">2</w:t>
            </w:r>
          </w:p>
        </w:tc>
        <w:tc>
          <w:tcPr/>
          <w:p>
            <w:pPr>
              <w:pStyle w:val="Compact"/>
              <w:jc w:val="left"/>
            </w:pPr>
            <w:r>
              <w:t xml:space="preserve">Benchmark_Map</w:t>
            </w:r>
          </w:p>
        </w:tc>
        <w:tc>
          <w:tcPr/>
          <w:p>
            <w:pPr>
              <w:pStyle w:val="Compact"/>
              <w:jc w:val="left"/>
            </w:pPr>
            <w:r>
              <w:t xml:space="preserve">Derived from specific benchmark code (e.g. RLV, RUT)</w:t>
            </w:r>
          </w:p>
        </w:tc>
        <w:tc>
          <w:tcPr/>
          <w:p>
            <w:pPr>
              <w:pStyle w:val="Compact"/>
              <w:jc w:val="left"/>
            </w:pPr>
            <w:r>
              <w:t xml:space="preserve">1,541</w:t>
            </w:r>
          </w:p>
        </w:tc>
        <w:tc>
          <w:tcPr/>
          <w:p>
            <w:pPr>
              <w:pStyle w:val="Compact"/>
              <w:jc w:val="left"/>
            </w:pPr>
            <w:r>
              <w:t xml:space="preserve">40.9%</w:t>
            </w:r>
          </w:p>
        </w:tc>
      </w:tr>
      <w:tr>
        <w:tc>
          <w:tcPr/>
          <w:p>
            <w:pPr>
              <w:pStyle w:val="Compact"/>
              <w:jc w:val="left"/>
            </w:pPr>
            <w:r>
              <w:t xml:space="preserve">3a</w:t>
            </w:r>
          </w:p>
        </w:tc>
        <w:tc>
          <w:tcPr/>
          <w:p>
            <w:pPr>
              <w:pStyle w:val="Compact"/>
              <w:jc w:val="left"/>
            </w:pPr>
            <w:r>
              <w:t xml:space="preserve">Derived_McapStrat</w:t>
            </w:r>
          </w:p>
        </w:tc>
        <w:tc>
          <w:tcPr/>
          <w:p>
            <w:pPr>
              <w:pStyle w:val="Compact"/>
              <w:jc w:val="left"/>
            </w:pPr>
            <w:r>
              <w:t xml:space="preserve">Bloomberg Mcap_Focus + Fund_Strategy — both present</w:t>
            </w:r>
          </w:p>
        </w:tc>
        <w:tc>
          <w:tcPr/>
          <w:p>
            <w:pPr>
              <w:pStyle w:val="Compact"/>
              <w:jc w:val="left"/>
            </w:pPr>
            <w:r>
              <w:t xml:space="preserve">182</w:t>
            </w:r>
          </w:p>
        </w:tc>
        <w:tc>
          <w:tcPr/>
          <w:p>
            <w:pPr>
              <w:pStyle w:val="Compact"/>
              <w:jc w:val="left"/>
            </w:pPr>
            <w:r>
              <w:t xml:space="preserve">4.8%</w:t>
            </w:r>
          </w:p>
        </w:tc>
      </w:tr>
      <w:tr>
        <w:tc>
          <w:tcPr/>
          <w:p>
            <w:pPr>
              <w:pStyle w:val="Compact"/>
              <w:jc w:val="left"/>
            </w:pPr>
            <w:r>
              <w:t xml:space="preserve">3b</w:t>
            </w:r>
          </w:p>
        </w:tc>
        <w:tc>
          <w:tcPr/>
          <w:p>
            <w:pPr>
              <w:pStyle w:val="Compact"/>
              <w:jc w:val="left"/>
            </w:pPr>
            <w:r>
              <w:t xml:space="preserve">Derived_McapOnly</w:t>
            </w:r>
          </w:p>
        </w:tc>
        <w:tc>
          <w:tcPr/>
          <w:p>
            <w:pPr>
              <w:pStyle w:val="Compact"/>
              <w:jc w:val="left"/>
            </w:pPr>
            <w:r>
              <w:t xml:space="preserve">Bloomberg Mcap_Focus only — Strategy missing; assigned Core</w:t>
            </w:r>
          </w:p>
        </w:tc>
        <w:tc>
          <w:tcPr/>
          <w:p>
            <w:pPr>
              <w:pStyle w:val="Compact"/>
              <w:jc w:val="left"/>
            </w:pPr>
            <w:r>
              <w:t xml:space="preserve">49</w:t>
            </w:r>
          </w:p>
        </w:tc>
        <w:tc>
          <w:tcPr/>
          <w:p>
            <w:pPr>
              <w:pStyle w:val="Compact"/>
              <w:jc w:val="left"/>
            </w:pPr>
            <w:r>
              <w:t xml:space="preserve">1.3%</w:t>
            </w:r>
          </w:p>
        </w:tc>
      </w:tr>
      <w:tr>
        <w:tc>
          <w:tcPr/>
          <w:p>
            <w:pPr>
              <w:pStyle w:val="Compact"/>
              <w:jc w:val="left"/>
            </w:pPr>
            <w:r>
              <w:t xml:space="preserve">3c</w:t>
            </w:r>
          </w:p>
        </w:tc>
        <w:tc>
          <w:tcPr/>
          <w:p>
            <w:pPr>
              <w:pStyle w:val="Compact"/>
              <w:jc w:val="left"/>
            </w:pPr>
            <w:r>
              <w:t xml:space="preserve">Derived_StratOnly</w:t>
            </w:r>
          </w:p>
        </w:tc>
        <w:tc>
          <w:tcPr/>
          <w:p>
            <w:pPr>
              <w:pStyle w:val="Compact"/>
              <w:jc w:val="left"/>
            </w:pPr>
            <w:r>
              <w:t xml:space="preserve">Bloomberg Fund_Strategy only — Mcap missing; assigned Multi-Cap</w:t>
            </w:r>
          </w:p>
        </w:tc>
        <w:tc>
          <w:tcPr/>
          <w:p>
            <w:pPr>
              <w:pStyle w:val="Compact"/>
              <w:jc w:val="left"/>
            </w:pPr>
            <w:r>
              <w:t xml:space="preserve">175</w:t>
            </w:r>
          </w:p>
        </w:tc>
        <w:tc>
          <w:tcPr/>
          <w:p>
            <w:pPr>
              <w:pStyle w:val="Compact"/>
              <w:jc w:val="left"/>
            </w:pPr>
            <w:r>
              <w:t xml:space="preserve">4.6%</w:t>
            </w:r>
          </w:p>
        </w:tc>
      </w:tr>
      <w:tr>
        <w:tc>
          <w:tcPr/>
          <w:p>
            <w:pPr>
              <w:pStyle w:val="Compact"/>
              <w:jc w:val="left"/>
            </w:pPr>
            <w:r>
              <w:t xml:space="preserve">—</w:t>
            </w:r>
          </w:p>
        </w:tc>
        <w:tc>
          <w:tcPr/>
          <w:p>
            <w:pPr>
              <w:pStyle w:val="Compact"/>
              <w:jc w:val="left"/>
            </w:pPr>
            <w:r>
              <w:t xml:space="preserve">Unresolvable</w:t>
            </w:r>
          </w:p>
        </w:tc>
        <w:tc>
          <w:tcPr/>
          <w:p>
            <w:pPr>
              <w:pStyle w:val="Compact"/>
              <w:jc w:val="left"/>
            </w:pPr>
            <w:r>
              <w:t xml:space="preserve">No classifiable field available; all are sector/L-S/Unknown-AM funds</w:t>
            </w:r>
          </w:p>
        </w:tc>
        <w:tc>
          <w:tcPr/>
          <w:p>
            <w:pPr>
              <w:pStyle w:val="Compact"/>
              <w:jc w:val="left"/>
            </w:pPr>
            <w:r>
              <w:t xml:space="preserve">105</w:t>
            </w:r>
          </w:p>
        </w:tc>
        <w:tc>
          <w:tcPr/>
          <w:p>
            <w:pPr>
              <w:pStyle w:val="Compact"/>
              <w:jc w:val="left"/>
            </w:pPr>
            <w:r>
              <w:t xml:space="preserve">2.8%</w:t>
            </w:r>
          </w:p>
        </w:tc>
      </w:tr>
      <w:tr>
        <w:tc>
          <w:tcPr/>
          <w:p>
            <w:pPr>
              <w:pStyle w:val="Compact"/>
            </w:pPr>
          </w:p>
        </w:tc>
        <w:tc>
          <w:tcPr/>
          <w:p>
            <w:pPr>
              <w:pStyle w:val="Compact"/>
              <w:jc w:val="left"/>
            </w:pPr>
            <w:r>
              <w:rPr>
                <w:bCs/>
                <w:b/>
              </w:rPr>
              <w:t xml:space="preserve">Total</w:t>
            </w:r>
          </w:p>
        </w:tc>
        <w:tc>
          <w:tcPr/>
          <w:p>
            <w:pPr>
              <w:pStyle w:val="Compact"/>
            </w:pPr>
          </w:p>
        </w:tc>
        <w:tc>
          <w:tcPr/>
          <w:p>
            <w:pPr>
              <w:pStyle w:val="Compact"/>
              <w:jc w:val="left"/>
            </w:pPr>
            <w:r>
              <w:rPr>
                <w:bCs/>
                <w:b/>
              </w:rPr>
              <w:t xml:space="preserve">3,764</w:t>
            </w:r>
          </w:p>
        </w:tc>
        <w:tc>
          <w:tcPr/>
          <w:p>
            <w:pPr>
              <w:pStyle w:val="Compact"/>
              <w:jc w:val="left"/>
            </w:pPr>
            <w:r>
              <w:rPr>
                <w:bCs/>
                <w:b/>
              </w:rPr>
              <w:t xml:space="preserve">100%</w:t>
            </w:r>
          </w:p>
        </w:tc>
      </w:tr>
    </w:tbl>
    <w:p>
      <w:pPr>
        <w:pStyle w:val="BodyText"/>
      </w:pPr>
      <w:r>
        <w:rPr>
          <w:bCs/>
          <w:b/>
        </w:rPr>
        <w:t xml:space="preserve">5. Flags for Robustness Checks</w:t>
      </w:r>
    </w:p>
    <w:p>
      <w:pPr>
        <w:pStyle w:val="BodyText"/>
      </w:pPr>
      <w:r>
        <w:t xml:space="preserve">The Lipper_Source column in lipper_category_output.xlsx records the source tag for each fund. This enables the following robustness analyses to be run without re-executing the classification script:</w:t>
      </w:r>
    </w:p>
    <w:p>
      <w:pPr>
        <w:numPr>
          <w:ilvl w:val="0"/>
          <w:numId w:val="1003"/>
        </w:numPr>
      </w:pPr>
      <w:r>
        <w:t xml:space="preserve">LSEG_Direct only (n = 1,712): restricts ranking to funds with authoritative LSEG classification. Eliminates any uncertainty from the derivation procedure.</w:t>
      </w:r>
    </w:p>
    <w:p>
      <w:pPr>
        <w:numPr>
          <w:ilvl w:val="0"/>
          <w:numId w:val="1003"/>
        </w:numPr>
      </w:pPr>
      <w:r>
        <w:t xml:space="preserve">LSEG_Direct + Benchmark_Map (n = 3,253): includes all funds classified via objective evidence. Excludes Bloomberg-derived assignments (priorities 3a–3c) where style inference is based on a single field.</w:t>
      </w:r>
    </w:p>
    <w:p>
      <w:pPr>
        <w:numPr>
          <w:ilvl w:val="0"/>
          <w:numId w:val="1003"/>
        </w:numPr>
      </w:pPr>
      <w:r>
        <w:t xml:space="preserve">All classified (n = 3,659): primary specification.</w:t>
      </w:r>
    </w:p>
    <w:p>
      <w:pPr>
        <w:pStyle w:val="FirstParagraph"/>
      </w:pPr>
      <w:r>
        <w:t xml:space="preserve">The main results are reported using all classified funds. Robustness checks using the LSEG_Direct and LSEG_Direct + Benchmark_Map sub-samples are recommended and should be included in the dissertation appendix.</w:t>
      </w:r>
    </w:p>
    <w:p>
      <w:pPr>
        <w:pStyle w:val="BodyText"/>
      </w:pPr>
      <w:r>
        <w:rPr>
          <w:bCs/>
          <w:b/>
        </w:rPr>
        <w:t xml:space="preserve">6. Additional Notes</w:t>
      </w:r>
    </w:p>
    <w:p>
      <w:pPr>
        <w:numPr>
          <w:ilvl w:val="0"/>
          <w:numId w:val="1004"/>
        </w:numPr>
      </w:pPr>
      <w:r>
        <w:t xml:space="preserve">The classification is performed at the share-class level, consistent with the panel structure. Where multiple share classes of the same fund receive different classifications due to differing LSEG Category fields (rare), the most frequently occurring classification across share classes is applied.</w:t>
      </w:r>
    </w:p>
    <w:p>
      <w:pPr>
        <w:numPr>
          <w:ilvl w:val="0"/>
          <w:numId w:val="1004"/>
        </w:numPr>
      </w:pPr>
      <w:r>
        <w:t xml:space="preserve">Lipper category labels that appear in the LSEG Category field but do not correspond to the 12 standard size-style categories (e.g. Equity Income Funds, Real Estate Funds, Science &amp; Technology Funds) are retained as-is from the LSEG field. These funds are excluded from H3 but may appear in H1/H2/H4 with their LSEG-supplied label forming their peer group.</w:t>
      </w:r>
    </w:p>
    <w:p>
      <w:pPr>
        <w:numPr>
          <w:ilvl w:val="0"/>
          <w:numId w:val="1004"/>
        </w:numPr>
      </w:pPr>
      <w:r>
        <w:t xml:space="preserve">The R script build_lipper_category.R replicates this procedure programmatically and produces lipper_category_output.xlsx. The Lipper_Category column from that file is merged into the static sheet of fund_data.xlsx, making the classification available to all downstream R scripts via the panel object.</w:t>
      </w:r>
    </w:p>
    <w:p>
      <w:pPr>
        <w:numPr>
          <w:ilvl w:val="0"/>
          <w:numId w:val="1004"/>
        </w:numPr>
      </w:pPr>
      <w:r>
        <w:t xml:space="preserve">This procedure should be documented in the dissertation data appendix under the heading</w:t>
      </w:r>
      <w:r>
        <w:t xml:space="preserve"> </w:t>
      </w:r>
      <w:r>
        <w:t xml:space="preserve">“</w:t>
      </w:r>
      <w:r>
        <w:t xml:space="preserve">Lipper Category Assignment for Funds with Missing LSEG Classification</w:t>
      </w:r>
      <w:r>
        <w:t xml:space="preserve">”</w:t>
      </w:r>
      <w:r>
        <w:t xml:space="preserve">.</w:t>
      </w:r>
    </w:p>
    <w:p>
      <w:pPr>
        <w:pStyle w:val="FirstParagraph"/>
      </w:pPr>
      <w:r>
        <w:rPr>
          <w:iCs/>
          <w:i/>
        </w:rPr>
        <w:t xml:space="preserve">Classification produced: March 2026. Script: build_lipper_category.R. Output: lipper_category_output.xlsx.</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2026-04-18T16:47:48Z</dcterms:created>
  <dcterms:modified xsi:type="dcterms:W3CDTF">2026-04-18T16:47:48Z</dcterms:modified>
</cp:coreProperties>
</file>

<file path=docProps/custom.xml><?xml version="1.0" encoding="utf-8"?>
<Properties xmlns="http://schemas.openxmlformats.org/officeDocument/2006/custom-properties" xmlns:vt="http://schemas.openxmlformats.org/officeDocument/2006/docPropsVTypes"/>
</file>