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Persistence Testing Methodology</w:t>
      </w:r>
    </w:p>
    <w:p>
      <w:pPr>
        <w:pStyle w:val="BodyText"/>
      </w:pPr>
      <w:r>
        <w:rPr>
          <w:iCs/>
          <w:i/>
        </w:rPr>
        <w:t xml:space="preserve">The Active Management Puzzle — PhD Dissertation</w:t>
      </w:r>
    </w:p>
    <w:p>
      <w:pPr>
        <w:pStyle w:val="BodyText"/>
      </w:pPr>
      <w:r>
        <w:t xml:space="preserve">Boğaziçi University | Department of Management | Supervisor: Prof. Vedat Akgiray</w:t>
      </w:r>
    </w:p>
    <w:bookmarkStart w:id="20" w:name="purpose-and-scope"/>
    <w:p>
      <w:pPr>
        <w:pStyle w:val="Heading1"/>
      </w:pPr>
      <w:r>
        <w:rPr>
          <w:bCs/>
          <w:b/>
        </w:rPr>
        <w:t xml:space="preserve">1. Purpose and Scope</w:t>
      </w:r>
    </w:p>
    <w:p>
      <w:pPr>
        <w:pStyle w:val="FirstParagraph"/>
      </w:pPr>
      <w:r>
        <w:t xml:space="preserve">This document specifies the complete methodology for the performance persistence tests reported in the dissertation. Two complementary methods are implemented. The first, following Carhart (1997), uses parametric inference on the holding-period alphas of decile portfolios formed by past performance rank. The second, following Kosowski, Timmermann, Wermers and White (2006, hereafter KTWW), augments the Carhart portfolio framework with a cross-sectional bootstrap that replaces parametric t-tests with empirically calibrated null distributions, correcting for the non-normality and cross-sectional heterogeneity documented in mutual fund return distributions.</w:t>
      </w:r>
    </w:p>
    <w:p>
      <w:pPr>
        <w:pStyle w:val="BodyText"/>
      </w:pPr>
      <w:r>
        <w:t xml:space="preserve">Both methods share identical formation and holding period designs, enabling direct comparison of inference across methodologies. The tests are implemented over the full sample and separately within each of the three structural sub-periods identified by the Bai-Perron (1998, 2003) multiple structural break test (Appendix D.1), providing a regime-conditional perspective on persistence dynamics.</w:t>
      </w:r>
    </w:p>
    <w:bookmarkEnd w:id="20"/>
    <w:bookmarkStart w:id="25" w:name="formation-and-holding-period-design"/>
    <w:p>
      <w:pPr>
        <w:pStyle w:val="Heading1"/>
      </w:pPr>
      <w:r>
        <w:rPr>
          <w:bCs/>
          <w:b/>
        </w:rPr>
        <w:t xml:space="preserve">2. Formation and Holding Period Design</w:t>
      </w:r>
    </w:p>
    <w:bookmarkStart w:id="21" w:name="window-lengths"/>
    <w:p>
      <w:pPr>
        <w:pStyle w:val="Heading2"/>
      </w:pPr>
      <w:r>
        <w:rPr>
          <w:bCs/>
          <w:b/>
        </w:rPr>
        <w:t xml:space="preserve">2.1 Window Lengths</w:t>
      </w:r>
    </w:p>
    <w:p>
      <w:pPr>
        <w:pStyle w:val="FirstParagraph"/>
      </w:pPr>
      <w:r>
        <w:t xml:space="preserve">The formation period is set to</w:t>
      </w:r>
      <w:r>
        <w:t xml:space="preserve"> </w:t>
      </w:r>
      <w:r>
        <w:rPr>
          <w:bCs/>
          <w:b/>
        </w:rPr>
        <w:t xml:space="preserve">36 months</w:t>
      </w:r>
      <w:r>
        <w:t xml:space="preserve"> </w:t>
      </w:r>
      <w:r>
        <w:t xml:space="preserve">and the holding period to</w:t>
      </w:r>
      <w:r>
        <w:t xml:space="preserve"> </w:t>
      </w:r>
      <w:r>
        <w:rPr>
          <w:bCs/>
          <w:b/>
        </w:rPr>
        <w:t xml:space="preserve">12 months</w:t>
      </w:r>
      <w:r>
        <w:t xml:space="preserve">. These are the standard choices in the persistence literature and directly replicate the design of Carhart (1997) and KTWW (2006). The justification is as follows.</w:t>
      </w:r>
    </w:p>
    <w:p>
      <w:pPr>
        <w:pStyle w:val="BodyText"/>
      </w:pPr>
      <w:r>
        <w:t xml:space="preserve">A 36-month formation window provides sufficient observations to estimate Carhart (1997) four-factor loadings and alphas with reasonable precision. Individual fund alpha estimates are noisy; KTWW (2006, Table VII, Panel B) demonstrate that shortening the formation window to 12 months dramatically increases non-normality in the alpha distribution of ranked portfolios, because funds with extreme observed short-window alphas are disproportionately likely to be outliers due to sampling variation rather than genuine skill. The 36-month window substantially mitigates this noise-sorting problem.</w:t>
      </w:r>
    </w:p>
    <w:p>
      <w:pPr>
        <w:pStyle w:val="BodyText"/>
      </w:pPr>
      <w:r>
        <w:t xml:space="preserve">A 12-month holding period is the universal standard in the literature (Carhart, 1997; KTWW, 2006; Gruber, 1996; Bollen and Busse, 2005). It represents a natural investment horizon and avoids conflating momentum effects — which decay rapidly beyond 12 months — with genuine managerial skill persistence.</w:t>
      </w:r>
    </w:p>
    <w:bookmarkEnd w:id="21"/>
    <w:bookmarkStart w:id="22" w:name="non-overlapping-cohort-structure"/>
    <w:p>
      <w:pPr>
        <w:pStyle w:val="Heading2"/>
      </w:pPr>
      <w:r>
        <w:rPr>
          <w:bCs/>
          <w:b/>
        </w:rPr>
        <w:t xml:space="preserve">2.2 Non-Overlapping Cohort Structure</w:t>
      </w:r>
    </w:p>
    <w:p>
      <w:pPr>
        <w:pStyle w:val="FirstParagraph"/>
      </w:pPr>
      <w:r>
        <w:t xml:space="preserve">Formation and holding windows are non-overlapping and do not share calendar months. Ranking date</w:t>
      </w:r>
      <w:r>
        <w:t xml:space="preserve"> </w:t>
      </w:r>
      <w:r>
        <w:rPr>
          <w:iCs/>
          <w:i/>
        </w:rPr>
        <w:t xml:space="preserve">k</w:t>
      </w:r>
      <w:r>
        <w:t xml:space="preserve"> </w:t>
      </w:r>
      <w:r>
        <w:t xml:space="preserve">uses the 36 months ending at the close of year</w:t>
      </w:r>
      <w:r>
        <w:t xml:space="preserve"> </w:t>
      </w:r>
      <w:r>
        <w:rPr>
          <w:iCs/>
          <w:i/>
        </w:rPr>
        <w:t xml:space="preserve">k</w:t>
      </w:r>
      <w:r>
        <w:t xml:space="preserve">, with the subsequent 12 calendar months constituting holding period</w:t>
      </w:r>
      <w:r>
        <w:t xml:space="preserve"> </w:t>
      </w:r>
      <w:r>
        <w:rPr>
          <w:iCs/>
          <w:i/>
        </w:rPr>
        <w:t xml:space="preserve">k</w:t>
      </w:r>
      <w:r>
        <w:t xml:space="preserve">. The cohort at ranking date</w:t>
      </w:r>
      <w:r>
        <w:t xml:space="preserve"> </w:t>
      </w:r>
      <w:r>
        <w:rPr>
          <w:iCs/>
          <w:i/>
        </w:rPr>
        <w:t xml:space="preserve">k</w:t>
      </w:r>
      <w:r>
        <w:t xml:space="preserve"> </w:t>
      </w:r>
      <w:r>
        <w:t xml:space="preserve">therefore comprises all active funds in the Evans (2010) corrected panel with at least 24 monthly return observations during the formation window.</w:t>
      </w:r>
    </w:p>
    <w:p>
      <w:pPr>
        <w:pStyle w:val="BodyText"/>
      </w:pPr>
      <w:r>
        <w:t xml:space="preserve">For the full sample (January 1995 – February 2026), the following non-overlapping cohorts are available: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Cohort</w:t>
            </w:r>
          </w:p>
        </w:tc>
        <w:tc>
          <w:tcPr/>
          <w:p>
            <w:pPr>
              <w:pStyle w:val="Compact"/>
              <w:jc w:val="left"/>
            </w:pPr>
            <w:r>
              <w:rPr>
                <w:bCs/>
                <w:b/>
              </w:rPr>
              <w:t xml:space="preserve">Formation Window</w:t>
            </w:r>
          </w:p>
        </w:tc>
        <w:tc>
          <w:tcPr/>
          <w:p>
            <w:pPr>
              <w:pStyle w:val="Compact"/>
              <w:jc w:val="left"/>
            </w:pPr>
            <w:r>
              <w:rPr>
                <w:bCs/>
                <w:b/>
              </w:rPr>
              <w:t xml:space="preserve">Holding Window</w:t>
            </w:r>
          </w:p>
        </w:tc>
        <w:tc>
          <w:tcPr/>
          <w:p>
            <w:pPr>
              <w:pStyle w:val="Compact"/>
              <w:jc w:val="left"/>
            </w:pPr>
            <w:r>
              <w:rPr>
                <w:bCs/>
                <w:b/>
              </w:rPr>
              <w:t xml:space="preserve">Regime</w:t>
            </w:r>
          </w:p>
        </w:tc>
      </w:tr>
      <w:tr>
        <w:tc>
          <w:tcPr/>
          <w:p>
            <w:pPr>
              <w:pStyle w:val="Compact"/>
              <w:jc w:val="left"/>
            </w:pPr>
            <w:r>
              <w:t xml:space="preserve">1</w:t>
            </w:r>
          </w:p>
        </w:tc>
        <w:tc>
          <w:tcPr/>
          <w:p>
            <w:pPr>
              <w:pStyle w:val="Compact"/>
              <w:jc w:val="left"/>
            </w:pPr>
            <w:r>
              <w:t xml:space="preserve">Jan 1995 – Dec 1997</w:t>
            </w:r>
          </w:p>
        </w:tc>
        <w:tc>
          <w:tcPr/>
          <w:p>
            <w:pPr>
              <w:pStyle w:val="Compact"/>
              <w:jc w:val="left"/>
            </w:pPr>
            <w:r>
              <w:t xml:space="preserve">Jan 1998 – Dec 1998</w:t>
            </w:r>
          </w:p>
        </w:tc>
        <w:tc>
          <w:tcPr/>
          <w:p>
            <w:pPr>
              <w:pStyle w:val="Compact"/>
              <w:jc w:val="left"/>
            </w:pPr>
            <w:r>
              <w:t xml:space="preserve">P1</w:t>
            </w:r>
          </w:p>
        </w:tc>
      </w:tr>
      <w:tr>
        <w:tc>
          <w:tcPr/>
          <w:p>
            <w:pPr>
              <w:pStyle w:val="Compact"/>
              <w:jc w:val="left"/>
            </w:pPr>
            <w:r>
              <w:t xml:space="preserve">2</w:t>
            </w:r>
          </w:p>
        </w:tc>
        <w:tc>
          <w:tcPr/>
          <w:p>
            <w:pPr>
              <w:pStyle w:val="Compact"/>
              <w:jc w:val="left"/>
            </w:pPr>
            <w:r>
              <w:t xml:space="preserve">Jan 1999 – Dec 2001</w:t>
            </w:r>
          </w:p>
        </w:tc>
        <w:tc>
          <w:tcPr/>
          <w:p>
            <w:pPr>
              <w:pStyle w:val="Compact"/>
              <w:jc w:val="left"/>
            </w:pPr>
            <w:r>
              <w:t xml:space="preserve">Jan 2002 – Dec 2002</w:t>
            </w:r>
          </w:p>
        </w:tc>
        <w:tc>
          <w:tcPr/>
          <w:p>
            <w:pPr>
              <w:pStyle w:val="Compact"/>
              <w:jc w:val="left"/>
            </w:pPr>
            <w:r>
              <w:t xml:space="preserve">P1</w:t>
            </w:r>
          </w:p>
        </w:tc>
      </w:tr>
      <w:tr>
        <w:tc>
          <w:tcPr/>
          <w:p>
            <w:pPr>
              <w:pStyle w:val="Compact"/>
              <w:jc w:val="left"/>
            </w:pPr>
            <w:r>
              <w:t xml:space="preserve">3</w:t>
            </w:r>
          </w:p>
        </w:tc>
        <w:tc>
          <w:tcPr/>
          <w:p>
            <w:pPr>
              <w:pStyle w:val="Compact"/>
              <w:jc w:val="left"/>
            </w:pPr>
            <w:r>
              <w:t xml:space="preserve">Jan 2003 – Dec 2005</w:t>
            </w:r>
          </w:p>
        </w:tc>
        <w:tc>
          <w:tcPr/>
          <w:p>
            <w:pPr>
              <w:pStyle w:val="Compact"/>
              <w:jc w:val="left"/>
            </w:pPr>
            <w:r>
              <w:t xml:space="preserve">Jan 2006 – Dec 2006</w:t>
            </w:r>
          </w:p>
        </w:tc>
        <w:tc>
          <w:tcPr/>
          <w:p>
            <w:pPr>
              <w:pStyle w:val="Compact"/>
              <w:jc w:val="left"/>
            </w:pPr>
            <w:r>
              <w:t xml:space="preserve">P1/P2</w:t>
            </w:r>
          </w:p>
        </w:tc>
      </w:tr>
      <w:tr>
        <w:tc>
          <w:tcPr/>
          <w:p>
            <w:pPr>
              <w:pStyle w:val="Compact"/>
              <w:jc w:val="left"/>
            </w:pPr>
            <w:r>
              <w:t xml:space="preserve">4</w:t>
            </w:r>
          </w:p>
        </w:tc>
        <w:tc>
          <w:tcPr/>
          <w:p>
            <w:pPr>
              <w:pStyle w:val="Compact"/>
              <w:jc w:val="left"/>
            </w:pPr>
            <w:r>
              <w:t xml:space="preserve">Jan 2007 – Dec 2009</w:t>
            </w:r>
          </w:p>
        </w:tc>
        <w:tc>
          <w:tcPr/>
          <w:p>
            <w:pPr>
              <w:pStyle w:val="Compact"/>
              <w:jc w:val="left"/>
            </w:pPr>
            <w:r>
              <w:t xml:space="preserve">Jan 2010 – Dec 2010</w:t>
            </w:r>
          </w:p>
        </w:tc>
        <w:tc>
          <w:tcPr/>
          <w:p>
            <w:pPr>
              <w:pStyle w:val="Compact"/>
              <w:jc w:val="left"/>
            </w:pPr>
            <w:r>
              <w:t xml:space="preserve">P2</w:t>
            </w:r>
          </w:p>
        </w:tc>
      </w:tr>
      <w:tr>
        <w:tc>
          <w:tcPr/>
          <w:p>
            <w:pPr>
              <w:pStyle w:val="Compact"/>
              <w:jc w:val="left"/>
            </w:pPr>
            <w:r>
              <w:t xml:space="preserve">5</w:t>
            </w:r>
          </w:p>
        </w:tc>
        <w:tc>
          <w:tcPr/>
          <w:p>
            <w:pPr>
              <w:pStyle w:val="Compact"/>
              <w:jc w:val="left"/>
            </w:pPr>
            <w:r>
              <w:t xml:space="preserve">Jan 2011 – Dec 2013</w:t>
            </w:r>
          </w:p>
        </w:tc>
        <w:tc>
          <w:tcPr/>
          <w:p>
            <w:pPr>
              <w:pStyle w:val="Compact"/>
              <w:jc w:val="left"/>
            </w:pPr>
            <w:r>
              <w:t xml:space="preserve">Jan 2014 – Dec 2014</w:t>
            </w:r>
          </w:p>
        </w:tc>
        <w:tc>
          <w:tcPr/>
          <w:p>
            <w:pPr>
              <w:pStyle w:val="Compact"/>
              <w:jc w:val="left"/>
            </w:pPr>
            <w:r>
              <w:t xml:space="preserve">P2/P3</w:t>
            </w:r>
          </w:p>
        </w:tc>
      </w:tr>
      <w:tr>
        <w:tc>
          <w:tcPr/>
          <w:p>
            <w:pPr>
              <w:pStyle w:val="Compact"/>
              <w:jc w:val="left"/>
            </w:pPr>
            <w:r>
              <w:t xml:space="preserve">6</w:t>
            </w:r>
          </w:p>
        </w:tc>
        <w:tc>
          <w:tcPr/>
          <w:p>
            <w:pPr>
              <w:pStyle w:val="Compact"/>
              <w:jc w:val="left"/>
            </w:pPr>
            <w:r>
              <w:t xml:space="preserve">Jan 2015 – Dec 2017</w:t>
            </w:r>
          </w:p>
        </w:tc>
        <w:tc>
          <w:tcPr/>
          <w:p>
            <w:pPr>
              <w:pStyle w:val="Compact"/>
              <w:jc w:val="left"/>
            </w:pPr>
            <w:r>
              <w:t xml:space="preserve">Jan 2018 – Dec 2018</w:t>
            </w:r>
          </w:p>
        </w:tc>
        <w:tc>
          <w:tcPr/>
          <w:p>
            <w:pPr>
              <w:pStyle w:val="Compact"/>
              <w:jc w:val="left"/>
            </w:pPr>
            <w:r>
              <w:t xml:space="preserve">P3</w:t>
            </w:r>
          </w:p>
        </w:tc>
      </w:tr>
      <w:tr>
        <w:tc>
          <w:tcPr/>
          <w:p>
            <w:pPr>
              <w:pStyle w:val="Compact"/>
              <w:jc w:val="left"/>
            </w:pPr>
            <w:r>
              <w:t xml:space="preserve">7</w:t>
            </w:r>
          </w:p>
        </w:tc>
        <w:tc>
          <w:tcPr/>
          <w:p>
            <w:pPr>
              <w:pStyle w:val="Compact"/>
              <w:jc w:val="left"/>
            </w:pPr>
            <w:r>
              <w:t xml:space="preserve">Jan 2019 – Dec 2021</w:t>
            </w:r>
          </w:p>
        </w:tc>
        <w:tc>
          <w:tcPr/>
          <w:p>
            <w:pPr>
              <w:pStyle w:val="Compact"/>
              <w:jc w:val="left"/>
            </w:pPr>
            <w:r>
              <w:t xml:space="preserve">Jan 2022 – Dec 2022</w:t>
            </w:r>
          </w:p>
        </w:tc>
        <w:tc>
          <w:tcPr/>
          <w:p>
            <w:pPr>
              <w:pStyle w:val="Compact"/>
              <w:jc w:val="left"/>
            </w:pPr>
            <w:r>
              <w:t xml:space="preserve">P3</w:t>
            </w:r>
          </w:p>
        </w:tc>
      </w:tr>
      <w:tr>
        <w:tc>
          <w:tcPr/>
          <w:p>
            <w:pPr>
              <w:pStyle w:val="Compact"/>
              <w:jc w:val="left"/>
            </w:pPr>
            <w:r>
              <w:t xml:space="preserve">8</w:t>
            </w:r>
          </w:p>
        </w:tc>
        <w:tc>
          <w:tcPr/>
          <w:p>
            <w:pPr>
              <w:pStyle w:val="Compact"/>
              <w:jc w:val="left"/>
            </w:pPr>
            <w:r>
              <w:t xml:space="preserve">Jan 2023 – Dec 2025</w:t>
            </w:r>
          </w:p>
        </w:tc>
        <w:tc>
          <w:tcPr/>
          <w:p>
            <w:pPr>
              <w:pStyle w:val="Compact"/>
              <w:jc w:val="left"/>
            </w:pPr>
            <w:r>
              <w:t xml:space="preserve">Jan 2026 – Feb 2026 (partial)</w:t>
            </w:r>
          </w:p>
        </w:tc>
        <w:tc>
          <w:tcPr/>
          <w:p>
            <w:pPr>
              <w:pStyle w:val="Compact"/>
              <w:jc w:val="left"/>
            </w:pPr>
            <w:r>
              <w:t xml:space="preserve">P3</w:t>
            </w:r>
          </w:p>
        </w:tc>
      </w:tr>
    </w:tbl>
    <w:p>
      <w:pPr>
        <w:pStyle w:val="BodyText"/>
      </w:pPr>
      <w:r>
        <w:t xml:space="preserve">Cohort 8 has only two holding-period months available and is excluded from inference. Seven complete cohorts are retained for the main analysis, yielding a pooled holding-period time series of 84 monthly portfolio return observations per decile — sufficient for well-identified five-parameter Carhart regressions with Newey-West (1987) standard errors.</w:t>
      </w:r>
    </w:p>
    <w:p>
      <w:pPr>
        <w:pStyle w:val="BodyText"/>
      </w:pPr>
      <w:r>
        <w:t xml:space="preserve">Regime labels in the final column refer to the Bai-Perron sub-periods: P1 (December 1996 – December 2005), P2 (January 2006 – November 2011), and P3 (December 2011 – January 2026). Three cohorts straddle a regime boundary (cohorts 3 and 5). For sub-period persistence analysis, the formation period determines the regime assignment.</w:t>
      </w:r>
    </w:p>
    <w:bookmarkEnd w:id="22"/>
    <w:bookmarkStart w:id="23" w:name="formation-period-alpha-estimation"/>
    <w:p>
      <w:pPr>
        <w:pStyle w:val="Heading2"/>
      </w:pPr>
      <w:r>
        <w:rPr>
          <w:bCs/>
          <w:b/>
        </w:rPr>
        <w:t xml:space="preserve">2.3 Formation-Period Alpha Estimation</w:t>
      </w:r>
    </w:p>
    <w:p>
      <w:pPr>
        <w:pStyle w:val="FirstParagraph"/>
      </w:pPr>
      <w:r>
        <w:t xml:space="preserve">For each fund</w:t>
      </w:r>
      <w:r>
        <w:t xml:space="preserve"> </w:t>
      </w:r>
      <w:r>
        <w:rPr>
          <w:iCs/>
          <w:i/>
        </w:rPr>
        <w:t xml:space="preserve">i</w:t>
      </w:r>
      <w:r>
        <w:t xml:space="preserve"> </w:t>
      </w:r>
      <w:r>
        <w:t xml:space="preserve">and each cohort</w:t>
      </w:r>
      <w:r>
        <w:t xml:space="preserve"> </w:t>
      </w:r>
      <w:r>
        <w:rPr>
          <w:iCs/>
          <w:i/>
        </w:rPr>
        <w:t xml:space="preserve">k</w:t>
      </w:r>
      <w:r>
        <w:t xml:space="preserve">, the Carhart (1997) four-factor model is estimated by OLS over the 36-month formation window:</w:t>
      </w:r>
    </w:p>
    <w:p>
      <w:pPr>
        <w:pStyle w:val="BodyText"/>
      </w:pPr>
      <w:r>
        <w:t xml:space="preserve">r_it - RF_t = alpha_i + beta_i * MKT_RF_t + s_i * SMB_t + h_i * HML_t + p_i * MOM_t + epsilon_it</w:t>
      </w:r>
    </w:p>
    <w:p>
      <w:pPr>
        <w:pStyle w:val="BodyText"/>
      </w:pPr>
      <w:r>
        <w:t xml:space="preserve">where</w:t>
      </w:r>
      <w:r>
        <w:t xml:space="preserve"> </w:t>
      </w:r>
      <w:r>
        <w:rPr>
          <w:iCs/>
          <w:i/>
        </w:rPr>
        <w:t xml:space="preserve">r_it</w:t>
      </w:r>
      <w:r>
        <w:t xml:space="preserve"> </w:t>
      </w:r>
      <w:r>
        <w:t xml:space="preserve">is the gross monthly return of fund</w:t>
      </w:r>
      <w:r>
        <w:t xml:space="preserve"> </w:t>
      </w:r>
      <w:r>
        <w:rPr>
          <w:iCs/>
          <w:i/>
        </w:rPr>
        <w:t xml:space="preserve">i</w:t>
      </w:r>
      <w:r>
        <w:t xml:space="preserve">,</w:t>
      </w:r>
      <w:r>
        <w:t xml:space="preserve"> </w:t>
      </w:r>
      <w:r>
        <w:rPr>
          <w:iCs/>
          <w:i/>
        </w:rPr>
        <w:t xml:space="preserve">RF_t</w:t>
      </w:r>
      <w:r>
        <w:t xml:space="preserve"> </w:t>
      </w:r>
      <w:r>
        <w:t xml:space="preserve">is the one-month Treasury bill rate, and the right-hand-side factors are the Fama-French-Carhart four factors sourced from the Kenneth French data library. Gross returns are used for consistency with the main bootstrap analysis (Tables 9–10); the gross/net distinction is handled at the reporting stage.</w:t>
      </w:r>
    </w:p>
    <w:p>
      <w:pPr>
        <w:pStyle w:val="BodyText"/>
      </w:pPr>
      <w:r>
        <w:t xml:space="preserve">The ranking signal is the t-statistic of the formation-period alpha,</w:t>
      </w:r>
      <w:r>
        <w:t xml:space="preserve"> </w:t>
      </w:r>
      <w:r>
        <w:rPr>
          <w:iCs/>
          <w:i/>
        </w:rPr>
        <w:t xml:space="preserve">t(alpha_i)</w:t>
      </w:r>
      <w:r>
        <w:t xml:space="preserve">, estimated with Newey-West (1987) heteroskedasticity and autocorrelation consistent standard errors using a lag truncation of 3 months (consistent with the main analysis). Using the t-statistic rather than the raw alpha as the sorting variable is the preferred specification in KTWW (2006) because it normalises by estimation precision, thereby reducing the influence of short-lived funds and high-volatility funds whose extreme alpha estimates are more likely to reflect sampling noise than genuine skill. This is the specification used for the main results; raw-alpha ranking is implemented as a robustness check following KTWW (2006, Table VII, Panel B).</w:t>
      </w:r>
    </w:p>
    <w:bookmarkEnd w:id="23"/>
    <w:bookmarkStart w:id="24" w:name="decile-portfolio-formation"/>
    <w:p>
      <w:pPr>
        <w:pStyle w:val="Heading2"/>
      </w:pPr>
      <w:r>
        <w:rPr>
          <w:bCs/>
          <w:b/>
        </w:rPr>
        <w:t xml:space="preserve">2.4 Decile Portfolio Formation</w:t>
      </w:r>
    </w:p>
    <w:p>
      <w:pPr>
        <w:pStyle w:val="FirstParagraph"/>
      </w:pPr>
      <w:r>
        <w:t xml:space="preserve">At each ranking date</w:t>
      </w:r>
      <w:r>
        <w:t xml:space="preserve"> </w:t>
      </w:r>
      <w:r>
        <w:rPr>
          <w:iCs/>
          <w:i/>
        </w:rPr>
        <w:t xml:space="preserve">k</w:t>
      </w:r>
      <w:r>
        <w:t xml:space="preserve">, all eligible funds are sorted into ten deciles by their formation-period alpha t-statistic, with Decile 1 containing the highest-ranked funds and Decile 10 the lowest. Equal-weighted portfolios are formed within each decile. The top and bottom individual funds — the single highest and lowest ranked fund at each ranking date — are tracked separately, following KTWW (2006), to assess whether the very extremes of the cross-section exhibit significant performance.</w:t>
      </w:r>
    </w:p>
    <w:p>
      <w:pPr>
        <w:pStyle w:val="BodyText"/>
      </w:pPr>
      <w:r>
        <w:t xml:space="preserve">Portfolio membership is re-determined at each ranking date. Funds that die during the 12-month holding period are included through their last available return and the portfolio is rebalanced proportionally among surviving members in the following month. This treatment is standard in the literature (Carhart, 1997; KTWW, 2006) and ensures that dead-fund returns are not excluded from the holding-period portfolio — their exclusion would attenuate negative alpha estimates for the bottom decile, biasing persistence inference toward zero in exactly the economically interesting tail.</w:t>
      </w:r>
    </w:p>
    <w:bookmarkEnd w:id="24"/>
    <w:bookmarkEnd w:id="25"/>
    <w:bookmarkStart w:id="31" w:name="X162621bc77b20fe27d9894dfdeecc1abc964572"/>
    <w:p>
      <w:pPr>
        <w:pStyle w:val="Heading1"/>
      </w:pPr>
      <w:r>
        <w:rPr>
          <w:bCs/>
          <w:b/>
        </w:rPr>
        <w:t xml:space="preserve">3. Method 1: Carhart (1997) — Parametric Inference</w:t>
      </w:r>
    </w:p>
    <w:bookmarkStart w:id="26" w:name="overview"/>
    <w:p>
      <w:pPr>
        <w:pStyle w:val="Heading2"/>
      </w:pPr>
      <w:r>
        <w:rPr>
          <w:bCs/>
          <w:b/>
        </w:rPr>
        <w:t xml:space="preserve">3.1 Overview</w:t>
      </w:r>
    </w:p>
    <w:p>
      <w:pPr>
        <w:pStyle w:val="FirstParagraph"/>
      </w:pPr>
      <w:r>
        <w:t xml:space="preserve">The Carhart (1997) persistence test evaluates whether decile portfolios formed on past alpha rank generate significantly positive or negative alphas in the subsequent holding period, using standard parametric t-tests for inference. It is the benchmark method in the persistence literature and serves as the reference point against which the KTWW bootstrap results are assessed.</w:t>
      </w:r>
    </w:p>
    <w:bookmarkEnd w:id="26"/>
    <w:bookmarkStart w:id="27" w:name="pooled-holding-period-regression"/>
    <w:p>
      <w:pPr>
        <w:pStyle w:val="Heading2"/>
      </w:pPr>
      <w:r>
        <w:rPr>
          <w:bCs/>
          <w:b/>
        </w:rPr>
        <w:t xml:space="preserve">3.2 Pooled Holding-Period Regression</w:t>
      </w:r>
    </w:p>
    <w:p>
      <w:pPr>
        <w:pStyle w:val="FirstParagraph"/>
      </w:pPr>
      <w:r>
        <w:t xml:space="preserve">For each decile</w:t>
      </w:r>
      <w:r>
        <w:t xml:space="preserve"> </w:t>
      </w:r>
      <w:r>
        <w:rPr>
          <w:iCs/>
          <w:i/>
        </w:rPr>
        <w:t xml:space="preserve">d</w:t>
      </w:r>
      <w:r>
        <w:t xml:space="preserve"> </w:t>
      </w:r>
      <w:r>
        <w:t xml:space="preserve">(d = 1, …, 10), the monthly equal-weighted portfolio return is computed for each month of each holding year. These monthly portfolio returns are stacked across all cohorts</w:t>
      </w:r>
      <w:r>
        <w:t xml:space="preserve"> </w:t>
      </w:r>
      <w:r>
        <w:rPr>
          <w:iCs/>
          <w:i/>
        </w:rPr>
        <w:t xml:space="preserve">k = 1, …, K</w:t>
      </w:r>
      <w:r>
        <w:t xml:space="preserve"> </w:t>
      </w:r>
      <w:r>
        <w:t xml:space="preserve">to form a single pooled time series of length</w:t>
      </w:r>
      <w:r>
        <w:t xml:space="preserve"> </w:t>
      </w:r>
      <w:r>
        <w:rPr>
          <w:iCs/>
          <w:i/>
        </w:rPr>
        <w:t xml:space="preserve">T_d = 12 x K</w:t>
      </w:r>
      <w:r>
        <w:t xml:space="preserve"> </w:t>
      </w:r>
      <w:r>
        <w:t xml:space="preserve">monthly observations. The Carhart four-factor model is then estimated on this pooled series by OLS:</w:t>
      </w:r>
    </w:p>
    <w:p>
      <w:pPr>
        <w:pStyle w:val="BodyText"/>
      </w:pPr>
      <w:r>
        <w:t xml:space="preserve">R_dt - RF_t = alpha_d + beta_d * MKT_RF_t + s_d * SMB_t + h_d * HML_t + p_d * MOM_t + u_dt</w:t>
      </w:r>
    </w:p>
    <w:p>
      <w:pPr>
        <w:pStyle w:val="BodyText"/>
      </w:pPr>
      <w:r>
        <w:t xml:space="preserve">where</w:t>
      </w:r>
      <w:r>
        <w:t xml:space="preserve"> </w:t>
      </w:r>
      <w:r>
        <w:rPr>
          <w:iCs/>
          <w:i/>
        </w:rPr>
        <w:t xml:space="preserve">R_dt</w:t>
      </w:r>
      <w:r>
        <w:t xml:space="preserve"> </w:t>
      </w:r>
      <w:r>
        <w:t xml:space="preserve">is the equal-weighted gross return of decile</w:t>
      </w:r>
      <w:r>
        <w:t xml:space="preserve"> </w:t>
      </w:r>
      <w:r>
        <w:rPr>
          <w:iCs/>
          <w:i/>
        </w:rPr>
        <w:t xml:space="preserve">d</w:t>
      </w:r>
      <w:r>
        <w:t xml:space="preserve">’s portfolio in month</w:t>
      </w:r>
      <w:r>
        <w:t xml:space="preserve"> </w:t>
      </w:r>
      <w:r>
        <w:rPr>
          <w:iCs/>
          <w:i/>
        </w:rPr>
        <w:t xml:space="preserve">t</w:t>
      </w:r>
      <w:r>
        <w:t xml:space="preserve">. Factor loadings are estimated directly from the holding-period regression — they are not carried over from the formation period. The intercept</w:t>
      </w:r>
      <w:r>
        <w:t xml:space="preserve"> </w:t>
      </w:r>
      <w:r>
        <w:rPr>
          <w:iCs/>
          <w:i/>
        </w:rPr>
        <w:t xml:space="preserve">alpha_d</w:t>
      </w:r>
      <w:r>
        <w:t xml:space="preserve"> </w:t>
      </w:r>
      <w:r>
        <w:t xml:space="preserve">is the holding-period abnormal return of decile</w:t>
      </w:r>
      <w:r>
        <w:t xml:space="preserve"> </w:t>
      </w:r>
      <w:r>
        <w:rPr>
          <w:iCs/>
          <w:i/>
        </w:rPr>
        <w:t xml:space="preserve">d</w:t>
      </w:r>
      <w:r>
        <w:t xml:space="preserve">, expressed in monthly percentage points. For annualised reporting,</w:t>
      </w:r>
      <w:r>
        <w:t xml:space="preserve"> </w:t>
      </w:r>
      <w:r>
        <w:rPr>
          <w:iCs/>
          <w:i/>
        </w:rPr>
        <w:t xml:space="preserve">alpha_d</w:t>
      </w:r>
      <w:r>
        <w:t xml:space="preserve"> </w:t>
      </w:r>
      <w:r>
        <w:t xml:space="preserve">is multiplied by 12.</w:t>
      </w:r>
    </w:p>
    <w:bookmarkEnd w:id="27"/>
    <w:bookmarkStart w:id="28" w:name="the-pooling-rationale"/>
    <w:p>
      <w:pPr>
        <w:pStyle w:val="Heading2"/>
      </w:pPr>
      <w:r>
        <w:rPr>
          <w:bCs/>
          <w:b/>
        </w:rPr>
        <w:t xml:space="preserve">3.3 The Pooling Rationale</w:t>
      </w:r>
    </w:p>
    <w:p>
      <w:pPr>
        <w:pStyle w:val="FirstParagraph"/>
      </w:pPr>
      <w:r>
        <w:t xml:space="preserve">Running the holding-period Carhart regression on a pooled series rather than cohort-by-cohort is a deliberate design choice. With only 12 monthly observations per cohort, estimating a five-parameter model yields unreliable coefficient estimates and standard errors with low degrees of freedom. Pooling across</w:t>
      </w:r>
      <w:r>
        <w:t xml:space="preserve"> </w:t>
      </w:r>
      <w:r>
        <w:rPr>
          <w:iCs/>
          <w:i/>
        </w:rPr>
        <w:t xml:space="preserve">K</w:t>
      </w:r>
      <w:r>
        <w:t xml:space="preserve"> </w:t>
      </w:r>
      <w:r>
        <w:t xml:space="preserve">cohorts increases the effective sample to</w:t>
      </w:r>
      <w:r>
        <w:t xml:space="preserve"> </w:t>
      </w:r>
      <w:r>
        <w:rPr>
          <w:iCs/>
          <w:i/>
        </w:rPr>
        <w:t xml:space="preserve">12K</w:t>
      </w:r>
      <w:r>
        <w:t xml:space="preserve"> </w:t>
      </w:r>
      <w:r>
        <w:t xml:space="preserve">observations, restoring degrees of freedom and the validity of asymptotic inference.</w:t>
      </w:r>
    </w:p>
    <w:p>
      <w:pPr>
        <w:pStyle w:val="BodyText"/>
      </w:pPr>
      <w:r>
        <w:t xml:space="preserve">The key assumption is that the decile portfolio’s factor loadings are sufficiently stationary across cohorts. This is plausible within a structural regime — funds consistently ranked in the top decile tend to share similar factor exposures (growth orientation, smaller-cap tilt) that are stable over time. However, pooling across structural breaks may conflate heterogeneous loading regimes. For this reason, the sub-period analysis pools only within each of the three Bai-Perron regimes, and full-sample pooling is presented as the primary result alongside sub-period breakdowns.</w:t>
      </w:r>
    </w:p>
    <w:bookmarkEnd w:id="28"/>
    <w:bookmarkStart w:id="29" w:name="statistical-inference"/>
    <w:p>
      <w:pPr>
        <w:pStyle w:val="Heading2"/>
      </w:pPr>
      <w:r>
        <w:rPr>
          <w:bCs/>
          <w:b/>
        </w:rPr>
        <w:t xml:space="preserve">3.4 Statistical Inference</w:t>
      </w:r>
    </w:p>
    <w:p>
      <w:pPr>
        <w:pStyle w:val="FirstParagraph"/>
      </w:pPr>
      <w:r>
        <w:t xml:space="preserve">The t-statistic for the holding-period alpha of each decile is computed as:</w:t>
      </w:r>
    </w:p>
    <w:p>
      <w:pPr>
        <w:pStyle w:val="BodyText"/>
      </w:pPr>
      <w:r>
        <w:t xml:space="preserve">t(alpha_d) = alpha_d / SE_NW(alpha_d)</w:t>
      </w:r>
    </w:p>
    <w:p>
      <w:pPr>
        <w:pStyle w:val="BodyText"/>
      </w:pPr>
      <w:r>
        <w:t xml:space="preserve">where</w:t>
      </w:r>
      <w:r>
        <w:t xml:space="preserve"> </w:t>
      </w:r>
      <w:r>
        <w:rPr>
          <w:iCs/>
          <w:i/>
        </w:rPr>
        <w:t xml:space="preserve">SE_NW(alpha_d)</w:t>
      </w:r>
      <w:r>
        <w:t xml:space="preserve"> </w:t>
      </w:r>
      <w:r>
        <w:t xml:space="preserve">is the Newey-West (1987) standard error with a lag truncation of 12 months, consistent with the 12-month holding period potentially inducing serial correlation in the portfolio return residuals. Inference is based on the asymptotic normal distribution: two-sided p-values are computed as</w:t>
      </w:r>
      <w:r>
        <w:t xml:space="preserve"> </w:t>
      </w:r>
      <w:r>
        <w:rPr>
          <w:iCs/>
          <w:i/>
        </w:rPr>
        <w:t xml:space="preserve">p = 2</w:t>
      </w:r>
      <w:r>
        <w:rPr>
          <w:iCs/>
          <w:i/>
        </w:rPr>
        <w:t xml:space="preserve"> </w:t>
      </w:r>
      <w:r>
        <w:t xml:space="preserve"> </w:t>
      </w:r>
      <w:r>
        <w:t xml:space="preserve">Phi(-|t(alpha_d)|)</w:t>
      </w:r>
      <w:r>
        <w:rPr>
          <w:iCs/>
          <w:i/>
        </w:rPr>
        <w:t xml:space="preserve">, where</w:t>
      </w:r>
      <w:r>
        <w:rPr>
          <w:iCs/>
          <w:i/>
        </w:rPr>
        <w:t xml:space="preserve"> </w:t>
      </w:r>
      <w:r>
        <w:t xml:space="preserve">Phi* is the standard normal CDF.</w:t>
      </w:r>
    </w:p>
    <w:p>
      <w:pPr>
        <w:pStyle w:val="BodyText"/>
      </w:pPr>
      <w:r>
        <w:t xml:space="preserve">The spread portfolio — long Decile 1, short Decile 10 — is also evaluated to test whether the top-minus-bottom alpha differential is significantly positive, as in Carhart (1997, Tables V–VI). Significance at the 10%, 5%, and 1% levels is indicated with the standard</w:t>
      </w:r>
      <w:r>
        <w:t xml:space="preserve"> </w:t>
      </w:r>
      <w:r>
        <w:rPr>
          <w:iCs/>
          <w:i/>
        </w:rPr>
        <w:t xml:space="preserve">,</w:t>
      </w:r>
      <w:r>
        <w:rPr>
          <w:iCs/>
          <w:i/>
        </w:rPr>
        <w:t xml:space="preserve"> </w:t>
      </w:r>
      <w:r>
        <w:rPr>
          <w:bCs/>
          <w:b/>
          <w:iCs/>
          <w:i/>
        </w:rPr>
        <w:t xml:space="preserve">,</w:t>
      </w:r>
      <w:r>
        <w:rPr>
          <w:bCs/>
          <w:b/>
          <w:iCs/>
          <w:i/>
        </w:rPr>
        <w:t xml:space="preserve"> </w:t>
      </w:r>
      <w:r>
        <w:t xml:space="preserve"> </w:t>
      </w:r>
      <w:r>
        <w:t xml:space="preserve">notation.</w:t>
      </w:r>
    </w:p>
    <w:bookmarkEnd w:id="29"/>
    <w:bookmarkStart w:id="30" w:name="limitations"/>
    <w:p>
      <w:pPr>
        <w:pStyle w:val="Heading2"/>
      </w:pPr>
      <w:r>
        <w:rPr>
          <w:bCs/>
          <w:b/>
        </w:rPr>
        <w:t xml:space="preserve">3.5 Limitations</w:t>
      </w:r>
    </w:p>
    <w:p>
      <w:pPr>
        <w:pStyle w:val="FirstParagraph"/>
      </w:pPr>
      <w:r>
        <w:t xml:space="preserve">KTWW (2006) demonstrate that the parametric t-test is miscalibrated for mutual fund persistence tests because holding-period decile portfolio returns are significantly non-normal — Jarque-Bera tests reject normality for virtually every decile in their sample (KTWW, 2006, Table VII). Non-normality arises from two sources: heterogeneous risk-taking across funds within each decile, and fat tails and skewness in individual fund residuals. The parametric test, which assumes the t-statistic is drawn from a standard normal null distribution, can therefore either over-reject or under-reject depending on the direction of the tail distortion. The KTWW bootstrap in Section 4 corrects for this miscalibration and is the preferred method for inference. The Carhart parametric results are reported for comparability with the prior literature, with the Jarque-Bera statistic for each decile portfolio reported alongside the alpha and t-statistic to document the extent of the non-normality problem.</w:t>
      </w:r>
    </w:p>
    <w:bookmarkEnd w:id="30"/>
    <w:bookmarkEnd w:id="31"/>
    <w:bookmarkStart w:id="43" w:name="method-2-ktww-2006-bootstrap-inference"/>
    <w:p>
      <w:pPr>
        <w:pStyle w:val="Heading1"/>
      </w:pPr>
      <w:r>
        <w:rPr>
          <w:bCs/>
          <w:b/>
        </w:rPr>
        <w:t xml:space="preserve">4. Method 2: KTWW (2006) — Bootstrap Inference</w:t>
      </w:r>
    </w:p>
    <w:bookmarkStart w:id="32" w:name="overview-and-motivation"/>
    <w:p>
      <w:pPr>
        <w:pStyle w:val="Heading2"/>
      </w:pPr>
      <w:r>
        <w:rPr>
          <w:bCs/>
          <w:b/>
        </w:rPr>
        <w:t xml:space="preserve">4.1 Overview and Motivation</w:t>
      </w:r>
    </w:p>
    <w:p>
      <w:pPr>
        <w:pStyle w:val="FirstParagraph"/>
      </w:pPr>
      <w:r>
        <w:t xml:space="preserve">The KTWW (2006) persistence test applies the same decile portfolio formation and holding-period regression as Carhart (1997) but replaces parametric inference with a cross-sectional bootstrap. The bootstrap generates an empirically calibrated null distribution of the decile portfolio alpha t-statistic under the null hypothesis of zero true alpha, without imposing any distributional assumption on fund returns. This is the same logic as the FF (2010) and BSW (2010) bootstraps in the main analysis, extended to the persistence setting.</w:t>
      </w:r>
    </w:p>
    <w:p>
      <w:pPr>
        <w:pStyle w:val="BodyText"/>
      </w:pPr>
      <w:r>
        <w:t xml:space="preserve">KTWW (2006) show that application of the bootstrap reverses one of the central findings of Carhart (1997): once non-normality is accounted for, performance persistence is statistically significant in the top decile of funds. Bottom-decile persistence of underperformance is confirmed by both methods. The key methodological insight is that the non-normality of decile portfolio returns — which arises from the ex-post cross-sectional sort — creates tail distortions that parametric tests systematically mismeasure.</w:t>
      </w:r>
    </w:p>
    <w:bookmarkEnd w:id="32"/>
    <w:bookmarkStart w:id="39" w:name="step-by-step-bootstrap-procedure"/>
    <w:p>
      <w:pPr>
        <w:pStyle w:val="Heading2"/>
      </w:pPr>
      <w:r>
        <w:rPr>
          <w:bCs/>
          <w:b/>
        </w:rPr>
        <w:t xml:space="preserve">4.2 Step-by-Step Bootstrap Procedure</w:t>
      </w:r>
    </w:p>
    <w:bookmarkStart w:id="33" w:name="step-1-formation-period-estimation"/>
    <w:p>
      <w:pPr>
        <w:pStyle w:val="Heading3"/>
      </w:pPr>
      <w:r>
        <w:rPr>
          <w:bCs/>
          <w:b/>
        </w:rPr>
        <w:t xml:space="preserve">Step 1: Formation-Period Estimation</w:t>
      </w:r>
    </w:p>
    <w:p>
      <w:pPr>
        <w:pStyle w:val="FirstParagraph"/>
      </w:pPr>
      <w:r>
        <w:t xml:space="preserve">For each fund</w:t>
      </w:r>
      <w:r>
        <w:t xml:space="preserve"> </w:t>
      </w:r>
      <w:r>
        <w:rPr>
          <w:iCs/>
          <w:i/>
        </w:rPr>
        <w:t xml:space="preserve">i</w:t>
      </w:r>
      <w:r>
        <w:t xml:space="preserve"> </w:t>
      </w:r>
      <w:r>
        <w:t xml:space="preserve">in each cohort</w:t>
      </w:r>
      <w:r>
        <w:t xml:space="preserve"> </w:t>
      </w:r>
      <w:r>
        <w:rPr>
          <w:iCs/>
          <w:i/>
        </w:rPr>
        <w:t xml:space="preserve">k</w:t>
      </w:r>
      <w:r>
        <w:t xml:space="preserve">, estimate the Carhart four-factor model over the 36-month formation window by OLS. Save the estimated factor loadings</w:t>
      </w:r>
      <w:r>
        <w:t xml:space="preserve"> </w:t>
      </w:r>
      <w:r>
        <w:rPr>
          <w:iCs/>
          <w:i/>
        </w:rPr>
        <w:t xml:space="preserve">{beta_i, s_i, h_i, p_i}</w:t>
      </w:r>
      <w:r>
        <w:t xml:space="preserve">, the formation-period residual series</w:t>
      </w:r>
      <w:r>
        <w:t xml:space="preserve"> </w:t>
      </w:r>
      <w:r>
        <w:rPr>
          <w:iCs/>
          <w:i/>
        </w:rPr>
        <w:t xml:space="preserve">{epsilon_it}</w:t>
      </w:r>
      <w:r>
        <w:t xml:space="preserve">, and the formation-period alpha t-statistic</w:t>
      </w:r>
      <w:r>
        <w:t xml:space="preserve"> </w:t>
      </w:r>
      <w:r>
        <w:rPr>
          <w:iCs/>
          <w:i/>
        </w:rPr>
        <w:t xml:space="preserve">t(alpha_i)</w:t>
      </w:r>
      <w:r>
        <w:t xml:space="preserve">. These formation-period quantities serve as (i) the ranking signal and (ii) the parameters used to construct null pseudo-returns in the bootstrap.</w:t>
      </w:r>
    </w:p>
    <w:bookmarkEnd w:id="33"/>
    <w:bookmarkStart w:id="34" w:name="step-2-rank-and-form-decile-portfolios"/>
    <w:p>
      <w:pPr>
        <w:pStyle w:val="Heading3"/>
      </w:pPr>
      <w:r>
        <w:rPr>
          <w:bCs/>
          <w:b/>
        </w:rPr>
        <w:t xml:space="preserve">Step 2: Rank and Form Decile Portfolios</w:t>
      </w:r>
    </w:p>
    <w:p>
      <w:pPr>
        <w:pStyle w:val="FirstParagraph"/>
      </w:pPr>
      <w:r>
        <w:t xml:space="preserve">Rank all eligible funds at cohort</w:t>
      </w:r>
      <w:r>
        <w:t xml:space="preserve"> </w:t>
      </w:r>
      <w:r>
        <w:rPr>
          <w:iCs/>
          <w:i/>
        </w:rPr>
        <w:t xml:space="preserve">k</w:t>
      </w:r>
      <w:r>
        <w:t xml:space="preserve"> </w:t>
      </w:r>
      <w:r>
        <w:t xml:space="preserve">by their formation-period alpha t-statistic</w:t>
      </w:r>
      <w:r>
        <w:t xml:space="preserve"> </w:t>
      </w:r>
      <w:r>
        <w:rPr>
          <w:iCs/>
          <w:i/>
        </w:rPr>
        <w:t xml:space="preserve">t(alpha_i)</w:t>
      </w:r>
      <w:r>
        <w:t xml:space="preserve"> </w:t>
      </w:r>
      <w:r>
        <w:t xml:space="preserve">and assign to deciles as in Section 2.4. Record the identity of each fund’s decile assignment for the subsequent bootstrap. The top and bottom individual funds are tracked separately.</w:t>
      </w:r>
    </w:p>
    <w:bookmarkEnd w:id="34"/>
    <w:bookmarkStart w:id="35" w:name="Xb2b56db4e2626012b7a6df5a9790204d624fc5a"/>
    <w:p>
      <w:pPr>
        <w:pStyle w:val="Heading3"/>
      </w:pPr>
      <w:r>
        <w:rPr>
          <w:bCs/>
          <w:b/>
        </w:rPr>
        <w:t xml:space="preserve">Step 3: Compute Holding-Period Individual Fund Residuals</w:t>
      </w:r>
    </w:p>
    <w:p>
      <w:pPr>
        <w:pStyle w:val="FirstParagraph"/>
      </w:pPr>
      <w:r>
        <w:t xml:space="preserve">For each fund</w:t>
      </w:r>
      <w:r>
        <w:t xml:space="preserve"> </w:t>
      </w:r>
      <w:r>
        <w:rPr>
          <w:iCs/>
          <w:i/>
        </w:rPr>
        <w:t xml:space="preserve">i</w:t>
      </w:r>
      <w:r>
        <w:t xml:space="preserve"> </w:t>
      </w:r>
      <w:r>
        <w:t xml:space="preserve">in cohort</w:t>
      </w:r>
      <w:r>
        <w:t xml:space="preserve"> </w:t>
      </w:r>
      <w:r>
        <w:rPr>
          <w:iCs/>
          <w:i/>
        </w:rPr>
        <w:t xml:space="preserve">k</w:t>
      </w:r>
      <w:r>
        <w:t xml:space="preserve">, compute holding-period residuals by projecting the fund’s actual holding-period returns onto the Carhart factors using the</w:t>
      </w:r>
      <w:r>
        <w:t xml:space="preserve"> </w:t>
      </w:r>
      <w:r>
        <w:rPr>
          <w:bCs/>
          <w:b/>
        </w:rPr>
        <w:t xml:space="preserve">formation-period factor loadings</w:t>
      </w:r>
      <w:r>
        <w:t xml:space="preserve">:</w:t>
      </w:r>
    </w:p>
    <w:p>
      <w:pPr>
        <w:pStyle w:val="BodyText"/>
      </w:pPr>
      <w:r>
        <w:t xml:space="preserve">epsilon_it^hold = r_it - beta_i * MKT_RF_t - s_i * SMB_t - h_i * HML_t - p_i * MOM_t</w:t>
      </w:r>
    </w:p>
    <w:p>
      <w:pPr>
        <w:pStyle w:val="BodyText"/>
      </w:pPr>
      <w:r>
        <w:t xml:space="preserve">for</w:t>
      </w:r>
      <w:r>
        <w:t xml:space="preserve"> </w:t>
      </w:r>
      <w:r>
        <w:rPr>
          <w:iCs/>
          <w:i/>
        </w:rPr>
        <w:t xml:space="preserve">t</w:t>
      </w:r>
      <w:r>
        <w:t xml:space="preserve"> </w:t>
      </w:r>
      <w:r>
        <w:t xml:space="preserve">in the 12-month holding window. These are projection residuals from a known parameter vector — not from a new regression — because the null hypothesis conditions on the formation-period risk profile. The holding-period residuals thus capture the portion of the fund’s holding-period return not explained by the factor exposures established during the formation period.</w:t>
      </w:r>
    </w:p>
    <w:p>
      <w:pPr>
        <w:pStyle w:val="BodyText"/>
      </w:pPr>
      <w:r>
        <w:t xml:space="preserve">Using formation-period loadings rather than re-estimating loadings from the holding period is a deliberate design choice. First, re-estimating loadings over 12 months produces unreliable estimates. Second, and more importantly, the null being tested conditions on the fund’s known formation-period risk profile: given this profile, is the holding-period performance consistent with zero true alpha? Using holding-period estimates would conflate changes in factor loadings between periods with alpha, distorting the null.</w:t>
      </w:r>
    </w:p>
    <w:bookmarkEnd w:id="35"/>
    <w:bookmarkStart w:id="36" w:name="X5430f48ab258058186964799a3471a62ab4648c"/>
    <w:p>
      <w:pPr>
        <w:pStyle w:val="Heading3"/>
      </w:pPr>
      <w:r>
        <w:rPr>
          <w:bCs/>
          <w:b/>
        </w:rPr>
        <w:t xml:space="preserve">Step 4: Actual Holding-Period Portfolio Alpha</w:t>
      </w:r>
    </w:p>
    <w:p>
      <w:pPr>
        <w:pStyle w:val="FirstParagraph"/>
      </w:pPr>
      <w:r>
        <w:t xml:space="preserve">Pool the holding-period equal-weighted portfolio returns across all cohorts</w:t>
      </w:r>
      <w:r>
        <w:t xml:space="preserve"> </w:t>
      </w:r>
      <w:r>
        <w:rPr>
          <w:iCs/>
          <w:i/>
        </w:rPr>
        <w:t xml:space="preserve">k = 1, …, K</w:t>
      </w:r>
      <w:r>
        <w:t xml:space="preserve"> </w:t>
      </w:r>
      <w:r>
        <w:t xml:space="preserve">as in Section 3.2. Run the Carhart four-factor regression on the pooled decile portfolio return series to obtain the actual holding-period alpha</w:t>
      </w:r>
      <w:r>
        <w:t xml:space="preserve"> </w:t>
      </w:r>
      <w:r>
        <w:rPr>
          <w:iCs/>
          <w:i/>
        </w:rPr>
        <w:t xml:space="preserve">alpha_d^actual</w:t>
      </w:r>
      <w:r>
        <w:t xml:space="preserve"> </w:t>
      </w:r>
      <w:r>
        <w:t xml:space="preserve">and its t-statistic</w:t>
      </w:r>
      <w:r>
        <w:t xml:space="preserve"> </w:t>
      </w:r>
      <w:r>
        <w:rPr>
          <w:iCs/>
          <w:i/>
        </w:rPr>
        <w:t xml:space="preserve">t(alpha_d^actual)</w:t>
      </w:r>
      <w:r>
        <w:t xml:space="preserve">. This is the observed test statistic against which the bootstrap null distribution will be compared.</w:t>
      </w:r>
    </w:p>
    <w:bookmarkEnd w:id="36"/>
    <w:bookmarkStart w:id="37" w:name="step-5-bootstrap-iteration"/>
    <w:p>
      <w:pPr>
        <w:pStyle w:val="Heading3"/>
      </w:pPr>
      <w:r>
        <w:rPr>
          <w:bCs/>
          <w:b/>
        </w:rPr>
        <w:t xml:space="preserve">Step 5: Bootstrap Iteration</w:t>
      </w:r>
    </w:p>
    <w:p>
      <w:pPr>
        <w:pStyle w:val="FirstParagraph"/>
      </w:pPr>
      <w:r>
        <w:t xml:space="preserve">For each bootstrap iteration</w:t>
      </w:r>
      <w:r>
        <w:t xml:space="preserve"> </w:t>
      </w:r>
      <w:r>
        <w:rPr>
          <w:iCs/>
          <w:i/>
        </w:rPr>
        <w:t xml:space="preserve">b = 1, …, B</w:t>
      </w:r>
      <w:r>
        <w:t xml:space="preserve"> </w:t>
      </w:r>
      <w:r>
        <w:t xml:space="preserve">(B = 10,000), perform the following steps:</w:t>
      </w:r>
    </w:p>
    <w:p>
      <w:pPr>
        <w:numPr>
          <w:ilvl w:val="0"/>
          <w:numId w:val="1001"/>
        </w:numPr>
      </w:pPr>
      <w:r>
        <w:rPr>
          <w:bCs/>
          <w:b/>
        </w:rPr>
        <w:t xml:space="preserve">5a. Resample holding-period residuals:</w:t>
      </w:r>
      <w:r>
        <w:rPr>
          <w:bCs/>
          <w:b/>
        </w:rPr>
        <w:t xml:space="preserve"> </w:t>
      </w:r>
      <w:r>
        <w:t xml:space="preserve">For each fund</w:t>
      </w:r>
      <w:r>
        <w:t xml:space="preserve"> </w:t>
      </w:r>
      <w:r>
        <w:rPr>
          <w:iCs/>
          <w:i/>
        </w:rPr>
        <w:t xml:space="preserve">i</w:t>
      </w:r>
      <w:r>
        <w:t xml:space="preserve"> </w:t>
      </w:r>
      <w:r>
        <w:t xml:space="preserve">in cohort</w:t>
      </w:r>
      <w:r>
        <w:t xml:space="preserve"> </w:t>
      </w:r>
      <w:r>
        <w:rPr>
          <w:iCs/>
          <w:i/>
        </w:rPr>
        <w:t xml:space="preserve">k</w:t>
      </w:r>
      <w:r>
        <w:t xml:space="preserve">, draw a resample with replacement from that fund’s holding-period residuals</w:t>
      </w:r>
      <w:r>
        <w:t xml:space="preserve"> </w:t>
      </w:r>
      <w:r>
        <w:rPr>
          <w:iCs/>
          <w:i/>
        </w:rPr>
        <w:t xml:space="preserve">{epsilon_it</w:t>
      </w:r>
      <w:r>
        <w:rPr>
          <w:vertAlign w:val="superscript"/>
          <w:iCs/>
          <w:i/>
        </w:rPr>
        <w:t xml:space="preserve">hold}</w:t>
      </w:r>
      <w:r>
        <w:rPr>
          <w:iCs/>
          <w:i/>
          <w:vertAlign w:val="superscript"/>
          <w:iCs/>
          <w:i/>
        </w:rPr>
        <w:t xml:space="preserve">, producing</w:t>
      </w:r>
      <w:r>
        <w:rPr>
          <w:iCs/>
          <w:i/>
          <w:vertAlign w:val="superscript"/>
          <w:iCs/>
          <w:i/>
        </w:rPr>
        <w:t xml:space="preserve"> </w:t>
      </w:r>
      <w:r>
        <w:rPr>
          <w:vertAlign w:val="superscript"/>
          <w:iCs/>
          <w:i/>
        </w:rPr>
        <w:t xml:space="preserve">{epsilon_it</w:t>
      </w:r>
      <w:r>
        <w:rPr>
          <w:iCs/>
          <w:i/>
        </w:rPr>
        <w:t xml:space="preserve">b}</w:t>
      </w:r>
      <w:r>
        <w:t xml:space="preserve">. The same draw index is applied simultaneously across all funds alive in the same calendar month, preserving the contemporaneous cross-sectional correlation in residuals induced by fund herding or common exposures to omitted factors.</w:t>
      </w:r>
    </w:p>
    <w:p>
      <w:pPr>
        <w:numPr>
          <w:ilvl w:val="0"/>
          <w:numId w:val="1001"/>
        </w:numPr>
      </w:pPr>
      <w:r>
        <w:rPr>
          <w:bCs/>
          <w:b/>
        </w:rPr>
        <w:t xml:space="preserve">5b. Construct pseudo returns under the null:</w:t>
      </w:r>
      <w:r>
        <w:rPr>
          <w:bCs/>
          <w:b/>
        </w:rPr>
        <w:t xml:space="preserve"> </w:t>
      </w:r>
      <w:r>
        <w:t xml:space="preserve">For each fund</w:t>
      </w:r>
      <w:r>
        <w:t xml:space="preserve"> </w:t>
      </w:r>
      <w:r>
        <w:rPr>
          <w:iCs/>
          <w:i/>
        </w:rPr>
        <w:t xml:space="preserve">i</w:t>
      </w:r>
      <w:r>
        <w:t xml:space="preserve">, construct pseudo holding-period returns imposing zero true alpha:</w:t>
      </w:r>
    </w:p>
    <w:p>
      <w:pPr>
        <w:pStyle w:val="FirstParagraph"/>
      </w:pPr>
      <w:r>
        <w:t xml:space="preserve">r_it^b = beta_i * MKT_RF_t + s_i * SMB_t + h_i * HML_t + p_i * MOM_t + epsilon_it^b</w:t>
      </w:r>
    </w:p>
    <w:p>
      <w:pPr>
        <w:pStyle w:val="BodyText"/>
      </w:pPr>
      <w:r>
        <w:t xml:space="preserve">Note that the intercept alpha_i is set to zero by construction. Factor returns</w:t>
      </w:r>
      <w:r>
        <w:t xml:space="preserve"> </w:t>
      </w:r>
      <w:r>
        <w:rPr>
          <w:iCs/>
          <w:i/>
        </w:rPr>
        <w:t xml:space="preserve">MKT_RF_t, SMB_t, HML_t, MOM_t</w:t>
      </w:r>
      <w:r>
        <w:t xml:space="preserve"> </w:t>
      </w:r>
      <w:r>
        <w:t xml:space="preserve">are the actual calendar-month values — they are not resampled. This treats realized factor returns as given (the baseline approach of KTWW, 2006, Section III.B.1), which is appropriate because the null hypothesis concerns the fund’s idiosyncratic contribution, not the factor environment.</w:t>
      </w:r>
    </w:p>
    <w:p>
      <w:pPr>
        <w:numPr>
          <w:ilvl w:val="0"/>
          <w:numId w:val="1002"/>
        </w:numPr>
      </w:pPr>
      <w:r>
        <w:rPr>
          <w:bCs/>
          <w:b/>
        </w:rPr>
        <w:t xml:space="preserve">5c. Aggregate to decile portfolio:</w:t>
      </w:r>
      <w:r>
        <w:rPr>
          <w:bCs/>
          <w:b/>
        </w:rPr>
        <w:t xml:space="preserve"> </w:t>
      </w:r>
      <w:r>
        <w:t xml:space="preserve">Equal-weight the pseudo fund returns within each decile</w:t>
      </w:r>
      <w:r>
        <w:t xml:space="preserve"> </w:t>
      </w:r>
      <w:r>
        <w:rPr>
          <w:iCs/>
          <w:i/>
        </w:rPr>
        <w:t xml:space="preserve">d</w:t>
      </w:r>
      <w:r>
        <w:t xml:space="preserve"> </w:t>
      </w:r>
      <w:r>
        <w:t xml:space="preserve">in each cohort</w:t>
      </w:r>
      <w:r>
        <w:t xml:space="preserve"> </w:t>
      </w:r>
      <w:r>
        <w:rPr>
          <w:iCs/>
          <w:i/>
        </w:rPr>
        <w:t xml:space="preserve">k</w:t>
      </w:r>
      <w:r>
        <w:t xml:space="preserve">, then pool the pseudo portfolio returns across all cohorts to form the bootstrapped decile portfolio series.</w:t>
      </w:r>
    </w:p>
    <w:p>
      <w:pPr>
        <w:numPr>
          <w:ilvl w:val="0"/>
          <w:numId w:val="1002"/>
        </w:numPr>
      </w:pPr>
      <w:r>
        <w:rPr>
          <w:bCs/>
          <w:b/>
        </w:rPr>
        <w:t xml:space="preserve">5d. Re-estimate and record:</w:t>
      </w:r>
      <w:r>
        <w:rPr>
          <w:bCs/>
          <w:b/>
        </w:rPr>
        <w:t xml:space="preserve"> </w:t>
      </w:r>
      <w:r>
        <w:t xml:space="preserve">Run the Carhart regression on the pooled bootstrapped decile portfolio return series. Record the bootstrapped alpha t-statistic</w:t>
      </w:r>
      <w:r>
        <w:t xml:space="preserve"> </w:t>
      </w:r>
      <w:r>
        <w:rPr>
          <w:iCs/>
          <w:i/>
        </w:rPr>
        <w:t xml:space="preserve">t(alpha_d^b)</w:t>
      </w:r>
      <w:r>
        <w:t xml:space="preserve">. The non-zero value that emerges — despite the zero-alpha construction — arises purely from sampling variation in the drawn residuals. This is the object of interest: it represents what the t-statistic would look like if true alpha were zero.</w:t>
      </w:r>
    </w:p>
    <w:p>
      <w:pPr>
        <w:pStyle w:val="FirstParagraph"/>
      </w:pPr>
      <w:r>
        <w:t xml:space="preserve">Repeating Steps 5a–5d across all B iterations builds the null distribution</w:t>
      </w:r>
      <w:r>
        <w:t xml:space="preserve"> </w:t>
      </w:r>
      <w:r>
        <w:rPr>
          <w:iCs/>
          <w:i/>
        </w:rPr>
        <w:t xml:space="preserve">{t(alpha_d^b), b = 1, …, B}</w:t>
      </w:r>
      <w:r>
        <w:t xml:space="preserve"> </w:t>
      </w:r>
      <w:r>
        <w:t xml:space="preserve">for each decile</w:t>
      </w:r>
      <w:r>
        <w:t xml:space="preserve"> </w:t>
      </w:r>
      <w:r>
        <w:rPr>
          <w:iCs/>
          <w:i/>
        </w:rPr>
        <w:t xml:space="preserve">d</w:t>
      </w:r>
      <w:r>
        <w:t xml:space="preserve">. This distribution characterises how large the holding-period alpha t-statistic could be purely by chance, given the actual distributional properties of holding-period residuals.</w:t>
      </w:r>
    </w:p>
    <w:bookmarkEnd w:id="37"/>
    <w:bookmarkStart w:id="38" w:name="step-6-bootstrapped-p-values"/>
    <w:p>
      <w:pPr>
        <w:pStyle w:val="Heading3"/>
      </w:pPr>
      <w:r>
        <w:rPr>
          <w:bCs/>
          <w:b/>
        </w:rPr>
        <w:t xml:space="preserve">Step 6: Bootstrapped P-Values</w:t>
      </w:r>
    </w:p>
    <w:p>
      <w:pPr>
        <w:pStyle w:val="FirstParagraph"/>
      </w:pPr>
      <w:r>
        <w:t xml:space="preserve">The bootstrapped p-values for the right tail (evidence of skill) and left tail (evidence of anti-skill) are computed as:</w:t>
      </w:r>
    </w:p>
    <w:p>
      <w:pPr>
        <w:pStyle w:val="BodyText"/>
      </w:pPr>
      <w:r>
        <w:t xml:space="preserve">p_right(d) = (1/B) * sum_b I[ t(alpha_d^b) &gt; t(alpha_d^actual) ]</w:t>
      </w:r>
    </w:p>
    <w:p>
      <w:pPr>
        <w:pStyle w:val="BodyText"/>
      </w:pPr>
      <w:r>
        <w:t xml:space="preserve">p_left(d) = (1/B) * sum_b I[ t(alpha_d^b) &lt; t(alpha_d^actual) ]</w:t>
      </w:r>
    </w:p>
    <w:p>
      <w:pPr>
        <w:pStyle w:val="BodyText"/>
      </w:pPr>
      <w:r>
        <w:t xml:space="preserve">A small</w:t>
      </w:r>
      <w:r>
        <w:t xml:space="preserve"> </w:t>
      </w:r>
      <w:r>
        <w:rPr>
          <w:iCs/>
          <w:i/>
        </w:rPr>
        <w:t xml:space="preserve">p_right(d)</w:t>
      </w:r>
      <w:r>
        <w:t xml:space="preserve"> </w:t>
      </w:r>
      <w:r>
        <w:t xml:space="preserve">indicates that the actual t-statistic exceeds what would be expected under the zero-alpha null — evidence of genuine skill persistence in decile</w:t>
      </w:r>
      <w:r>
        <w:t xml:space="preserve"> </w:t>
      </w:r>
      <w:r>
        <w:rPr>
          <w:iCs/>
          <w:i/>
        </w:rPr>
        <w:t xml:space="preserve">d</w:t>
      </w:r>
      <w:r>
        <w:t xml:space="preserve">. A small</w:t>
      </w:r>
      <w:r>
        <w:t xml:space="preserve"> </w:t>
      </w:r>
      <w:r>
        <w:rPr>
          <w:iCs/>
          <w:i/>
        </w:rPr>
        <w:t xml:space="preserve">p_left(d)</w:t>
      </w:r>
      <w:r>
        <w:t xml:space="preserve"> </w:t>
      </w:r>
      <w:r>
        <w:t xml:space="preserve">indicates persistent underperformance. The 5% threshold is used as the primary significance criterion.</w:t>
      </w:r>
    </w:p>
    <w:bookmarkEnd w:id="38"/>
    <w:bookmarkEnd w:id="39"/>
    <w:bookmarkStart w:id="40" w:name="null-imposition-vs.-demeaning"/>
    <w:p>
      <w:pPr>
        <w:pStyle w:val="Heading2"/>
      </w:pPr>
      <w:r>
        <w:rPr>
          <w:bCs/>
          <w:b/>
        </w:rPr>
        <w:t xml:space="preserve">4.3 Null Imposition vs. Demeaning</w:t>
      </w:r>
    </w:p>
    <w:p>
      <w:pPr>
        <w:pStyle w:val="FirstParagraph"/>
      </w:pPr>
      <w:r>
        <w:t xml:space="preserve">The KTWW baseline null imposes zero alpha directly in the pseudo-return construction by omitting the alpha term entirely (Step 5b above). This differs from the Fama and French (2010) approach used in the main bootstrap analysis, where fund residuals are demeaned before resampling as</w:t>
      </w:r>
      <w:r>
        <w:t xml:space="preserve"> </w:t>
      </w:r>
      <w:r>
        <w:rPr>
          <w:iCs/>
          <w:i/>
        </w:rPr>
        <w:t xml:space="preserve">epsilon_it^tilde = epsilon_it - mean(epsilon_it)</w:t>
      </w:r>
      <w:r>
        <w:t xml:space="preserve"> </w:t>
      </w:r>
      <w:r>
        <w:t xml:space="preserve">to ensure the resampled residuals have exactly zero mean. The two approaches are asymptotically equivalent; the FF demeaning is slightly more conservative in finite samples because it removes any small-sample alpha leakage from the residuals themselves. In the persistence bootstrap, the KTWW null imposition is used for fidelity to the source methodology. The practical difference in inference is negligible, as confirmed by KTWW (2006) in their sensitivity analysis.</w:t>
      </w:r>
    </w:p>
    <w:bookmarkEnd w:id="40"/>
    <w:bookmarkStart w:id="41" w:name="factor-resampling-robustness-check"/>
    <w:p>
      <w:pPr>
        <w:pStyle w:val="Heading2"/>
      </w:pPr>
      <w:r>
        <w:rPr>
          <w:bCs/>
          <w:b/>
        </w:rPr>
        <w:t xml:space="preserve">4.4 Factor Resampling Robustness Check</w:t>
      </w:r>
    </w:p>
    <w:p>
      <w:pPr>
        <w:pStyle w:val="FirstParagraph"/>
      </w:pPr>
      <w:r>
        <w:t xml:space="preserve">As a robustness check following KTWW (2006, Section IV.B), a variant bootstrap independently resamples both residuals and factor returns. In this variant, a separate random time index</w:t>
      </w:r>
      <w:r>
        <w:t xml:space="preserve"> </w:t>
      </w:r>
      <w:r>
        <w:rPr>
          <w:iCs/>
          <w:i/>
        </w:rPr>
        <w:t xml:space="preserve">tau^b</w:t>
      </w:r>
      <w:r>
        <w:t xml:space="preserve"> </w:t>
      </w:r>
      <w:r>
        <w:t xml:space="preserve">is drawn for the factors — the same index applied across all funds to preserve the cross-sectional factor correlation structure — while residuals are resampled with their own independent index</w:t>
      </w:r>
      <w:r>
        <w:t xml:space="preserve"> </w:t>
      </w:r>
      <w:r>
        <w:rPr>
          <w:iCs/>
          <w:i/>
        </w:rPr>
        <w:t xml:space="preserve">s^b</w:t>
      </w:r>
      <w:r>
        <w:t xml:space="preserve">. This breaks any fund-level co-skewness between residuals and factors that might arise from unmodelled market-timing skill. KTWW report that this variant produces results almost identical to the baseline, suggesting co-skewness is not materially driving their findings. The robustness check is implemented but results are reported in an appendix.</w:t>
      </w:r>
    </w:p>
    <w:bookmarkEnd w:id="41"/>
    <w:bookmarkStart w:id="42" w:name="relationship-to-the-main-bootstrap"/>
    <w:p>
      <w:pPr>
        <w:pStyle w:val="Heading2"/>
      </w:pPr>
      <w:r>
        <w:rPr>
          <w:bCs/>
          <w:b/>
        </w:rPr>
        <w:t xml:space="preserve">4.5 Relationship to the Main Bootstrap</w:t>
      </w:r>
    </w:p>
    <w:p>
      <w:pPr>
        <w:pStyle w:val="FirstParagraph"/>
      </w:pPr>
      <w:r>
        <w:t xml:space="preserve">The persistence bootstrap is methodologically related to but distinct from the main FF/BSW bootstrap in Tables 9–10. The main bootstrap evaluates whether the full-period cross-sectional alpha distribution — across all funds simultaneously — is consistent with zero skill in the population. The persistence bootstrap evaluates whether a specific subset of funds — those ranked in a given decile by formation-period performance — generates significant alpha in the subsequent holding period. The main bootstrap uses full-period fund-level residuals; the persistence bootstrap uses holding-period fund-level residuals projected on formation-period loadings. Both impose zero true alpha as the null. The persistence test is therefore a conditional test — conditional on the formation-period rank — whereas the main bootstrap is an unconditional population test.</w:t>
      </w:r>
    </w:p>
    <w:bookmarkEnd w:id="42"/>
    <w:bookmarkEnd w:id="43"/>
    <w:bookmarkStart w:id="44" w:name="sub-period-application"/>
    <w:p>
      <w:pPr>
        <w:pStyle w:val="Heading1"/>
      </w:pPr>
      <w:r>
        <w:rPr>
          <w:bCs/>
          <w:b/>
        </w:rPr>
        <w:t xml:space="preserve">5. Sub-Period Application</w:t>
      </w:r>
    </w:p>
    <w:p>
      <w:pPr>
        <w:pStyle w:val="FirstParagraph"/>
      </w:pPr>
      <w:r>
        <w:t xml:space="preserve">Both methods are implemented for the full sample (pooling all K cohorts) and separately within each of the three Bai-Perron structural regimes. The sub-period design restricts both formation and holding windows to within-regime cohorts, ensuring that the alpha-generating dynamics governing formation-period ranking are structurally homogeneous with those governing the holding period.</w:t>
      </w:r>
    </w:p>
    <w:p>
      <w:pPr>
        <w:pStyle w:val="BodyText"/>
      </w:pPr>
      <w:r>
        <w:t xml:space="preserve">Sub-period persistence results are particularly informative for the dissertation’s central argument. The BSW four-way decomposition in Appendix D.2 already establishes that the fraction of genuinely skilled funds collapsed from pi_plus_A = 9.8% in P2 (January 2006 – November 2011) to an effectively zero value post-2011. If this collapse reflects a genuine structural deterioration in active management skill — rather than merely a change in the luck distribution — it should manifest in the persistence tests as an absence of positive alpha persistence in P3 cohorts even among funds ranked in the top decile during the P2 formation period. This cross-regime prediction is tested explicitly using cohorts 3 and 5, which straddle the structural breaks.</w:t>
      </w:r>
    </w:p>
    <w:p>
      <w:pPr>
        <w:pStyle w:val="BodyText"/>
      </w:pPr>
      <w:r>
        <w:t xml:space="preserve">Kacperczyk, van Nieuwerburgh and Veldkamp (2014) provide additional motivation for the sub-period design. They show that skilled fund managers exhibit different types of skill at different points in the business cycle — stock picking in expansions, market timing in contractions — implying that pooling performance across structurally heterogeneous regimes conflates distinct skill types and reduces the power of persistence tests. The Bai-Perron sub-period design, which was motivated by econometric considerations (non-stationarity of the aggregate alpha series) rather than imposed a priori, implicitly addresses this concern by evaluating persistence within structurally homogeneous environments.</w:t>
      </w:r>
    </w:p>
    <w:bookmarkEnd w:id="44"/>
    <w:bookmarkStart w:id="45" w:name="reporting-and-table-structure"/>
    <w:p>
      <w:pPr>
        <w:pStyle w:val="Heading1"/>
      </w:pPr>
      <w:r>
        <w:rPr>
          <w:bCs/>
          <w:b/>
        </w:rPr>
        <w:t xml:space="preserve">6. Reporting and Table Structure</w:t>
      </w:r>
    </w:p>
    <w:p>
      <w:pPr>
        <w:pStyle w:val="FirstParagraph"/>
      </w:pPr>
      <w:r>
        <w:t xml:space="preserve">Results for both methods are reported in a single table structured to follow KTWW (2006, Table VII). For each decile portfolio the following quantities are reported: excess return (monthly, %), standard deviation, holding-period Carhart alpha (monthly, %), alpha t-statistic, one-tailed parametric p-value (Carhart method), bootstrapped right-tail p-value and left-tail p-value (KTWW method), estimated factor loadings (beta, s, h, p), adjusted R-squared, average expense ratio of constituent funds, skewness, excess kurtosis, and Jarque-Bera p-value. The spread portfolio (Decile 1 minus Decile 10) is reported as the final row.</w:t>
      </w:r>
    </w:p>
    <w:p>
      <w:pPr>
        <w:pStyle w:val="BodyText"/>
      </w:pPr>
      <w:r>
        <w:t xml:space="preserve">Separate panels report: Panel A (full sample, t-statistic ranking), Panel B (full sample, raw alpha ranking, robustness), Panel C (P1 sub-period), Panel D (P2 sub-period), Panel E (P3 sub-period), and Panel F (cross-regime: P2 formation, P3 holding).</w:t>
      </w:r>
    </w:p>
    <w:p>
      <w:pPr>
        <w:pStyle w:val="BodyText"/>
      </w:pPr>
      <w:r>
        <w:t xml:space="preserve">The Jarque-Bera column is included to document the extent of non-normality in each decile’s holding-period return distribution. Where the Jarque-Bera test rejects normality at the 5% level, the bootstrapped p-values are the valid inferential basis; the parametric p-values are reported for comparability only. This framing directly follows KTWW (2006) and guards against the committee concern that the two methods should agree — they are expected to diverge precisely when non-normality is severe, which is the empirical motivation for the bootstrap.</w:t>
      </w:r>
    </w:p>
    <w:bookmarkEnd w:id="45"/>
    <w:bookmarkStart w:id="46" w:name="X09c2fa47c21290e4a5f9a3eb2a25790492468a9"/>
    <w:p>
      <w:pPr>
        <w:pStyle w:val="Heading1"/>
      </w:pPr>
      <w:r>
        <w:rPr>
          <w:bCs/>
          <w:b/>
        </w:rPr>
        <w:t xml:space="preserve">7. Relationship to the Wider Persistence Literature</w:t>
      </w:r>
    </w:p>
    <w:p>
      <w:pPr>
        <w:pStyle w:val="FirstParagraph"/>
      </w:pPr>
      <w:r>
        <w:t xml:space="preserve">The Carhart (1997) and KTWW (2006) methods are the canonical approaches in the mutual fund persistence literature and remain the standard reference points for academic work. Several subsequent contributions are noted here for context and potential robustness discussion.</w:t>
      </w:r>
    </w:p>
    <w:p>
      <w:pPr>
        <w:pStyle w:val="BodyText"/>
      </w:pPr>
      <w:r>
        <w:t xml:space="preserve">Bollen and Busse (2005,</w:t>
      </w:r>
      <w:r>
        <w:t xml:space="preserve"> </w:t>
      </w:r>
      <w:r>
        <w:rPr>
          <w:iCs/>
          <w:i/>
        </w:rPr>
        <w:t xml:space="preserve">Review of Financial Studies</w:t>
      </w:r>
      <w:r>
        <w:t xml:space="preserve">) find evidence of persistence at the quarterly frequency that is absent at annual horizons, suggesting that skill — if it exists — is competed away by flows more rapidly than annual persistence tests can detect. This is consistent with the Berk and Green (2004) rational equilibrium and provides an upper bound on the window over which skill persists.</w:t>
      </w:r>
    </w:p>
    <w:p>
      <w:pPr>
        <w:pStyle w:val="BodyText"/>
      </w:pPr>
      <w:r>
        <w:t xml:space="preserve">Busse and Irvine (2006,</w:t>
      </w:r>
      <w:r>
        <w:t xml:space="preserve"> </w:t>
      </w:r>
      <w:r>
        <w:rPr>
          <w:iCs/>
          <w:i/>
        </w:rPr>
        <w:t xml:space="preserve">Journal of Finance</w:t>
      </w:r>
      <w:r>
        <w:t xml:space="preserve">) show that Bayesian alpha estimates — which shrink individual fund alphas toward the cross-sectional prior — exhibit stronger persistence properties than OLS alphas. The shrinkage reduces the noise-sorting problem inherent in short-window formation periods, effectively providing a more precise ranking signal.</w:t>
      </w:r>
    </w:p>
    <w:p>
      <w:pPr>
        <w:pStyle w:val="BodyText"/>
      </w:pPr>
      <w:r>
        <w:t xml:space="preserve">Kacperczyk, van Nieuwerburgh and Veldkamp (2014,</w:t>
      </w:r>
      <w:r>
        <w:t xml:space="preserve"> </w:t>
      </w:r>
      <w:r>
        <w:rPr>
          <w:iCs/>
          <w:i/>
        </w:rPr>
        <w:t xml:space="preserve">Journal of Finance</w:t>
      </w:r>
      <w:r>
        <w:t xml:space="preserve">) document time-varying fund manager skill correlated with the business cycle, providing theoretical motivation for the sub-period persistence design adopted here.</w:t>
      </w:r>
    </w:p>
    <w:p>
      <w:pPr>
        <w:pStyle w:val="BodyText"/>
      </w:pPr>
      <w:r>
        <w:t xml:space="preserve">DeMiguel, Gil-Bazo, Nogales and Santos (2023,</w:t>
      </w:r>
      <w:r>
        <w:t xml:space="preserve"> </w:t>
      </w:r>
      <w:r>
        <w:rPr>
          <w:iCs/>
          <w:i/>
        </w:rPr>
        <w:t xml:space="preserve">Journal of Financial Economics</w:t>
      </w:r>
      <w:r>
        <w:t xml:space="preserve">) demonstrate that machine-learning methods exploiting fund characteristics — including nonlinear interactions between past performance and fund activeness — select portfolios with significant positive out-of-sample net alpha of 2.4% per year, substantially outperforming linear OLS decile sorts. Their result implies that the Carhart/KTWW decile sort is a noisy linear signal and that the true predictive relationship between past performance and future alpha is nonlinear and characteristic-dependent. The machine-learning approach is beyond the scope of the current analysis (requiring fund characteristics not available on the lower-tier LSEG subscription), but the DeMiguel et al. (2023) finding is cited as a caveat on the linear decile sort’s power and as direction for future work.</w:t>
      </w:r>
    </w:p>
    <w:bookmarkEnd w:id="46"/>
    <w:bookmarkStart w:id="47" w:name="references"/>
    <w:p>
      <w:pPr>
        <w:pStyle w:val="Heading1"/>
      </w:pPr>
      <w:r>
        <w:rPr>
          <w:bCs/>
          <w:b/>
        </w:rPr>
        <w:t xml:space="preserve">8. References</w:t>
      </w:r>
    </w:p>
    <w:p>
      <w:pPr>
        <w:pStyle w:val="FirstParagraph"/>
      </w:pPr>
      <w:r>
        <w:t xml:space="preserve">Bai, J., and P. Perron, 1998, Estimating and testing linear models with multiple structural changes,</w:t>
      </w:r>
      <w:r>
        <w:t xml:space="preserve"> </w:t>
      </w:r>
      <w:r>
        <w:rPr>
          <w:iCs/>
          <w:i/>
        </w:rPr>
        <w:t xml:space="preserve">Econometrica</w:t>
      </w:r>
      <w:r>
        <w:t xml:space="preserve">, 66, 47–78.</w:t>
      </w:r>
    </w:p>
    <w:p>
      <w:pPr>
        <w:pStyle w:val="BodyText"/>
      </w:pPr>
      <w:r>
        <w:t xml:space="preserve">Bai, J., and P. Perron, 2003, Computation and analysis of multiple structural change models,</w:t>
      </w:r>
      <w:r>
        <w:t xml:space="preserve"> </w:t>
      </w:r>
      <w:r>
        <w:rPr>
          <w:iCs/>
          <w:i/>
        </w:rPr>
        <w:t xml:space="preserve">Journal of Applied Econometrics</w:t>
      </w:r>
      <w:r>
        <w:t xml:space="preserve">, 18, 1–22.</w:t>
      </w:r>
    </w:p>
    <w:p>
      <w:pPr>
        <w:pStyle w:val="BodyText"/>
      </w:pPr>
      <w:r>
        <w:t xml:space="preserve">Barras, L., O. Scaillet, and R. Wermers, 2010, False discoveries in mutual fund performance: Measuring luck in estimated alphas,</w:t>
      </w:r>
      <w:r>
        <w:t xml:space="preserve"> </w:t>
      </w:r>
      <w:r>
        <w:rPr>
          <w:iCs/>
          <w:i/>
        </w:rPr>
        <w:t xml:space="preserve">Journal of Finance</w:t>
      </w:r>
      <w:r>
        <w:t xml:space="preserve">, 65, 179–216.</w:t>
      </w:r>
    </w:p>
    <w:p>
      <w:pPr>
        <w:pStyle w:val="BodyText"/>
      </w:pPr>
      <w:r>
        <w:t xml:space="preserve">Berk, J.B., and R.C. Green, 2004, Mutual fund flows and performance in rational markets,</w:t>
      </w:r>
      <w:r>
        <w:t xml:space="preserve"> </w:t>
      </w:r>
      <w:r>
        <w:rPr>
          <w:iCs/>
          <w:i/>
        </w:rPr>
        <w:t xml:space="preserve">Journal of Political Economy</w:t>
      </w:r>
      <w:r>
        <w:t xml:space="preserve">, 112, 1269–1295.</w:t>
      </w:r>
    </w:p>
    <w:p>
      <w:pPr>
        <w:pStyle w:val="BodyText"/>
      </w:pPr>
      <w:r>
        <w:t xml:space="preserve">Bollen, N.P., and J.A. Busse, 2005, Short-term persistence in mutual fund performance,</w:t>
      </w:r>
      <w:r>
        <w:t xml:space="preserve"> </w:t>
      </w:r>
      <w:r>
        <w:rPr>
          <w:iCs/>
          <w:i/>
        </w:rPr>
        <w:t xml:space="preserve">Review of Financial Studies</w:t>
      </w:r>
      <w:r>
        <w:t xml:space="preserve">, 18, 569–597.</w:t>
      </w:r>
    </w:p>
    <w:p>
      <w:pPr>
        <w:pStyle w:val="BodyText"/>
      </w:pPr>
      <w:r>
        <w:t xml:space="preserve">Busse, J.A., and P.J. Irvine, 2006, Bayesian alphas and mutual fund persistence,</w:t>
      </w:r>
      <w:r>
        <w:t xml:space="preserve"> </w:t>
      </w:r>
      <w:r>
        <w:rPr>
          <w:iCs/>
          <w:i/>
        </w:rPr>
        <w:t xml:space="preserve">Journal of Finance</w:t>
      </w:r>
      <w:r>
        <w:t xml:space="preserve">, 61, 2251–2288.</w:t>
      </w:r>
    </w:p>
    <w:p>
      <w:pPr>
        <w:pStyle w:val="BodyText"/>
      </w:pPr>
      <w:r>
        <w:t xml:space="preserve">Carhart, M.M., 1997, On persistence in mutual fund performance,</w:t>
      </w:r>
      <w:r>
        <w:t xml:space="preserve"> </w:t>
      </w:r>
      <w:r>
        <w:rPr>
          <w:iCs/>
          <w:i/>
        </w:rPr>
        <w:t xml:space="preserve">Journal of Finance</w:t>
      </w:r>
      <w:r>
        <w:t xml:space="preserve">, 52, 57–82.</w:t>
      </w:r>
    </w:p>
    <w:p>
      <w:pPr>
        <w:pStyle w:val="BodyText"/>
      </w:pPr>
      <w:r>
        <w:t xml:space="preserve">DeMiguel, V., J. Gil-Bazo, F.J. Nogales, and A.A.P. Santos, 2023, Machine learning and fund characteristics help to select mutual funds with positive alpha,</w:t>
      </w:r>
      <w:r>
        <w:t xml:space="preserve"> </w:t>
      </w:r>
      <w:r>
        <w:rPr>
          <w:iCs/>
          <w:i/>
        </w:rPr>
        <w:t xml:space="preserve">Journal of Financial Economics</w:t>
      </w:r>
      <w:r>
        <w:t xml:space="preserve">, 150, 103737.</w:t>
      </w:r>
    </w:p>
    <w:p>
      <w:pPr>
        <w:pStyle w:val="BodyText"/>
      </w:pPr>
      <w:r>
        <w:t xml:space="preserve">Evans, R.B., 2010, Mutual fund incubation,</w:t>
      </w:r>
      <w:r>
        <w:t xml:space="preserve"> </w:t>
      </w:r>
      <w:r>
        <w:rPr>
          <w:iCs/>
          <w:i/>
        </w:rPr>
        <w:t xml:space="preserve">Journal of Finance</w:t>
      </w:r>
      <w:r>
        <w:t xml:space="preserve">, 65, 1581–1611.</w:t>
      </w:r>
    </w:p>
    <w:p>
      <w:pPr>
        <w:pStyle w:val="BodyText"/>
      </w:pPr>
      <w:r>
        <w:t xml:space="preserve">Fama, E.F., and K.R. French, 2010, Luck versus skill in the cross-section of mutual fund returns,</w:t>
      </w:r>
      <w:r>
        <w:t xml:space="preserve"> </w:t>
      </w:r>
      <w:r>
        <w:rPr>
          <w:iCs/>
          <w:i/>
        </w:rPr>
        <w:t xml:space="preserve">Journal of Finance</w:t>
      </w:r>
      <w:r>
        <w:t xml:space="preserve">, 65, 1915–1947.</w:t>
      </w:r>
    </w:p>
    <w:p>
      <w:pPr>
        <w:pStyle w:val="BodyText"/>
      </w:pPr>
      <w:r>
        <w:t xml:space="preserve">Gruber, M.J., 1996, Another puzzle: The growth in actively managed mutual funds,</w:t>
      </w:r>
      <w:r>
        <w:t xml:space="preserve"> </w:t>
      </w:r>
      <w:r>
        <w:rPr>
          <w:iCs/>
          <w:i/>
        </w:rPr>
        <w:t xml:space="preserve">Journal of Finance</w:t>
      </w:r>
      <w:r>
        <w:t xml:space="preserve">, 51, 783–810.</w:t>
      </w:r>
    </w:p>
    <w:p>
      <w:pPr>
        <w:pStyle w:val="BodyText"/>
      </w:pPr>
      <w:r>
        <w:t xml:space="preserve">Kacperczyk, M., S. van Nieuwerburgh, and L. Veldkamp, 2014, Time-varying fund manager skill,</w:t>
      </w:r>
      <w:r>
        <w:t xml:space="preserve"> </w:t>
      </w:r>
      <w:r>
        <w:rPr>
          <w:iCs/>
          <w:i/>
        </w:rPr>
        <w:t xml:space="preserve">Journal of Finance</w:t>
      </w:r>
      <w:r>
        <w:t xml:space="preserve">, 69, 1455–1484.</w:t>
      </w:r>
    </w:p>
    <w:p>
      <w:pPr>
        <w:pStyle w:val="BodyText"/>
      </w:pPr>
      <w:r>
        <w:t xml:space="preserve">Kosowski, R., A. Timmermann, R. Wermers, and H. White, 2006, Can mutual fund</w:t>
      </w:r>
      <w:r>
        <w:t xml:space="preserve"> </w:t>
      </w:r>
      <w:r>
        <w:t xml:space="preserve">‘</w:t>
      </w:r>
      <w:r>
        <w:t xml:space="preserve">stars</w:t>
      </w:r>
      <w:r>
        <w:t xml:space="preserve">’</w:t>
      </w:r>
      <w:r>
        <w:t xml:space="preserve"> </w:t>
      </w:r>
      <w:r>
        <w:t xml:space="preserve">really pick stocks? New evidence from a bootstrap analysis,</w:t>
      </w:r>
      <w:r>
        <w:t xml:space="preserve"> </w:t>
      </w:r>
      <w:r>
        <w:rPr>
          <w:iCs/>
          <w:i/>
        </w:rPr>
        <w:t xml:space="preserve">Journal of Finance</w:t>
      </w:r>
      <w:r>
        <w:t xml:space="preserve">, 61, 2551–2595.</w:t>
      </w:r>
    </w:p>
    <w:p>
      <w:pPr>
        <w:pStyle w:val="BodyText"/>
      </w:pPr>
      <w:r>
        <w:t xml:space="preserve">Newey, W.K., and K.D. West, 1987, A simple, positive semi-definite, heteroskedasticity and autocorrelation consistent covariance matrix,</w:t>
      </w:r>
      <w:r>
        <w:t xml:space="preserve"> </w:t>
      </w:r>
      <w:r>
        <w:rPr>
          <w:iCs/>
          <w:i/>
        </w:rPr>
        <w:t xml:space="preserve">Econometrica</w:t>
      </w:r>
      <w:r>
        <w:t xml:space="preserve">, 55, 703–708.</w:t>
      </w:r>
    </w:p>
    <w:p>
      <w:pPr>
        <w:pStyle w:val="BodyText"/>
      </w:pPr>
      <w:r>
        <w:t xml:space="preserve">Storey, J.D., 2002, A direct approach to false discovery rates,</w:t>
      </w:r>
      <w:r>
        <w:t xml:space="preserve"> </w:t>
      </w:r>
      <w:r>
        <w:rPr>
          <w:iCs/>
          <w:i/>
        </w:rPr>
        <w:t xml:space="preserve">Journal of the Royal Statistical Society, Series B</w:t>
      </w:r>
      <w:r>
        <w:t xml:space="preserve">, 64, 479–498.</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2026-04-18T16:47:48Z</dcterms:created>
  <dcterms:modified xsi:type="dcterms:W3CDTF">2026-04-18T16:47:48Z</dcterms:modified>
</cp:coreProperties>
</file>

<file path=docProps/custom.xml><?xml version="1.0" encoding="utf-8"?>
<Properties xmlns="http://schemas.openxmlformats.org/officeDocument/2006/custom-properties" xmlns:vt="http://schemas.openxmlformats.org/officeDocument/2006/docPropsVTypes"/>
</file>