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PhD Research — Active Management Puzzle</w:t>
      </w:r>
    </w:p>
    <w:p>
      <w:pPr>
        <w:pStyle w:val="BodyText"/>
      </w:pPr>
      <w:r>
        <w:t xml:space="preserve">Bogazici University — Management Department</w:t>
      </w:r>
    </w:p>
    <w:p>
      <w:pPr>
        <w:pStyle w:val="BodyText"/>
      </w:pPr>
      <w:r>
        <w:t xml:space="preserve">Supervisor: Prof. Vedat Akgiray</w:t>
      </w:r>
    </w:p>
    <w:p>
      <w:pPr>
        <w:pStyle w:val="BodyText"/>
      </w:pPr>
      <w:r>
        <w:rPr>
          <w:iCs/>
          <w:i/>
        </w:rPr>
        <w:t xml:space="preserve">Research Notes</w:t>
      </w:r>
      <w:r>
        <w:rPr>
          <w:bCs/>
          <w:b/>
          <w:iCs/>
          <w:i/>
        </w:rPr>
        <w:t xml:space="preserve"> </w:t>
      </w:r>
      <w:r>
        <w:t xml:space="preserve">&amp;**** **Methodological Modifications | April 2026</w:t>
      </w:r>
    </w:p>
    <w:bookmarkStart w:id="23" w:name="thesis-assessment-overall-evaluation"/>
    <w:p>
      <w:pPr>
        <w:pStyle w:val="Heading1"/>
      </w:pPr>
      <w:r>
        <w:rPr>
          <w:bCs/>
          <w:b/>
        </w:rPr>
        <w:t xml:space="preserve">1. Thesis Assessment — Overall Evaluation</w:t>
      </w:r>
    </w:p>
    <w:p>
      <w:pPr>
        <w:pStyle w:val="FirstParagraph"/>
      </w:pPr>
      <w:r>
        <w:t xml:space="preserve">These notes record the critical evaluation of the research proposal as discussed and agreed upon. They are intended for ongoing reference throughout the study.</w:t>
      </w:r>
    </w:p>
    <w:bookmarkStart w:id="20" w:name="genuine-contributions-defensible"/>
    <w:p>
      <w:pPr>
        <w:pStyle w:val="Heading2"/>
      </w:pPr>
      <w:r>
        <w:rPr>
          <w:bCs/>
          <w:b/>
        </w:rPr>
        <w:t xml:space="preserve">1.1 Genuine Contributions (Defensible)</w:t>
      </w:r>
    </w:p>
    <w:p>
      <w:pPr>
        <w:numPr>
          <w:ilvl w:val="0"/>
          <w:numId w:val="1001"/>
        </w:numPr>
      </w:pPr>
      <w:r>
        <w:rPr>
          <w:bCs/>
          <w:b/>
        </w:rPr>
        <w:t xml:space="preserve">Shadow Price / Psychological Premium Quantification</w:t>
      </w:r>
      <w:r>
        <w:t xml:space="preserve"> </w:t>
      </w:r>
      <w:r>
        <w:t xml:space="preserve">(Section 4.4 of proposal): The strongest original contribution. Statman (2004) argues conceptually that investors pay for psychological utility — this study attempts to put a basis-point number on that premium via the implied Marginal Rate of Substitution. This move from sign prediction to structural quantification is a meaningful methodological step forward not found in this form in the existing fund flow literature.</w:t>
      </w:r>
    </w:p>
    <w:p>
      <w:pPr>
        <w:numPr>
          <w:ilvl w:val="0"/>
          <w:numId w:val="1001"/>
        </w:numPr>
      </w:pPr>
      <w:r>
        <w:rPr>
          <w:bCs/>
          <w:b/>
        </w:rPr>
        <w:t xml:space="preserve">Delegated Sensation Seeking:</w:t>
      </w:r>
      <w:r>
        <w:t xml:space="preserve"> </w:t>
      </w:r>
      <w:r>
        <w:t xml:space="preserve">The framing of mutual fund investors as</w:t>
      </w:r>
      <w:r>
        <w:t xml:space="preserve"> </w:t>
      </w:r>
      <w:r>
        <w:t xml:space="preserve">‘</w:t>
      </w:r>
      <w:r>
        <w:t xml:space="preserve">lazy gamblers</w:t>
      </w:r>
      <w:r>
        <w:t xml:space="preserve">’</w:t>
      </w:r>
      <w:r>
        <w:t xml:space="preserve"> </w:t>
      </w:r>
      <w:r>
        <w:t xml:space="preserve">who pay managers to construct lottery tickets is a genuine gap. Kumar (2009) documents lottery preference in direct equity ownership; Grinblatt &amp; Keloharju (2009) link sensation seeking to individual trading. This study is the first to formally extend this to the delegated context at the fund level.</w:t>
      </w:r>
    </w:p>
    <w:bookmarkEnd w:id="20"/>
    <w:bookmarkStart w:id="21" w:name="X5e0a3acf6105a6be75663d461e71166c5eeffe3"/>
    <w:p>
      <w:pPr>
        <w:pStyle w:val="Heading2"/>
      </w:pPr>
      <w:r>
        <w:rPr>
          <w:bCs/>
          <w:b/>
        </w:rPr>
        <w:t xml:space="preserve">1.2 Weaknesses and Vulnerabilities — Jury Will Push Back</w:t>
      </w:r>
    </w:p>
    <w:p>
      <w:pPr>
        <w:pStyle w:val="FirstParagraph"/>
      </w:pPr>
      <w:r>
        <w:rPr>
          <w:bCs/>
          <w:b/>
        </w:rPr>
        <w:t xml:space="preserve">H1 — Sentiment-Convexity (Crowded Territory)</w:t>
      </w:r>
    </w:p>
    <w:p>
      <w:pPr>
        <w:pStyle w:val="BodyText"/>
      </w:pPr>
      <w:r>
        <w:t xml:space="preserve">The flow-performance convexity result is heavily documented: Sirri &amp; Tufano (1998), Chevalier &amp; Ellison (1997), Frazzini &amp; Lamont (2008), and others. Interacting Baker-Wurgler sentiment with the Sirri-Tufano piecewise framework is not novel in spirit. The exact specification may be new, but the committee — particularly Prof. Özsöylev — will require a sharp answer to the question: what precisely is added beyond a known interaction? Prepare a tight response to this.</w:t>
      </w:r>
    </w:p>
    <w:p>
      <w:pPr>
        <w:pStyle w:val="BodyText"/>
      </w:pPr>
      <w:r>
        <w:rPr>
          <w:bCs/>
          <w:b/>
        </w:rPr>
        <w:t xml:space="preserve">H2 — Illusion of Control (Weakest Hypothesis)</w:t>
      </w:r>
    </w:p>
    <w:p>
      <w:pPr>
        <w:pStyle w:val="BodyText"/>
      </w:pPr>
      <w:r>
        <w:t xml:space="preserve">Margin debt as a proxy for Illusion of Control is a significant conceptual stretch. Margin debt measures leverage appetite, which is closer to overconfidence or risk tolerance than to Langer’s (1975) illusion of control — which specifically concerns perceived agency over chance outcomes. Two remedies are needed: (a) either find a tighter proxy for control illusion specifically, or (b) construct a tighter theoretical bridge between leverage and control perception. As currently written, a sharp reviewer can — and likely will — reject this mapping.</w:t>
      </w:r>
    </w:p>
    <w:p>
      <w:pPr>
        <w:pStyle w:val="BodyText"/>
      </w:pPr>
      <w:r>
        <w:rPr>
          <w:bCs/>
          <w:b/>
        </w:rPr>
        <w:t xml:space="preserve">H3 — Active Share Proxy Problem</w:t>
      </w:r>
    </w:p>
    <w:p>
      <w:pPr>
        <w:pStyle w:val="BodyText"/>
      </w:pPr>
      <w:r>
        <w:t xml:space="preserve">The Carhart R² (Amihud &amp; Goyenko, 2013) is defensible as a published activeness measure, but it does not capture the same construct as Active Share (Cremers &amp; Petajisto, 2009). R² measures how much return variation is explained by systematic factors — it is not a direct measure of portfolio concentration or benchmark deviation. A high-R² fund can still make concentrated active bets that happen to correlate with factor returns. Two options: (a) reframe H3 explicitly around the R²-based activeness construct rather than Active Share, making Amihud &amp; Goyenko (2013) the theoretical foundation rather than a fallback; or (b) maintain the Active Share framing but be very explicit in the limitations section about the proxy gap.</w:t>
      </w:r>
    </w:p>
    <w:bookmarkEnd w:id="21"/>
    <w:bookmarkStart w:id="22" w:name="structural-issue-unifying-narrative"/>
    <w:p>
      <w:pPr>
        <w:pStyle w:val="Heading2"/>
      </w:pPr>
      <w:r>
        <w:rPr>
          <w:bCs/>
          <w:b/>
        </w:rPr>
        <w:t xml:space="preserve">1.3 Structural Issue — Unifying Narrative</w:t>
      </w:r>
    </w:p>
    <w:p>
      <w:pPr>
        <w:pStyle w:val="FirstParagraph"/>
      </w:pPr>
      <w:r>
        <w:t xml:space="preserve">The most important revision needed: the three hypotheses currently read as three related empirical exercises rather than a unified theoretical contribution. The committee will ask whether the sum is greater than the parts. The recommended reframe is as follows:</w:t>
      </w:r>
    </w:p>
    <w:p>
      <w:pPr>
        <w:pStyle w:val="BodyText"/>
      </w:pPr>
      <w:r>
        <w:t xml:space="preserve">Reframe the three biases (overconfidence, illusion of control, skewness preference) not as independent phenomena but as distinct manifestations of a single underlying construct: psychological demand for active management. Under this framing, the shadow price calculation becomes the centerpiece contribution — it quantifies the aggregate willingness-to-pay for the full psychological bundle — rather than a methodological appendix tagged onto the end of Section 4.</w:t>
      </w:r>
    </w:p>
    <w:p>
      <w:pPr>
        <w:pStyle w:val="BodyText"/>
      </w:pPr>
      <w:r>
        <w:t xml:space="preserve">This reframe strengthens the thesis from</w:t>
      </w:r>
      <w:r>
        <w:t xml:space="preserve"> </w:t>
      </w:r>
      <w:r>
        <w:t xml:space="preserve">‘</w:t>
      </w:r>
      <w:r>
        <w:t xml:space="preserve">three incremental contributions</w:t>
      </w:r>
      <w:r>
        <w:t xml:space="preserve">’</w:t>
      </w:r>
      <w:r>
        <w:t xml:space="preserve"> </w:t>
      </w:r>
      <w:r>
        <w:t xml:space="preserve">to</w:t>
      </w:r>
      <w:r>
        <w:t xml:space="preserve"> </w:t>
      </w:r>
      <w:r>
        <w:t xml:space="preserve">‘</w:t>
      </w:r>
      <w:r>
        <w:t xml:space="preserve">one unified framework with three empirical pillars.</w:t>
      </w:r>
      <w:r>
        <w:t xml:space="preserve">’</w:t>
      </w:r>
      <w:r>
        <w:t xml:space="preserve"> </w:t>
      </w:r>
      <w:r>
        <w:t xml:space="preserve">This is the difference between a strong master’s thesis and a PhD-level contribution.</w:t>
      </w:r>
    </w:p>
    <w:bookmarkEnd w:id="22"/>
    <w:bookmarkEnd w:id="23"/>
    <w:bookmarkStart w:id="37" w:name="Xc726c12bda93d51d3ed7fcf3f39d0b67ebfe9e0"/>
    <w:p>
      <w:pPr>
        <w:pStyle w:val="Heading1"/>
      </w:pPr>
      <w:r>
        <w:rPr>
          <w:bCs/>
          <w:b/>
        </w:rPr>
        <w:t xml:space="preserve">2. Specific Methodological Modifications Agreed</w:t>
      </w:r>
    </w:p>
    <w:bookmarkStart w:id="24" w:name="active-share-proxy-construction"/>
    <w:p>
      <w:pPr>
        <w:pStyle w:val="Heading2"/>
      </w:pPr>
      <w:r>
        <w:rPr>
          <w:bCs/>
          <w:b/>
        </w:rPr>
        <w:t xml:space="preserve">2.1 Active Share Proxy Construction</w:t>
      </w:r>
    </w:p>
    <w:p>
      <w:pPr>
        <w:numPr>
          <w:ilvl w:val="0"/>
          <w:numId w:val="1002"/>
        </w:numPr>
      </w:pPr>
      <w:r>
        <w:rPr>
          <w:bCs/>
          <w:b/>
        </w:rPr>
        <w:t xml:space="preserve">Primary activeness proxy:</w:t>
      </w:r>
      <w:r>
        <w:t xml:space="preserve"> </w:t>
      </w:r>
      <w:r>
        <w:t xml:space="preserve">Carhart 4-factor R² (Amihud &amp; Goyenko, 2013). Low R² indicates returns are driven by idiosyncratic bets rather than systematic factor exposure — the core</w:t>
      </w:r>
      <w:r>
        <w:t xml:space="preserve"> </w:t>
      </w:r>
      <w:r>
        <w:t xml:space="preserve">‘</w:t>
      </w:r>
      <w:r>
        <w:t xml:space="preserve">lottery ticket</w:t>
      </w:r>
      <w:r>
        <w:t xml:space="preserve">’</w:t>
      </w:r>
      <w:r>
        <w:t xml:space="preserve"> </w:t>
      </w:r>
      <w:r>
        <w:t xml:space="preserve">characteristic relevant to H3.</w:t>
      </w:r>
    </w:p>
    <w:p>
      <w:pPr>
        <w:numPr>
          <w:ilvl w:val="0"/>
          <w:numId w:val="1002"/>
        </w:numPr>
      </w:pPr>
      <w:r>
        <w:rPr>
          <w:bCs/>
          <w:b/>
        </w:rPr>
        <w:t xml:space="preserve">Secondary proxy / robustness check:</w:t>
      </w:r>
      <w:r>
        <w:t xml:space="preserve"> </w:t>
      </w:r>
      <w:r>
        <w:t xml:space="preserve">Tracking Error (standard deviation of fund gross return minus benchmark index return).</w:t>
      </w:r>
    </w:p>
    <w:p>
      <w:pPr>
        <w:numPr>
          <w:ilvl w:val="0"/>
          <w:numId w:val="1002"/>
        </w:numPr>
      </w:pPr>
      <w:r>
        <w:rPr>
          <w:bCs/>
          <w:b/>
        </w:rPr>
        <w:t xml:space="preserve">Tertiary:</w:t>
      </w:r>
      <w:r>
        <w:t xml:space="preserve"> </w:t>
      </w:r>
      <w:r>
        <w:t xml:space="preserve">Turnover Ratio. CAUTION — turnover is already used as a behavioral proxy (overconfidence / H2 region). Do not use simultaneously as an Active Share proxy in the same regression. Multicollinearity risk is material.</w:t>
      </w:r>
    </w:p>
    <w:bookmarkEnd w:id="24"/>
    <w:bookmarkStart w:id="25" w:name="Xca07f2f9bc5eacb8f24e8ed9f985fee3507912d"/>
    <w:p>
      <w:pPr>
        <w:pStyle w:val="Heading2"/>
      </w:pPr>
      <w:r>
        <w:rPr>
          <w:bCs/>
          <w:b/>
        </w:rPr>
        <w:t xml:space="preserve">2.2 Benchmark Mapping for Active Share Proxy Construction</w:t>
      </w:r>
    </w:p>
    <w:p>
      <w:pPr>
        <w:pStyle w:val="FirstParagraph"/>
      </w:pPr>
      <w:r>
        <w:t xml:space="preserve">Benchmark mapping follows Lipper category assignments to Russell indices (see benchmark_mapping.docx for full table). Key exclusions from the H3 Active Share proxy subsample:</w:t>
      </w:r>
    </w:p>
    <w:p>
      <w:pPr>
        <w:numPr>
          <w:ilvl w:val="0"/>
          <w:numId w:val="1003"/>
        </w:numPr>
      </w:pPr>
      <w:r>
        <w:rPr>
          <w:bCs/>
          <w:b/>
        </w:rPr>
        <w:t xml:space="preserve">Equity Income funds:</w:t>
      </w:r>
      <w:r>
        <w:t xml:space="preserve"> </w:t>
      </w:r>
      <w:r>
        <w:t xml:space="preserve">Structural yield tilt produces mechanically elevated tracking error against any broad style index regardless of manager behavior.</w:t>
      </w:r>
    </w:p>
    <w:p>
      <w:pPr>
        <w:numPr>
          <w:ilvl w:val="0"/>
          <w:numId w:val="1003"/>
        </w:numPr>
      </w:pPr>
      <w:r>
        <w:rPr>
          <w:bCs/>
          <w:b/>
        </w:rPr>
        <w:t xml:space="preserve">Specialty Diversified and Specialty/Miscellaneous funds:</w:t>
      </w:r>
      <w:r>
        <w:t xml:space="preserve"> </w:t>
      </w:r>
      <w:r>
        <w:t xml:space="preserve">Mandate heterogeneity within these Lipper categories renders a single benchmark assignment theoretically indefensible.</w:t>
      </w:r>
    </w:p>
    <w:p>
      <w:pPr>
        <w:pStyle w:val="FirstParagraph"/>
      </w:pPr>
      <w:r>
        <w:t xml:space="preserve">These funds are retained in all analyses not dependent on the Active Share proxy (H1 and H2 full sample regressions). Exclusion is limited to H3. Precedent: Fama &amp; French (2010) restrict performance analysis to clearly style-matched benchmarks; Kacperczyk, Sialm &amp; Zheng (2005) on atypical mandate structures.</w:t>
      </w:r>
    </w:p>
    <w:p>
      <w:pPr>
        <w:pStyle w:val="BodyText"/>
      </w:pPr>
      <w:r>
        <w:t xml:space="preserve">Approximately 120 funds excluded (~5% of final sample). H3 subsample: approximately 2,080 funds.</w:t>
      </w:r>
    </w:p>
    <w:bookmarkEnd w:id="25"/>
    <w:bookmarkStart w:id="26" w:name="X3041e9401cff88ef37ca22976b0f03e963c1874"/>
    <w:p>
      <w:pPr>
        <w:pStyle w:val="Heading2"/>
      </w:pPr>
      <w:r>
        <w:rPr>
          <w:bCs/>
          <w:b/>
        </w:rPr>
        <w:t xml:space="preserve">2.3 Benchmark Selection Rationale (Academic Standard)</w:t>
      </w:r>
    </w:p>
    <w:p>
      <w:pPr>
        <w:pStyle w:val="FirstParagraph"/>
      </w:pPr>
      <w:r>
        <w:t xml:space="preserve">Academic convention uses broad-based or category-appropriate benchmarks rather than fund-declared (prospectus) benchmarks for three reasons:</w:t>
      </w:r>
    </w:p>
    <w:p>
      <w:pPr>
        <w:numPr>
          <w:ilvl w:val="0"/>
          <w:numId w:val="1004"/>
        </w:numPr>
      </w:pPr>
      <w:r>
        <w:rPr>
          <w:bCs/>
          <w:b/>
        </w:rPr>
        <w:t xml:space="preserve">Comparability:</w:t>
      </w:r>
      <w:r>
        <w:t xml:space="preserve"> </w:t>
      </w:r>
      <w:r>
        <w:t xml:space="preserve">A single style-matched index allows cross-sectional comparison. Prospectus benchmarks differ by fund and introduce noise.</w:t>
      </w:r>
    </w:p>
    <w:p>
      <w:pPr>
        <w:numPr>
          <w:ilvl w:val="0"/>
          <w:numId w:val="1004"/>
        </w:numPr>
      </w:pPr>
      <w:r>
        <w:rPr>
          <w:bCs/>
          <w:b/>
        </w:rPr>
        <w:t xml:space="preserve">Benchmark gaming:</w:t>
      </w:r>
      <w:r>
        <w:t xml:space="preserve"> </w:t>
      </w:r>
      <w:r>
        <w:t xml:space="preserve">Fund managers select prospectus benchmarks they expect to beat, introducing systematic upward bias in alpha estimates. See Cremers &amp; Petajisto (2009) and Sensoy (2009).</w:t>
      </w:r>
    </w:p>
    <w:p>
      <w:pPr>
        <w:numPr>
          <w:ilvl w:val="0"/>
          <w:numId w:val="1004"/>
        </w:numPr>
      </w:pPr>
      <w:r>
        <w:rPr>
          <w:bCs/>
          <w:b/>
        </w:rPr>
        <w:t xml:space="preserve">Factor model alignment:</w:t>
      </w:r>
      <w:r>
        <w:t xml:space="preserve"> </w:t>
      </w:r>
      <w:r>
        <w:t xml:space="preserve">Carhart (1997) and Fama-French frameworks attribute returns to systematic risk factors rather than a single index, sidestepping benchmark selection entirely.</w:t>
      </w:r>
    </w:p>
    <w:p>
      <w:pPr>
        <w:pStyle w:val="FirstParagraph"/>
      </w:pPr>
      <w:r>
        <w:t xml:space="preserve">This study uses category-appropriate Russell indices as the primary broad-based comparator, consistent with academic best practice.</w:t>
      </w:r>
    </w:p>
    <w:bookmarkEnd w:id="26"/>
    <w:bookmarkStart w:id="27" w:name="X6f60b876c8bd3f9a5da02c34c20512fdc22fc55"/>
    <w:p>
      <w:pPr>
        <w:pStyle w:val="Heading2"/>
      </w:pPr>
      <w:r>
        <w:rPr>
          <w:bCs/>
          <w:b/>
        </w:rPr>
        <w:t xml:space="preserve">2.4 Fund Universe Reconciliation — Sample Count</w:t>
      </w:r>
    </w:p>
    <w:p>
      <w:pPr>
        <w:pStyle w:val="FirstParagraph"/>
      </w:pPr>
      <w:r>
        <w:t xml:space="preserve">NOTE — this discrepancy requires clean resolution in the methodology section:</w:t>
      </w:r>
    </w:p>
    <w:p>
      <w:pPr>
        <w:numPr>
          <w:ilvl w:val="0"/>
          <w:numId w:val="1005"/>
        </w:numPr>
      </w:pPr>
      <w:r>
        <w:t xml:space="preserve">LSEG screen (shown in session): 2,535 funds (pre-Evans filters).</w:t>
      </w:r>
    </w:p>
    <w:p>
      <w:pPr>
        <w:numPr>
          <w:ilvl w:val="0"/>
          <w:numId w:val="1005"/>
        </w:numPr>
      </w:pPr>
      <w:r>
        <w:t xml:space="preserve">Benchmark selection document references: 1,936 funds.</w:t>
      </w:r>
    </w:p>
    <w:p>
      <w:pPr>
        <w:pStyle w:val="FirstParagraph"/>
      </w:pPr>
      <w:r>
        <w:t xml:space="preserve">The gap must be explicitly accounted for. Likely sources: Evans (2010) incubation filters (ticker requirement, $15M TNA floor, first 18 months dropped), active share proxy exclusions, and any overlap/share class consolidation. This accounting must appear transparently in Section 4.1 of the final paper.</w:t>
      </w:r>
    </w:p>
    <w:bookmarkEnd w:id="27"/>
    <w:bookmarkStart w:id="28" w:name="vehicle-selection-mutual-funds-over-etfs"/>
    <w:p>
      <w:pPr>
        <w:pStyle w:val="Heading2"/>
      </w:pPr>
      <w:r>
        <w:rPr>
          <w:bCs/>
          <w:b/>
        </w:rPr>
        <w:t xml:space="preserve">2.5 Vehicle Selection — Mutual Funds Over ETFs</w:t>
      </w:r>
    </w:p>
    <w:p>
      <w:pPr>
        <w:pStyle w:val="FirstParagraph"/>
      </w:pPr>
      <w:r>
        <w:t xml:space="preserve">The selection of actively managed open-end mutual funds (over ETFs) is justified on the following grounds, documented formally in Mutual_Funds_vs_ETFs.docx:</w:t>
      </w:r>
    </w:p>
    <w:p>
      <w:pPr>
        <w:numPr>
          <w:ilvl w:val="0"/>
          <w:numId w:val="1006"/>
        </w:numPr>
      </w:pPr>
      <w:r>
        <w:rPr>
          <w:bCs/>
          <w:b/>
        </w:rPr>
        <w:t xml:space="preserve">Clean behavioral signal:</w:t>
      </w:r>
      <w:r>
        <w:t xml:space="preserve"> </w:t>
      </w:r>
      <w:r>
        <w:t xml:space="preserve">Every flow in an active mutual fund is a deliberate investor decision. ETF flows are contaminated by institutional AP arbitrage activity (Ben-David, Franzoni &amp; Moussawi, 2018) that is unrelated to investor beliefs.</w:t>
      </w:r>
    </w:p>
    <w:p>
      <w:pPr>
        <w:numPr>
          <w:ilvl w:val="0"/>
          <w:numId w:val="1006"/>
        </w:numPr>
      </w:pPr>
      <w:r>
        <w:rPr>
          <w:bCs/>
          <w:b/>
        </w:rPr>
        <w:t xml:space="preserve">Behavioral richness:</w:t>
      </w:r>
      <w:r>
        <w:t xml:space="preserve"> </w:t>
      </w:r>
      <w:r>
        <w:t xml:space="preserve">Active fund investors are by construction making a behaviorally loaded decision — paying a fee premium in exchange for the promise of alpha. This is the relevant behavioral object.</w:t>
      </w:r>
    </w:p>
    <w:p>
      <w:pPr>
        <w:numPr>
          <w:ilvl w:val="0"/>
          <w:numId w:val="1006"/>
        </w:numPr>
      </w:pPr>
      <w:r>
        <w:rPr>
          <w:bCs/>
          <w:b/>
        </w:rPr>
        <w:t xml:space="preserve">Data depth:</w:t>
      </w:r>
      <w:r>
        <w:t xml:space="preserve"> </w:t>
      </w:r>
      <w:r>
        <w:t xml:space="preserve">CRSP Mutual Fund Database provides continuous US coverage from 1961, spanning multiple cycles. Reliable ETF panel data is only available from the mid-2000s.</w:t>
      </w:r>
    </w:p>
    <w:bookmarkEnd w:id="28"/>
    <w:bookmarkStart w:id="29" w:name="data-pipeline-corrections-march-2026"/>
    <w:p>
      <w:pPr>
        <w:pStyle w:val="Heading2"/>
      </w:pPr>
      <w:r>
        <w:rPr>
          <w:bCs/>
          <w:b/>
        </w:rPr>
        <w:t xml:space="preserve">2.6 Data Pipeline Corrections — March 2026</w:t>
      </w:r>
    </w:p>
    <w:p>
      <w:pPr>
        <w:pStyle w:val="FirstParagraph"/>
      </w:pPr>
      <w:r>
        <w:t xml:space="preserve">The following corrections were made to the R data pipeline scripts following a cross-review. All changes are logged here for the defence record.</w:t>
      </w:r>
    </w:p>
    <w:p>
      <w:pPr>
        <w:pStyle w:val="BodyText"/>
      </w:pPr>
      <w:r>
        <w:rPr>
          <w:bCs/>
          <w:b/>
        </w:rPr>
        <w:t xml:space="preserve">Frozen Tail Detection Threshold (data_import_and_cleaning.R)</w:t>
      </w:r>
    </w:p>
    <w:p>
      <w:pPr>
        <w:pStyle w:val="BodyText"/>
      </w:pPr>
      <w:r>
        <w:t xml:space="preserve">The original algorithm removed any terminal frozen observation after a single repeated index value. This created a theoretical false positive: a fund returning exactly 0% in its final live month would satisfy the frozen condition and be incorrectly trimmed. The algorithm now requires a minimum terminal run of</w:t>
      </w:r>
      <w:r>
        <w:t xml:space="preserve"> </w:t>
      </w:r>
      <w:r>
        <w:rPr>
          <w:bCs/>
          <w:b/>
        </w:rPr>
        <w:t xml:space="preserve">three consecutive identical index values</w:t>
      </w:r>
      <w:r>
        <w:t xml:space="preserve"> </w:t>
      </w:r>
      <w:r>
        <w:t xml:space="preserve">(two</w:t>
      </w:r>
      <w:r>
        <w:t xml:space="preserve"> </w:t>
      </w:r>
      <w:r>
        <w:rPr>
          <w:iCs/>
          <w:i/>
        </w:rPr>
        <w:t xml:space="preserve">is_frozen</w:t>
      </w:r>
      <w:r>
        <w:t xml:space="preserve"> </w:t>
      </w:r>
      <w:r>
        <w:t xml:space="preserve">= TRUE observations in the terminal block) before classifying a fund as dead. Once the threshold is met, deletion still begins at the first repeated value — no carried observations leak. Known limitation: funds dying within two months of December 2023 may retain one to two LSEG-carried observations, as the carry sequence is truncated by the data pull before reaching the threshold.</w:t>
      </w:r>
    </w:p>
    <w:p>
      <w:pPr>
        <w:pStyle w:val="BodyText"/>
      </w:pPr>
      <w:r>
        <w:rPr>
          <w:bCs/>
          <w:b/>
        </w:rPr>
        <w:t xml:space="preserve">Raw Return Preservation (data_import_and_cleaning.R)</w:t>
      </w:r>
    </w:p>
    <w:p>
      <w:pPr>
        <w:pStyle w:val="BodyText"/>
      </w:pPr>
      <w:r>
        <w:t xml:space="preserve">The unwinsorised net and gross returns are now preserved on all panels as</w:t>
      </w:r>
      <w:r>
        <w:t xml:space="preserve"> </w:t>
      </w:r>
      <w:r>
        <w:rPr>
          <w:iCs/>
          <w:i/>
        </w:rPr>
        <w:t xml:space="preserve">ret_net_raw</w:t>
      </w:r>
      <w:r>
        <w:t xml:space="preserve"> </w:t>
      </w:r>
      <w:r>
        <w:t xml:space="preserve">and</w:t>
      </w:r>
      <w:r>
        <w:t xml:space="preserve"> </w:t>
      </w:r>
      <w:r>
        <w:rPr>
          <w:iCs/>
          <w:i/>
        </w:rPr>
        <w:t xml:space="preserve">ret_gross_raw</w:t>
      </w:r>
      <w:r>
        <w:t xml:space="preserve">. These are used exclusively in the Sirri-Tufano flow identity in</w:t>
      </w:r>
      <w:r>
        <w:t xml:space="preserve"> </w:t>
      </w:r>
      <w:r>
        <w:rPr>
          <w:iCs/>
          <w:i/>
        </w:rPr>
        <w:t xml:space="preserve">flow_calculation.R</w:t>
      </w:r>
      <w:r>
        <w:t xml:space="preserve">. The flow formula is an accounting identity (</w:t>
      </w:r>
      <w:r>
        <w:rPr>
          <w:iCs/>
          <w:i/>
        </w:rPr>
        <w:t xml:space="preserve">Flowₜ = TNAₜ − TNAₜ₋₁ × (1 + Rₜ)</w:t>
      </w:r>
      <w:r>
        <w:t xml:space="preserve">) and must use actual returns. Substituting winsorised returns produces fictitious asset growth and biased flow estimates. The winsorised versions (</w:t>
      </w:r>
      <w:r>
        <w:rPr>
          <w:iCs/>
          <w:i/>
        </w:rPr>
        <w:t xml:space="preserve">ret_net</w:t>
      </w:r>
      <w:r>
        <w:t xml:space="preserve">,</w:t>
      </w:r>
      <w:r>
        <w:t xml:space="preserve"> </w:t>
      </w:r>
      <w:r>
        <w:rPr>
          <w:iCs/>
          <w:i/>
        </w:rPr>
        <w:t xml:space="preserve">ret_gross</w:t>
      </w:r>
      <w:r>
        <w:t xml:space="preserve">) continue to be used for all performance measurement and regression contexts.</w:t>
      </w:r>
    </w:p>
    <w:p>
      <w:pPr>
        <w:pStyle w:val="BodyText"/>
      </w:pPr>
      <w:r>
        <w:rPr>
          <w:bCs/>
          <w:b/>
        </w:rPr>
        <w:t xml:space="preserve">Flow Formula Input Correction (flow_calculation.R)</w:t>
      </w:r>
    </w:p>
    <w:p>
      <w:pPr>
        <w:pStyle w:val="BodyText"/>
      </w:pPr>
      <w:r>
        <w:t xml:space="preserve">The flow script previously recomputed the net return from raw index levels as a workaround (variable</w:t>
      </w:r>
      <w:r>
        <w:t xml:space="preserve"> </w:t>
      </w:r>
      <w:r>
        <w:rPr>
          <w:iCs/>
          <w:i/>
        </w:rPr>
        <w:t xml:space="preserve">net_ret_dec</w:t>
      </w:r>
      <w:r>
        <w:t xml:space="preserve">). This variable has been removed. The flow formula now directly consumes</w:t>
      </w:r>
      <w:r>
        <w:t xml:space="preserve"> </w:t>
      </w:r>
      <w:r>
        <w:rPr>
          <w:iCs/>
          <w:i/>
        </w:rPr>
        <w:t xml:space="preserve">ret_net_raw</w:t>
      </w:r>
      <w:r>
        <w:t xml:space="preserve"> </w:t>
      </w:r>
      <w:r>
        <w:t xml:space="preserve">from the panel, eliminating the redundant recomputation and ensuring the flow pipeline is fully integrated with the cleaning pipeline.</w:t>
      </w:r>
    </w:p>
    <w:p>
      <w:pPr>
        <w:pStyle w:val="BodyText"/>
      </w:pPr>
      <w:r>
        <w:rPr>
          <w:bCs/>
          <w:b/>
        </w:rPr>
        <w:t xml:space="preserve">Log TNA Definition (descriptive_statistics.R)</w:t>
      </w:r>
    </w:p>
    <w:p>
      <w:pPr>
        <w:pStyle w:val="BodyText"/>
      </w:pPr>
      <w:r>
        <w:t xml:space="preserve">The fund-level log TNA variable in Table 2 was incorrectly computed as the natural logarithm of the time-series mean of TNA — i.e. </w:t>
      </w:r>
      <w:r>
        <w:rPr>
          <w:iCs/>
          <w:i/>
        </w:rPr>
        <w:t xml:space="preserve">log(mean(TNA))</w:t>
      </w:r>
      <w:r>
        <w:t xml:space="preserve">. By Jensen’s inequality, this systematically overstates fund size relative to the convention in the mutual fund literature. The correct computation is the time-series mean of the logged TNA — i.e. </w:t>
      </w:r>
      <w:r>
        <w:rPr>
          <w:iCs/>
          <w:i/>
        </w:rPr>
        <w:t xml:space="preserve">mean(log(TNA))</w:t>
      </w:r>
      <w:r>
        <w:t xml:space="preserve"> </w:t>
      </w:r>
      <w:r>
        <w:t xml:space="preserve">— which is the standard in Berk and Green (2004) and the broader fund size literature. The footnote text has been updated accordingly.</w:t>
      </w:r>
    </w:p>
    <w:p>
      <w:pPr>
        <w:pStyle w:val="BodyText"/>
      </w:pPr>
      <w:r>
        <w:rPr>
          <w:bCs/>
          <w:b/>
        </w:rPr>
        <w:t xml:space="preserve">Kurtosis Estimator (descriptive_statistics.R)</w:t>
      </w:r>
    </w:p>
    <w:p>
      <w:pPr>
        <w:pStyle w:val="BodyText"/>
      </w:pPr>
      <w:r>
        <w:t xml:space="preserve">The manual excess kurtosis formula in Table 3 mixed a population fourth central moment (denominator</w:t>
      </w:r>
      <w:r>
        <w:t xml:space="preserve"> </w:t>
      </w:r>
      <w:r>
        <w:rPr>
          <w:iCs/>
          <w:i/>
        </w:rPr>
        <w:t xml:space="preserve">n</w:t>
      </w:r>
      <w:r>
        <w:t xml:space="preserve">) with a sample standard deviation (denominator</w:t>
      </w:r>
      <w:r>
        <w:t xml:space="preserve"> </w:t>
      </w:r>
      <w:r>
        <w:rPr>
          <w:iCs/>
          <w:i/>
        </w:rPr>
        <w:t xml:space="preserve">n−1</w:t>
      </w:r>
      <w:r>
        <w:t xml:space="preserve">). Although the difference is negligible at the panel sample sizes used here, the formula was replaced with</w:t>
      </w:r>
      <w:r>
        <w:t xml:space="preserve"> </w:t>
      </w:r>
      <w:r>
        <w:rPr>
          <w:iCs/>
          <w:i/>
        </w:rPr>
        <w:t xml:space="preserve">e1071::kurtosis(…, type = 2)</w:t>
      </w:r>
      <w:r>
        <w:t xml:space="preserve">, which applies consistent</w:t>
      </w:r>
      <w:r>
        <w:t xml:space="preserve"> </w:t>
      </w:r>
      <w:r>
        <w:rPr>
          <w:iCs/>
          <w:i/>
        </w:rPr>
        <w:t xml:space="preserve">n−1</w:t>
      </w:r>
      <w:r>
        <w:t xml:space="preserve"> </w:t>
      </w:r>
      <w:r>
        <w:t xml:space="preserve">denominators throughout (Fisher’s bias-corrected excess kurtosis). The</w:t>
      </w:r>
      <w:r>
        <w:t xml:space="preserve"> </w:t>
      </w:r>
      <w:r>
        <w:rPr>
          <w:iCs/>
          <w:i/>
        </w:rPr>
        <w:t xml:space="preserve">e1071</w:t>
      </w:r>
      <w:r>
        <w:t xml:space="preserve"> </w:t>
      </w:r>
      <w:r>
        <w:t xml:space="preserve">package has been added to the dependency list.</w:t>
      </w:r>
    </w:p>
    <w:bookmarkEnd w:id="29"/>
    <w:bookmarkStart w:id="30" w:name="latex-rendering-bug-hunt-april-2026"/>
    <w:p>
      <w:pPr>
        <w:pStyle w:val="Heading2"/>
      </w:pPr>
      <w:r>
        <w:rPr>
          <w:bCs/>
          <w:b/>
        </w:rPr>
        <w:t xml:space="preserve">2.7 LaTeX Rendering Bug Hunt — April 2026</w:t>
      </w:r>
    </w:p>
    <w:p>
      <w:pPr>
        <w:pStyle w:val="FirstParagraph"/>
      </w:pPr>
      <w:r>
        <w:t xml:space="preserve">A multi-day debugging session resolved a cascade of three independent latent bugs that had been corrupting kableExtra-generated tables on Overleaf. All three were latent until the FF subperiod replication (see §2.8) exposed them. Three fixes were applied in sequence; each fix exposed the next bug, which is why a single round of debugging would not have been sufficient.</w:t>
      </w:r>
      <w:r>
        <w:t xml:space="preserve"> </w:t>
      </w:r>
      <w:r>
        <w:rPr>
          <w:bCs/>
          <w:b/>
        </w:rPr>
        <w:t xml:space="preserve">Future Claude instances should know all three</w:t>
      </w:r>
      <w:r>
        <w:t xml:space="preserve">** ****exist and check for them whenever a kableExtra table fails on Overleaf**** ****with**</w:t>
      </w:r>
      <w:r>
        <w:t xml:space="preserve"> </w:t>
      </w:r>
      <w:r>
        <w:t xml:space="preserve">-&gt;</w:t>
      </w:r>
      <w:r>
        <w:t xml:space="preserve"> </w:t>
      </w:r>
      <w:r>
        <w:t xml:space="preserve">*errors.**</w:t>
      </w:r>
    </w:p>
    <w:p>
      <w:pPr>
        <w:pStyle w:val="BodyText"/>
      </w:pPr>
      <w:r>
        <w:rPr>
          <w:bCs/>
          <w:b/>
        </w:rPr>
        <w:t xml:space="preserve">Bug 1:</w:t>
      </w:r>
      <w:r>
        <w:t xml:space="preserve"> </w:t>
      </w:r>
      <w:r>
        <w:t xml:space="preserve">-&gt;</w:t>
      </w:r>
      <w:r>
        <w:t xml:space="preserve"> </w:t>
      </w:r>
      <w:r>
        <w:t xml:space="preserve">“</w:t>
      </w:r>
      <w:r>
        <w:t xml:space="preserve">”</w:t>
      </w:r>
      <w:r>
        <w:t xml:space="preserve"> </w:t>
      </w:r>
      <w:r>
        <w:rPr>
          <w:bCs/>
          <w:b/>
        </w:rPr>
        <w:t xml:space="preserve">substitution leaves blank line in</w:t>
      </w:r>
      <w:r>
        <w:t xml:space="preserve">** ****tabular**</w:t>
      </w:r>
    </w:p>
    <w:p>
      <w:pPr>
        <w:pStyle w:val="BodyText"/>
      </w:pPr>
      <w:r>
        <w:t xml:space="preserve">alpha_reporting.R lines 370 and 575 contained:</w:t>
      </w:r>
    </w:p>
    <w:p>
      <w:pPr>
        <w:pStyle w:val="BodyText"/>
      </w:pPr>
      <w:r>
        <w:t xml:space="preserve">gsub(</w:t>
      </w:r>
      <w:r>
        <w:t xml:space="preserve">“</w:t>
      </w:r>
      <w:r>
        <w:t xml:space="preserve">\addlinespace[^\n]</w:t>
      </w:r>
      <w:r>
        <w:t xml:space="preserve">”</w:t>
      </w:r>
      <w:r>
        <w:t xml:space="preserve">,</w:t>
      </w:r>
      <w:r>
        <w:t xml:space="preserve"> </w:t>
      </w:r>
      <w:r>
        <w:t xml:space="preserve">“</w:t>
      </w:r>
      <w:r>
        <w:t xml:space="preserve">”</w:t>
      </w:r>
      <w:r>
        <w:t xml:space="preserve">, x)</w:t>
      </w:r>
    </w:p>
    <w:p>
      <w:pPr>
        <w:pStyle w:val="BodyText"/>
      </w:pPr>
      <w:r>
        <w:t xml:space="preserve">Replacing</w:t>
      </w:r>
      <w:r>
        <w:t xml:space="preserve"> </w:t>
      </w:r>
      <w:r>
        <w:t xml:space="preserve">lines with</w:t>
      </w:r>
      <w:r>
        <w:t xml:space="preserve"> </w:t>
      </w:r>
      <w:r>
        <w:t xml:space="preserve">“</w:t>
      </w:r>
      <w:r>
        <w:t xml:space="preserve">”</w:t>
      </w:r>
      <w:r>
        <w:t xml:space="preserve"> </w:t>
      </w:r>
      <w:r>
        <w:t xml:space="preserve">rather than “” leaves a</w:t>
      </w:r>
      <w:r>
        <w:t xml:space="preserve"> </w:t>
      </w:r>
      <w:r>
        <w:rPr>
          <w:bCs/>
          <w:b/>
        </w:rPr>
        <w:t xml:space="preserve">blank line inside the tabular environment</w:t>
      </w:r>
      <w:r>
        <w:t xml:space="preserve">, which is invalid LaTeX (Misplaced</w:t>
      </w:r>
      <w:r>
        <w:t xml:space="preserve"> </w:t>
      </w:r>
      <w:r>
        <w:t xml:space="preserve">, Missing }, Missing</w:t>
      </w:r>
      <w:r>
        <w:t xml:space="preserve"> </w:t>
      </w:r>
      <w:r>
        <w:t xml:space="preserve">cascade). Latent because triggering depends on which row position kableExtra emits</w:t>
      </w:r>
      <w:r>
        <w:t xml:space="preserve"> </w:t>
      </w:r>
      <w:r>
        <w:t xml:space="preserve">at, which varies by row count and kableExtra version.</w:t>
      </w:r>
      <w:r>
        <w:t xml:space="preserve"> </w:t>
      </w:r>
      <w:r>
        <w:rPr>
          <w:bCs/>
          <w:b/>
        </w:rPr>
        <w:t xml:space="preserve">Fix:</w:t>
      </w:r>
      <w:r>
        <w:t xml:space="preserve"> </w:t>
      </w:r>
      <w:r>
        <w:t xml:space="preserve">replace</w:t>
      </w:r>
      <w:r>
        <w:t xml:space="preserve"> </w:t>
      </w:r>
      <w:r>
        <w:t xml:space="preserve">“</w:t>
      </w:r>
      <w:r>
        <w:t xml:space="preserve">”</w:t>
      </w:r>
      <w:r>
        <w:t xml:space="preserve"> </w:t>
      </w:r>
      <w:r>
        <w:t xml:space="preserve">with “” in both gsub calls. Patched in alpha_reporting.R v7.6.</w:t>
      </w:r>
    </w:p>
    <w:p>
      <w:pPr>
        <w:pStyle w:val="BodyText"/>
      </w:pPr>
      <w:r>
        <w:rPr>
          <w:bCs/>
          <w:b/>
        </w:rPr>
        <w:t xml:space="preserve">Bug 2:</w:t>
      </w:r>
      <w:r>
        <w:t xml:space="preserve"> </w:t>
      </w:r>
      <w:r>
        <w:t xml:space="preserve"> </w:t>
      </w:r>
      <w:r>
        <w:rPr>
          <w:bCs/>
          <w:b/>
        </w:rPr>
        <w:t xml:space="preserve">wrapping</w:t>
      </w:r>
      <w:r>
        <w:t xml:space="preserve"> </w:t>
      </w:r>
      <w:r>
        <w:t xml:space="preserve">threeparttable</w:t>
      </w:r>
      <w:r>
        <w:t xml:space="preserve"> </w:t>
      </w:r>
      <w:r>
        <w:rPr>
          <w:bCs/>
          <w:b/>
        </w:rPr>
        <w:t xml:space="preserve">breaks</w:t>
      </w:r>
      <w:r>
        <w:t xml:space="preserve"> </w:t>
      </w:r>
      <w:r>
        <w:t xml:space="preserve">*on TL2024+**</w:t>
      </w:r>
    </w:p>
    <w:p>
      <w:pPr>
        <w:pStyle w:val="BodyText"/>
      </w:pPr>
      <w:r>
        <w:t xml:space="preserve">clean_latex(resize=TRUE) wraps the tabular in</w:t>
      </w:r>
      <w:r>
        <w:t xml:space="preserve"> </w:t>
      </w:r>
      <w:r>
        <w:t xml:space="preserve">, putting it into a restricted-mode</w:t>
      </w:r>
      <w:r>
        <w:t xml:space="preserve"> </w:t>
      </w:r>
      <w:r>
        <w:t xml:space="preserve">. On TeX Live 2024+ (Overleaf default), this corrupts the</w:t>
      </w:r>
      <w:r>
        <w:t xml:space="preserve"> </w:t>
      </w:r>
      <w:r>
        <w:t xml:space="preserve"> </w:t>
      </w:r>
      <w:r>
        <w:t xml:space="preserve">expansion that booktabs’</w:t>
      </w:r>
      <w:r>
        <w:t xml:space="preserve"> </w:t>
      </w:r>
      <w:r>
        <w:t xml:space="preserve">relies on, producing</w:t>
      </w:r>
      <w:r>
        <w:t xml:space="preserve"> </w:t>
      </w:r>
      <w:r>
        <w:t xml:space="preserve">-&gt;</w:t>
      </w:r>
      <w:r>
        <w:t xml:space="preserve"> </w:t>
      </w:r>
      <w:r>
        <w:t xml:space="preserve">… l.NN } errors at the closing brace of</w:t>
      </w:r>
      <w:r>
        <w:t xml:space="preserve"> </w:t>
      </w:r>
      <w:r>
        <w:t xml:space="preserve">. Compiles cleanly on TL2023 and earlier, which is why the bug went undetected for months.</w:t>
      </w:r>
      <w:r>
        <w:t xml:space="preserve"> </w:t>
      </w:r>
      <w:r>
        <w:rPr>
          <w:bCs/>
          <w:b/>
        </w:rPr>
        <w:t xml:space="preserve">Fix:</w:t>
      </w:r>
      <w:r>
        <w:t xml:space="preserve"> </w:t>
      </w:r>
      <w:r>
        <w:t xml:space="preserve">pass resize = FALSE to clean_latex() for narrow tables that fit</w:t>
      </w:r>
      <w:r>
        <w:t xml:space="preserve"> </w:t>
      </w:r>
      <w:r>
        <w:t xml:space="preserve">natively. Patched in alpha_reporting.R v7.7 for Table 9 (line 371). Tables 7 and 8 may still need resize = TRUE because of column count; if they break in a future Overleaf upgrade, the alternative is to reduce</w:t>
      </w:r>
      <w:r>
        <w:t xml:space="preserve"> </w:t>
      </w:r>
      <w:r>
        <w:t xml:space="preserve">rather than wrap in</w:t>
      </w:r>
      <w:r>
        <w:t xml:space="preserve"> </w:t>
      </w:r>
      <w:r>
        <w:t xml:space="preserve">.</w:t>
      </w:r>
    </w:p>
    <w:p>
      <w:pPr>
        <w:pStyle w:val="BodyText"/>
      </w:pPr>
      <w:r>
        <w:rPr>
          <w:bCs/>
          <w:b/>
        </w:rPr>
        <w:t xml:space="preserve">Bug 3:</w:t>
      </w:r>
    </w:p>
    <w:p>
      <w:pPr>
        <w:pStyle w:val="BodyText"/>
      </w:pPr>
      <w:r>
        <w:rPr>
          <w:bCs/>
          <w:b/>
        </w:rPr>
        <w:t xml:space="preserve">is incompatible with</w:t>
      </w:r>
      <w:r>
        <w:t xml:space="preserve"> </w:t>
      </w:r>
      <w:r>
        <w:t xml:space="preserve">booktabs</w:t>
      </w:r>
    </w:p>
    <w:p>
      <w:pPr>
        <w:pStyle w:val="BodyText"/>
      </w:pPr>
      <w:r>
        <w:t xml:space="preserve">The tabu package has been</w:t>
      </w:r>
      <w:r>
        <w:t xml:space="preserve"> </w:t>
      </w:r>
      <w:r>
        <w:rPr>
          <w:bCs/>
          <w:b/>
        </w:rPr>
        <w:t xml:space="preserve">unmaintained since 2014</w:t>
      </w:r>
      <w:r>
        <w:t xml:space="preserve"> </w:t>
      </w:r>
      <w:r>
        <w:t xml:space="preserve">and is documented as incompatible with booktabs rules (kableExtra GitHub issue #79). The incompatibility manifests intermittently on TeX Live 2020+ as</w:t>
      </w:r>
      <w:r>
        <w:t xml:space="preserve"> </w:t>
      </w:r>
      <w:r>
        <w:t xml:space="preserve">-&gt;</w:t>
      </w:r>
      <w:r>
        <w:t xml:space="preserve"> </w:t>
      </w:r>
      <w:r>
        <w:t xml:space="preserve">errors depending on row count and surrounding structure; on TL2024+ it became consistent. None of the tables in this project use any tabu-specific commands (no</w:t>
      </w:r>
      <w:r>
        <w:t xml:space="preserve"> </w:t>
      </w:r>
      <w:r>
        <w:t xml:space="preserve">,</w:t>
      </w:r>
      <w:r>
        <w:t xml:space="preserve"> </w:t>
      </w:r>
      <w:r>
        <w:t xml:space="preserve">,</w:t>
      </w:r>
      <w:r>
        <w:t xml:space="preserve"> </w:t>
      </w:r>
      <w:r>
        <w:t xml:space="preserve">, etc.) — tabu was historically loaded as part of the kableExtra documentation’s recommended preamble block.</w:t>
      </w:r>
      <w:r>
        <w:t xml:space="preserve"> </w:t>
      </w:r>
      <w:r>
        <w:rPr>
          <w:bCs/>
          <w:b/>
        </w:rPr>
        <w:t xml:space="preserve">Fix:</w:t>
      </w:r>
      <w:r>
        <w:t xml:space="preserve"> </w:t>
      </w:r>
      <w:r>
        <w:t xml:space="preserve">delete</w:t>
      </w:r>
    </w:p>
    <w:p>
      <w:pPr>
        <w:pStyle w:val="BodyText"/>
      </w:pPr>
      <w:r>
        <w:t xml:space="preserve">from the master document preamble. Modern kableExtra (≥1.4.0) does not require it for any feature in use here (kable_styling, column_spec, add_header_above, pack_rows, collapse_rows, footnote(threeparttable=TRUE)).</w:t>
      </w:r>
    </w:p>
    <w:p>
      <w:pPr>
        <w:pStyle w:val="BodyText"/>
      </w:pPr>
      <w:r>
        <w:rPr>
          <w:bCs/>
          <w:b/>
        </w:rPr>
        <w:t xml:space="preserve">Bug 4: Unable to definitively diagnose</w:t>
      </w:r>
    </w:p>
    <w:p>
      <w:pPr>
        <w:pStyle w:val="BodyText"/>
      </w:pPr>
      <w:r>
        <w:t xml:space="preserve">Even after Bugs 1–3 were fixed, the FF subperiod tables continued to fail with the same</w:t>
      </w:r>
      <w:r>
        <w:t xml:space="preserve"> </w:t>
      </w:r>
      <w:r>
        <w:t xml:space="preserve">-&gt;</w:t>
      </w:r>
      <w:r>
        <w:t xml:space="preserve"> </w:t>
      </w:r>
      <w:r>
        <w:t xml:space="preserve">error. The actual root cause was never identified — likely a residual interaction between kableExtra’s output format and some other package in the Overleaf preamble (pdflscape, colortbl, wrapfig, makecell, or ulem). Local pdflatex compiles (TL2023) could not reproduce the error, so direct bisection was impossible.</w:t>
      </w:r>
      <w:r>
        <w:t xml:space="preserve"> </w:t>
      </w:r>
      <w:r>
        <w:rPr>
          <w:bCs/>
          <w:b/>
        </w:rPr>
        <w:t xml:space="preserve">Workaround:</w:t>
      </w:r>
      <w:r>
        <w:t xml:space="preserve"> </w:t>
      </w:r>
      <w:r>
        <w:t xml:space="preserve">the manual table builder build_FF_tables_manual.R (see §2.9) bypasses kableExtra entirely for the affected tables and is guaranteed to compile under any preamble. If a future kableExtra-generated table fails after Bugs 1–3 are ruled out, the manual builder pattern (R string vectors → writeLines) is the recommended fallback rather than further preamble bisection.</w:t>
      </w:r>
    </w:p>
    <w:p>
      <w:pPr>
        <w:pStyle w:val="BodyText"/>
      </w:pPr>
      <w:r>
        <w:rPr>
          <w:bCs/>
          <w:b/>
        </w:rPr>
        <w:t xml:space="preserve">Bug 5:</w:t>
      </w:r>
      <w:r>
        <w:t xml:space="preserve"> </w:t>
      </w:r>
      <w:r>
        <w:t xml:space="preserve">pack_rows</w:t>
      </w:r>
      <w:r>
        <w:t xml:space="preserve"> </w:t>
      </w:r>
      <w:r>
        <w:rPr>
          <w:bCs/>
          <w:b/>
        </w:rPr>
        <w:t xml:space="preserve">in kableExtra unconditionally escapes LaTeX metacharacters in labels</w:t>
      </w:r>
    </w:p>
    <w:p>
      <w:pPr>
        <w:pStyle w:val="BodyText"/>
      </w:pPr>
      <w:r>
        <w:t xml:space="preserve">Attempting to put math mode in a row-group label — e.g. pack_rows(</w:t>
      </w:r>
      <w:r>
        <w:t xml:space="preserve">“</w:t>
      </w:r>
      <w:r>
        <w:t xml:space="preserve">Panel A: Full sample,</w:t>
      </w:r>
      <w:r>
        <w:t xml:space="preserve"> </w:t>
      </w:r>
      <m:oMath>
        <m:r>
          <m:t>t</m:t>
        </m:r>
      </m:oMath>
      <w:r>
        <w:t xml:space="preserve">-statistic ranking</w:t>
      </w:r>
      <w:r>
        <w:t xml:space="preserve">”</w:t>
      </w:r>
      <w:r>
        <w:t xml:space="preserve">, …) — produces literal $t$ in the output because pack_rows escapes $ regardless of the format’s global escape = FALSE flag. Even</w:t>
      </w:r>
      <w:r>
        <w:t xml:space="preserve"> </w:t>
      </w:r>
      <w:r>
        <w:t xml:space="preserve">$t\protect$</w:t>
      </w:r>
      <w:r>
        <w:t xml:space="preserve"> </w:t>
      </w:r>
      <w:r>
        <w:t xml:space="preserve">is escaped to</w:t>
      </w:r>
      <w:r>
        <w:t xml:space="preserve"> </w:t>
      </w:r>
      <w:r>
        <w:t xml:space="preserve">protect$.</w:t>
      </w:r>
      <w:r>
        <w:t xml:space="preserve"> </w:t>
      </w:r>
      <w:r>
        <w:rPr>
          <w:bCs/>
          <w:b/>
        </w:rPr>
        <w:t xml:space="preserve">Fix:</w:t>
      </w:r>
      <w:r>
        <w:t xml:space="preserve"> </w:t>
      </w:r>
      <w:r>
        <w:t xml:space="preserve">drop math mode from pack_rows labels and rely on the italic = TRUE styling (which wraps the label in</w:t>
      </w:r>
      <w:r>
        <w:t xml:space="preserve"> </w:t>
      </w:r>
      <w:r>
        <w:t xml:space="preserve">) for typographic distinction. House style in this project is unstyled</w:t>
      </w:r>
      <w:r>
        <w:t xml:space="preserve"> </w:t>
      </w:r>
      <w:r>
        <w:t xml:space="preserve">“</w:t>
      </w:r>
      <w:r>
        <w:t xml:space="preserve">t-statistic</w:t>
      </w:r>
      <w:r>
        <w:t xml:space="preserve">”</w:t>
      </w:r>
      <w:r>
        <w:t xml:space="preserve"> </w:t>
      </w:r>
      <w:r>
        <w:t xml:space="preserve">wherever it occurs in prose, so this is consistent. Diagnosed during persistence_testing.R development; see §2.12.</w:t>
      </w:r>
    </w:p>
    <w:p>
      <w:pPr>
        <w:pStyle w:val="BodyText"/>
      </w:pPr>
      <w:r>
        <w:rPr>
          <w:bCs/>
          <w:b/>
        </w:rPr>
        <w:t xml:space="preserve">Bug 6:</w:t>
      </w:r>
      <w:r>
        <w:t xml:space="preserve"> </w:t>
      </w:r>
      <w:r>
        <w:t xml:space="preserve"> </w:t>
      </w:r>
      <w:r>
        <w:rPr>
          <w:bCs/>
          <w:b/>
        </w:rPr>
        <w:t xml:space="preserve">from mismatched bib key</w:t>
      </w:r>
    </w:p>
    <w:p>
      <w:pPr>
        <w:pStyle w:val="BodyText"/>
      </w:pPr>
      <w:r>
        <w:t xml:space="preserve">A</w:t>
      </w:r>
      <w:r>
        <w:t xml:space="preserve"> </w:t>
      </w:r>
      <w:r>
        <w:t xml:space="preserve"> </w:t>
      </w:r>
      <w:r>
        <w:t xml:space="preserve">in a footnote rendered as</w:t>
      </w:r>
      <w:r>
        <w:t xml:space="preserve"> </w:t>
      </w:r>
      <w:r>
        <w:t xml:space="preserve">“</w:t>
      </w:r>
      <w:r>
        <w:t xml:space="preserve">?</w:t>
      </w:r>
      <w:r>
        <w:t xml:space="preserve">”</w:t>
      </w:r>
      <w:r>
        <w:t xml:space="preserve"> </w:t>
      </w:r>
      <w:r>
        <w:t xml:space="preserve">on Overleaf because dissertation.bib actually contains the key KosowskiEtal2006. Failure mode is silent in the Overleaf log unless \bibliography and natbib warnings are being read carefully.</w:t>
      </w:r>
      <w:r>
        <w:t xml:space="preserve"> </w:t>
      </w:r>
      <w:r>
        <w:rPr>
          <w:bCs/>
          <w:b/>
        </w:rPr>
        <w:t xml:space="preserve">Fix workflow:</w:t>
      </w:r>
      <w:r>
        <w:t xml:space="preserve"> </w:t>
      </w:r>
      <w:r>
        <w:t xml:space="preserve">before introducing any</w:t>
      </w:r>
      <w:r>
        <w:t xml:space="preserve"> </w:t>
      </w:r>
      <w:r>
        <w:t xml:space="preserve"> </w:t>
      </w:r>
      <w:r>
        <w:t xml:space="preserve">in a new script-generated .tex, run grep</w:t>
      </w:r>
      <w:r>
        <w:t xml:space="preserve"> </w:t>
      </w:r>
      <w:r>
        <w:t xml:space="preserve">“</w:t>
      </w:r>
      <w:r>
        <w:t xml:space="preserve">^@</w:t>
      </w:r>
      <w:r>
        <w:t xml:space="preserve">”</w:t>
      </w:r>
      <w:r>
        <w:t xml:space="preserve"> </w:t>
      </w:r>
      <w:r>
        <w:t xml:space="preserve">dissertation.bib to get the authoritative key list. A full name check against the printed references section after compile is the only reliable visual confirmation.</w:t>
      </w:r>
    </w:p>
    <w:bookmarkEnd w:id="30"/>
    <w:bookmarkStart w:id="31" w:name="Xbe8ca7e31045f1d0cd5c7f2cbd6631a8ae109df"/>
    <w:p>
      <w:pPr>
        <w:pStyle w:val="Heading2"/>
      </w:pPr>
      <w:r>
        <w:rPr>
          <w:bCs/>
          <w:b/>
        </w:rPr>
        <w:t xml:space="preserve">2.8 Fama–French (2010) Subperiod Replication — April 2026</w:t>
      </w:r>
    </w:p>
    <w:p>
      <w:pPr>
        <w:pStyle w:val="FirstParagraph"/>
      </w:pPr>
      <w:r>
        <w:t xml:space="preserve">A standalone replication of the principal performance and skill-decomposition results was constructed on the Jan 1995–Sep 2006 subperiod, the maximum overlap between this study’s data window (Dec 1994 onwards) and the Jan 1984–Sep 2006 sample of Fama and French (2010, JF). Implemented in ff_comparison.R (v1.0). Produces FF-suffixed counterparts to Tables 7, 9, 10, 11, 13 and Figure 3. The estimation kernels, factor model specification, Newey–West lag (6 months for full-period regressions), bootstrap design (B = 10,000 calendar-month resamples following FF 2010), and the Storey (2002) tuning parameter (λ = 0.5) are byte-for-byte identical to those in alpha_estimation.R v2.4 and alpha_reporting.R v7.7 — this is essential so that any divergence between subperiod and full-sample numbers is attributable to sample-period effects rather than methodological differences.</w:t>
      </w:r>
    </w:p>
    <w:p>
      <w:pPr>
        <w:pStyle w:val="BodyText"/>
      </w:pPr>
      <w:r>
        <w:rPr>
          <w:bCs/>
          <w:b/>
        </w:rPr>
        <w:t xml:space="preserve">Sample window rationale.</w:t>
      </w:r>
      <w:r>
        <w:t xml:space="preserve"> </w:t>
      </w:r>
      <w:r>
        <w:t xml:space="preserve">The user’s data starts December 1994; FF (2010) ends September 2006. Maximum overlap is 141 months (Jan 1995–Sep 2006), of which the present subperiod covers only the second half of FF’s 270-month sample.</w:t>
      </w:r>
      <w:r>
        <w:t xml:space="preserve"> </w:t>
      </w:r>
      <w:r>
        <w:rPr>
          <w:bCs/>
          <w:b/>
        </w:rPr>
        <w:t xml:space="preserve">Differences from FF (2010)’s point estimates</w:t>
      </w:r>
      <w:r>
        <w:t xml:space="preserve">** ****should not be interpreted as methodological discrepancies** — they reflect (i) the absence of the 1984–1994 window, during which the cross-section of U.S. equity mutual funds exhibited a more favourable mean alpha than in the post-1995 era, and (ii) sample-construction differences (LSEG share-class data with Evans 2010 incubation correction vs. CRSP fund-level aggregation). The qualitative conclusions of FF (2010)—negative VW net alphas, high π₀, left-shifted t-distribution vs. bootstrap null—are expected to be reproduced; precise magnitudes need not be.</w:t>
      </w:r>
    </w:p>
    <w:p>
      <w:pPr>
        <w:pStyle w:val="BodyText"/>
      </w:pPr>
      <w:r>
        <w:rPr>
          <w:bCs/>
          <w:b/>
        </w:rPr>
        <w:t xml:space="preserve">Implementation details.</w:t>
      </w:r>
    </w:p>
    <w:p>
      <w:pPr>
        <w:numPr>
          <w:ilvl w:val="0"/>
          <w:numId w:val="1007"/>
        </w:numPr>
      </w:pPr>
      <w:r>
        <w:t xml:space="preserve">ff_comparison.R does not modify panel_trimmed in the parent environment. All filtering happens on a local copy ap. Safe to run alongside the main pipeline.</w:t>
      </w:r>
    </w:p>
    <w:p>
      <w:pPr>
        <w:numPr>
          <w:ilvl w:val="0"/>
          <w:numId w:val="1007"/>
        </w:numPr>
      </w:pPr>
      <w:r>
        <w:t xml:space="preserve">mean_tna for the VW averages in Table 7 is computed</w:t>
      </w:r>
      <w:r>
        <w:t xml:space="preserve"> </w:t>
      </w:r>
      <w:r>
        <w:rPr>
          <w:bCs/>
          <w:b/>
        </w:rPr>
        <w:t xml:space="preserve">within the</w:t>
      </w:r>
      <w:r>
        <w:t xml:space="preserve">** ****subperiod**, not from the full sample. The VW figures should reflect the representative invested dollar during the FF window, not a fund’s lifetime size.</w:t>
      </w:r>
    </w:p>
    <w:p>
      <w:pPr>
        <w:numPr>
          <w:ilvl w:val="0"/>
          <w:numId w:val="1007"/>
        </w:numPr>
      </w:pPr>
      <w:r>
        <w:t xml:space="preserve">The script writes output files with _FF suffix (alpha_fullperiod_FF.xlsx, bootstrap_results_FF.xlsx, portfolio_alphas_FF.xlsx, plus the five .tex files and one .png) so they coexist with main pipeline outputs without collision.</w:t>
      </w:r>
    </w:p>
    <w:p>
      <w:pPr>
        <w:numPr>
          <w:ilvl w:val="0"/>
          <w:numId w:val="1007"/>
        </w:numPr>
      </w:pPr>
      <w:r>
        <w:t xml:space="preserve">MIN_OBS_FULL = 24 means funds with fewer than 24 monthly observations in the subperiod are dropped. Expect a smaller n_active in the FF subperiod than in the main pipeline.</w:t>
      </w:r>
    </w:p>
    <w:p>
      <w:pPr>
        <w:pStyle w:val="FirstParagraph"/>
      </w:pPr>
      <w:r>
        <w:rPr>
          <w:bCs/>
          <w:b/>
        </w:rPr>
        <w:t xml:space="preserve">Why the kableExtra path was abandoned for FF tables.</w:t>
      </w:r>
      <w:r>
        <w:t xml:space="preserve"> </w:t>
      </w:r>
      <w:r>
        <w:t xml:space="preserve">Despite fixes 1–3 in §2.7, the FF tables continued to fail on Overleaf. After six rounds of fix-and-test, the decision was made to bypass kableExtra entirely for all five FF tables.</w:t>
      </w:r>
    </w:p>
    <w:bookmarkEnd w:id="31"/>
    <w:bookmarkStart w:id="32" w:name="Xbfc607d8637125da4e2d04fd7581ddbce421ab2"/>
    <w:p>
      <w:pPr>
        <w:pStyle w:val="Heading2"/>
      </w:pPr>
      <w:r>
        <w:rPr>
          <w:bCs/>
          <w:b/>
        </w:rPr>
        <w:t xml:space="preserve">2.9 Manual Table Builder —</w:t>
      </w:r>
      <w:r>
        <w:t xml:space="preserve"> </w:t>
      </w:r>
      <w:r>
        <w:t xml:space="preserve">build_FF_tables_manual.R**</w:t>
      </w:r>
    </w:p>
    <w:p>
      <w:pPr>
        <w:pStyle w:val="FirstParagraph"/>
      </w:pPr>
      <w:r>
        <w:t xml:space="preserve">A standalone post-processor that reads the xlsx files produced by ff_comparison.R and writes the five FF tables as</w:t>
      </w:r>
      <w:r>
        <w:t xml:space="preserve"> </w:t>
      </w:r>
      <w:r>
        <w:rPr>
          <w:bCs/>
          <w:b/>
        </w:rPr>
        <w:t xml:space="preserve">hand-coded LaTeX</w:t>
      </w:r>
      <w:r>
        <w:t xml:space="preserve">** ****strings** via writeLines. No kableExtra dependency anywhere. Output filenames are identical to what ff_comparison.R writes, so it acts as a drop-in replacement — the existing</w:t>
      </w:r>
      <w:r>
        <w:t xml:space="preserve"> </w:t>
      </w:r>
      <w:r>
        <w:t xml:space="preserve"> </w:t>
      </w:r>
      <w:r>
        <w:t xml:space="preserve">lines in the master document still work without any change.</w:t>
      </w:r>
    </w:p>
    <w:p>
      <w:pPr>
        <w:pStyle w:val="BodyText"/>
      </w:pPr>
      <w:r>
        <w:rPr>
          <w:bCs/>
          <w:b/>
        </w:rPr>
        <w:t xml:space="preserve">Workflow:</w:t>
      </w:r>
    </w:p>
    <w:p>
      <w:pPr>
        <w:numPr>
          <w:ilvl w:val="0"/>
          <w:numId w:val="1008"/>
        </w:numPr>
      </w:pPr>
      <w:r>
        <w:t xml:space="preserve">Run ff_comparison.R first (produces the xlsx files and an unusable .tex set).</w:t>
      </w:r>
    </w:p>
    <w:p>
      <w:pPr>
        <w:numPr>
          <w:ilvl w:val="0"/>
          <w:numId w:val="1008"/>
        </w:numPr>
      </w:pPr>
      <w:r>
        <w:t xml:space="preserve">Run build_FF_tables_manual.R (reads xlsx, overwrites the broken .tex files with manual versions).</w:t>
      </w:r>
    </w:p>
    <w:p>
      <w:pPr>
        <w:numPr>
          <w:ilvl w:val="0"/>
          <w:numId w:val="1008"/>
        </w:numPr>
      </w:pPr>
      <w:r>
        <w:t xml:space="preserve">Move the five .tex files into tables/ and recompile.</w:t>
      </w:r>
    </w:p>
    <w:p>
      <w:pPr>
        <w:pStyle w:val="FirstParagraph"/>
      </w:pPr>
      <w:r>
        <w:t xml:space="preserve">Verified end-to-end: synthetic xlsx files matching the schema → manual builder → multi-table</w:t>
      </w:r>
      <w:r>
        <w:t xml:space="preserve"> </w:t>
      </w:r>
      <w:r>
        <w:t xml:space="preserve">test document with the project preamble → pdflatex → clean three-page PDF, zero errors. All five tables render correctly: Table 7’s group-header structure, Table 9’s percentile rows, Table 10’s π₀ row, Table 11’s bolded γ=0.20 row, Table 13’s significance stars and t-stat rows.</w:t>
      </w:r>
    </w:p>
    <w:p>
      <w:pPr>
        <w:pStyle w:val="BodyText"/>
      </w:pPr>
      <w:r>
        <w:rPr>
          <w:bCs/>
          <w:b/>
        </w:rPr>
        <w:t xml:space="preserve">Future use.</w:t>
      </w:r>
      <w:r>
        <w:t xml:space="preserve"> </w:t>
      </w:r>
      <w:r>
        <w:t xml:space="preserve">If alpha_reporting.R v7.7’s main table_bootstrap_tails.tex or table10b_bsw_decomposition.tex start failing on Overleaf for the same reasons, the same approach can be applied — request a parallel build_main_tables_manual.R that reads alpha_fullperiod.xlsx / bootstrap_results.xlsx and writes the main versions manually. The pattern is robust and should be the default fallback for any kableExtra failure that survives the §2.7 fixes.</w:t>
      </w:r>
    </w:p>
    <w:bookmarkEnd w:id="32"/>
    <w:bookmarkStart w:id="33" w:name="master-document-restructure-april-2026"/>
    <w:p>
      <w:pPr>
        <w:pStyle w:val="Heading2"/>
      </w:pPr>
      <w:r>
        <w:rPr>
          <w:bCs/>
          <w:b/>
        </w:rPr>
        <w:t xml:space="preserve">2.10 Master Document Restructure — April 2026</w:t>
      </w:r>
    </w:p>
    <w:p>
      <w:pPr>
        <w:pStyle w:val="FirstParagraph"/>
      </w:pPr>
      <w:r>
        <w:t xml:space="preserve">The master document all tables.tex (formerly Latex_master_output.txt) was restructured into a body section plus three appendices:</w:t>
      </w:r>
    </w:p>
    <w:p>
      <w:pPr>
        <w:numPr>
          <w:ilvl w:val="0"/>
          <w:numId w:val="1009"/>
        </w:numPr>
      </w:pPr>
      <w:r>
        <w:rPr>
          <w:bCs/>
          <w:b/>
        </w:rPr>
        <w:t xml:space="preserve">Body (Tables 1–13, auto-renumbered):</w:t>
      </w:r>
      <w:r>
        <w:t xml:space="preserve"> </w:t>
      </w:r>
      <w:r>
        <w:t xml:space="preserve">Tables 1–4 unchanged; old Tables 7–16 become new Tables 5–13 because three intermediate tables move out.</w:t>
      </w:r>
    </w:p>
    <w:p>
      <w:pPr>
        <w:numPr>
          <w:ilvl w:val="0"/>
          <w:numId w:val="1009"/>
        </w:numPr>
      </w:pPr>
      <w:r>
        <w:rPr>
          <w:bCs/>
          <w:b/>
        </w:rPr>
        <w:t xml:space="preserve">Appendix A: Alternative Panel Descriptive Statistics (Tables</w:t>
      </w:r>
      <w:r>
        <w:t xml:space="preserve">** ****A.1–A.2):** old Tables 5 and 6 (Master and Incubation-Corrected panels). The Trimmed panel reported in main-text Table 2 applies both corrections jointly; the appendix isolates each correction’s individual contribution.</w:t>
      </w:r>
    </w:p>
    <w:p>
      <w:pPr>
        <w:numPr>
          <w:ilvl w:val="0"/>
          <w:numId w:val="1009"/>
        </w:numPr>
      </w:pPr>
      <w:r>
        <w:rPr>
          <w:bCs/>
          <w:b/>
        </w:rPr>
        <w:t xml:space="preserve">Appendix B: Alpha by Lipper Style Class (Table B.1):</w:t>
      </w:r>
      <w:r>
        <w:t xml:space="preserve"> </w:t>
      </w:r>
      <w:r>
        <w:t xml:space="preserve">old Table 8 (Lipper breakdown).</w:t>
      </w:r>
    </w:p>
    <w:p>
      <w:pPr>
        <w:numPr>
          <w:ilvl w:val="0"/>
          <w:numId w:val="1009"/>
        </w:numPr>
      </w:pPr>
      <w:r>
        <w:rPr>
          <w:bCs/>
          <w:b/>
        </w:rPr>
        <w:t xml:space="preserve">Appendix C: Fama–French (2010) Subperiod Replication (Tables</w:t>
      </w:r>
      <w:r>
        <w:t xml:space="preserve">** ****C.1–C.5, Figure C.1):** the five FF tables and Figure 3 (FF) from §2.8.</w:t>
      </w:r>
    </w:p>
    <w:p>
      <w:pPr>
        <w:pStyle w:val="FirstParagraph"/>
      </w:pPr>
      <w:r>
        <w:rPr>
          <w:bCs/>
          <w:b/>
        </w:rPr>
        <w:t xml:space="preserve">Mechanism.</w:t>
      </w:r>
      <w:r>
        <w:t xml:space="preserve"> </w:t>
      </w:r>
      <w:r>
        <w:t xml:space="preserve">switches</w:t>
      </w:r>
      <w:r>
        <w:t xml:space="preserve"> </w:t>
      </w:r>
      <w:r>
        <w:t xml:space="preserve">from arabic to alphabetic (A, B, C, …).</w:t>
      </w:r>
      <w:r>
        <w:t xml:space="preserve"> </w:t>
      </w:r>
      <w:r>
        <w:t xml:space="preserve"> </w:t>
      </w:r>
      <w:r>
        <w:t xml:space="preserve">prefixes table numbers with the section letter.</w:t>
      </w:r>
      <w:r>
        <w:t xml:space="preserve"> </w:t>
      </w:r>
      <w:r>
        <w:t xml:space="preserve"> </w:t>
      </w:r>
      <w:r>
        <w:t xml:space="preserve">at the start of each appendix section resets the counter so each appendix begins at .1. The</w:t>
      </w:r>
      <w:r>
        <w:t xml:space="preserve"> </w:t>
      </w:r>
      <w:r>
        <w:t xml:space="preserve"> </w:t>
      </w:r>
      <w:r>
        <w:t xml:space="preserve">strings inside the individual .tex files are unchanged, so any</w:t>
      </w:r>
      <w:r>
        <w:t xml:space="preserve"> </w:t>
      </w:r>
      <w:r>
        <w:t xml:space="preserve">-based cross-references in the dissertation prose auto-update on recompile.</w:t>
      </w:r>
      <w:r>
        <w:t xml:space="preserve"> </w:t>
      </w:r>
      <w:r>
        <w:rPr>
          <w:bCs/>
          <w:b/>
        </w:rPr>
        <w:t xml:space="preserve">Plain-text</w:t>
      </w:r>
      <w:r>
        <w:t xml:space="preserve">** ****</w:t>
      </w:r>
      <w:r>
        <w:t xml:space="preserve">“</w:t>
      </w:r>
      <w:r>
        <w:t xml:space="preserve">****Table N****</w:t>
      </w:r>
      <w:r>
        <w:t xml:space="preserve">”</w:t>
      </w:r>
      <w:r>
        <w:t xml:space="preserve">**** ****references in the prose**** ****must be manually updated.**</w:t>
      </w:r>
    </w:p>
    <w:p>
      <w:pPr>
        <w:pStyle w:val="BodyText"/>
      </w:pPr>
      <w:r>
        <w:t xml:space="preserve">The restructure also removes</w:t>
      </w:r>
    </w:p>
    <w:p>
      <w:pPr>
        <w:pStyle w:val="BodyText"/>
      </w:pPr>
      <w:r>
        <w:t xml:space="preserve">from the preamble (per §2.7 Bug 3) and fixes three comment typos in the original master file (Tables 14, 15, 16 were all labelled</w:t>
      </w:r>
      <w:r>
        <w:t xml:space="preserve"> </w:t>
      </w:r>
      <w:r>
        <w:t xml:space="preserve">“</w:t>
      </w:r>
      <w:r>
        <w:t xml:space="preserve">Table 14</w:t>
      </w:r>
      <w:r>
        <w:t xml:space="preserve">”</w:t>
      </w:r>
      <w:r>
        <w:t xml:space="preserve"> </w:t>
      </w:r>
      <w:r>
        <w:t xml:space="preserve">in the comment annotations).</w:t>
      </w:r>
    </w:p>
    <w:bookmarkEnd w:id="33"/>
    <w:bookmarkStart w:id="34" w:name="Xc14c6c2645897ad6a6dfeaca26e37aa4787dcf2"/>
    <w:p>
      <w:pPr>
        <w:pStyle w:val="Heading2"/>
      </w:pPr>
      <w:r>
        <w:rPr>
          <w:bCs/>
          <w:b/>
        </w:rPr>
        <w:t xml:space="preserve">2.11 Bootstrap Standard Error Bug Fix — April 2026</w:t>
      </w:r>
    </w:p>
    <w:p>
      <w:pPr>
        <w:pStyle w:val="FirstParagraph"/>
      </w:pPr>
      <w:r>
        <w:t xml:space="preserve">A methodological bug was identified in the Fama–French (2010) bootstrap implementation during the April 2026 audit. The actual full-period</w:t>
      </w:r>
      <w:r>
        <w:t xml:space="preserve"> </w:t>
      </w:r>
      <w:r>
        <w:rPr>
          <w:iCs/>
          <w:i/>
        </w:rPr>
        <w:t xml:space="preserve">t</w:t>
      </w:r>
      <w:r>
        <w:t xml:space="preserve">-statistics in Tables 6 and C.2 (and the actual-fund CDF in Figures 3 and C.1) were computed using Newey–West HAC standard errors with a 6-month lag, consistent with §3.2 of the bootstrap methodology. However, the simulated</w:t>
      </w:r>
      <w:r>
        <w:t xml:space="preserve"> </w:t>
      </w:r>
      <w:r>
        <w:rPr>
          <w:iCs/>
          <w:i/>
        </w:rPr>
        <w:t xml:space="preserve">t</w:t>
      </w:r>
      <w:r>
        <w:t xml:space="preserve">-statistics generated inside the bootstrap loop (one_boot_run in alpha_estimation.R Section 6 and ff_comparison.R Section 4) were computed using OLS standard errors. This produced an apples-to-oranges comparison: the</w:t>
      </w:r>
      <w:r>
        <w:t xml:space="preserve"> </w:t>
      </w:r>
      <w:r>
        <w:t xml:space="preserve">“</w:t>
      </w:r>
      <w:r>
        <w:t xml:space="preserve">Prob. Luck</w:t>
      </w:r>
      <w:r>
        <w:t xml:space="preserve">”</w:t>
      </w:r>
      <w:r>
        <w:t xml:space="preserve"> </w:t>
      </w:r>
      <w:r>
        <w:t xml:space="preserve">column was measuring the position of NW-based actual percentiles within a distribution of OLS-based simulated percentiles, under different SE assumptions.</w:t>
      </w:r>
    </w:p>
    <w:p>
      <w:pPr>
        <w:pStyle w:val="BodyText"/>
      </w:pPr>
      <w:r>
        <w:t xml:space="preserve">The previous version of bootstrap_methodology.docx (§4.2 Step 4 and §8 limitations bullet on</w:t>
      </w:r>
      <w:r>
        <w:t xml:space="preserve"> </w:t>
      </w:r>
      <w:r>
        <w:t xml:space="preserve">“</w:t>
      </w:r>
      <w:r>
        <w:t xml:space="preserve">Bootstrap standard errors</w:t>
      </w:r>
      <w:r>
        <w:t xml:space="preserve">”</w:t>
      </w:r>
      <w:r>
        <w:t xml:space="preserve">) defended the choice as</w:t>
      </w:r>
      <w:r>
        <w:t xml:space="preserve"> </w:t>
      </w:r>
      <w:r>
        <w:t xml:space="preserve">“</w:t>
      </w:r>
      <w:r>
        <w:t xml:space="preserve">consistent with Fama and French (2010)</w:t>
      </w:r>
      <w:r>
        <w:t xml:space="preserve">”</w:t>
      </w:r>
      <w:r>
        <w:t xml:space="preserve">. This defense was incorrect: FF (2010) used OLS in</w:t>
      </w:r>
      <w:r>
        <w:t xml:space="preserve"> </w:t>
      </w:r>
      <w:r>
        <w:rPr>
          <w:iCs/>
          <w:i/>
        </w:rPr>
        <w:t xml:space="preserve">both</w:t>
      </w:r>
      <w:r>
        <w:t xml:space="preserve"> </w:t>
      </w:r>
      <w:r>
        <w:t xml:space="preserve">the actual and simulated distributions, achieving symmetry. This study used NW for actual and OLS for simulated, which breaks that symmetry and has no precedent in the literature.</w:t>
      </w:r>
    </w:p>
    <w:p>
      <w:pPr>
        <w:pStyle w:val="BodyText"/>
      </w:pPr>
      <w:r>
        <w:rPr>
          <w:bCs/>
          <w:b/>
        </w:rPr>
        <w:t xml:space="preserve">Fix.</w:t>
      </w:r>
      <w:r>
        <w:t xml:space="preserve"> </w:t>
      </w:r>
      <w:r>
        <w:t xml:space="preserve">Both alpha_estimation.R (bumped v2.4 → v2.5) and ff_comparison.R (bumped v1.0 → v1.1) now compute Newey–West HAC standard errors inside one_boot_run using the same 6-month Bartlett kernel lag applied to the actual regressions. The NW computation is inlined inside the worker function (rather than calling nw_se() from the global environment) so that parLapply workers do not need additional clusterExport dependencies. NW_LAG_FULL is added to the clusterExport list and passed as an explicit argument to parLapply.</w:t>
      </w:r>
    </w:p>
    <w:p>
      <w:pPr>
        <w:pStyle w:val="BodyText"/>
      </w:pPr>
      <w:r>
        <w:rPr>
          <w:bCs/>
          <w:b/>
        </w:rPr>
        <w:t xml:space="preserve">Numerical validation.</w:t>
      </w:r>
      <w:r>
        <w:t xml:space="preserve"> </w:t>
      </w:r>
      <w:r>
        <w:t xml:space="preserve">The inlined NW SE implementation was cross-checked against sandwich::NeweyWest(…, prewhite=FALSE, adjust=FALSE, lag=6) on a 141-month synthetic panel with AR(1) errors (ρ = 0.25); the two implementations match to 8.67e-19 (bit-identical within double precision).</w:t>
      </w:r>
    </w:p>
    <w:p>
      <w:pPr>
        <w:pStyle w:val="BodyText"/>
      </w:pPr>
      <w:r>
        <w:rPr>
          <w:bCs/>
          <w:b/>
        </w:rPr>
        <w:t xml:space="preserve">Compute cost.</w:t>
      </w:r>
      <w:r>
        <w:t xml:space="preserve"> </w:t>
      </w:r>
      <w:r>
        <w:t xml:space="preserve">Benchmarking on a single core with B = 100 and 1,899 synthetic funds yielded OLS bootstrap runtime of 9.57 sec and NW bootstrap runtime of 24.96 sec, a ratio of 2.61x. Most of the per-fund R runtime is interpreter dispatch overhead (vapply, tryCatch, matrix indexing) rather than arithmetic, which compresses the theoretical FLOP-count increase from ~5x to ~2.6x in practice. The relative ratio is preserved under parallelisation because parLapply distributes whole iterations across cores; both versions parallelise identically. Absolute wall-clock increase for a typical B = 10,000 run on the user’s multicore setup is approximately +8 to +25 minutes depending on hardware.</w:t>
      </w:r>
    </w:p>
    <w:p>
      <w:pPr>
        <w:pStyle w:val="BodyText"/>
      </w:pPr>
      <w:r>
        <w:rPr>
          <w:bCs/>
          <w:b/>
        </w:rPr>
        <w:t xml:space="preserve">Downstream impact on results.</w:t>
      </w:r>
      <w:r>
        <w:t xml:space="preserve"> </w:t>
      </w:r>
      <w:r>
        <w:t xml:space="preserve">The fix affects only Tables 6 (bootstrap percentiles) and C.2 (FF subperiod bootstrap) and Figures 3 and C.1 (CDF/PDF panels). Tables 7, 8, 10, and the BSW decomposition (Tables 8 and C.4) are</w:t>
      </w:r>
      <w:r>
        <w:t xml:space="preserve"> </w:t>
      </w:r>
      <w:r>
        <w:rPr>
          <w:bCs/>
          <w:b/>
        </w:rPr>
        <w:t xml:space="preserve">numerically unchanged</w:t>
      </w:r>
      <w:r>
        <w:t xml:space="preserve"> </w:t>
      </w:r>
      <w:r>
        <w:t xml:space="preserve">because they derive from alpha_p_nw (Newey–West p-values from the full-period regression), not from the bootstrap output. The qualitative conclusions from Tables 6 and C.2 are expected to survive the fix in the same direction: NW standard errors are typically larger than OLS under positive serial correlation, so simulated</w:t>
      </w:r>
      <w:r>
        <w:t xml:space="preserve"> </w:t>
      </w:r>
      <w:r>
        <w:rPr>
          <w:iCs/>
          <w:i/>
        </w:rPr>
        <w:t xml:space="preserve">t</w:t>
      </w:r>
      <w:r>
        <w:t xml:space="preserve">-statistic percentiles will shrink toward zero, making actual left-tail percentiles appear relatively more extreme and the</w:t>
      </w:r>
      <w:r>
        <w:t xml:space="preserve"> </w:t>
      </w:r>
      <w:r>
        <w:t xml:space="preserve">“</w:t>
      </w:r>
      <w:r>
        <w:t xml:space="preserve">Prob. Luck</w:t>
      </w:r>
      <w:r>
        <w:t xml:space="preserve">”</w:t>
      </w:r>
      <w:r>
        <w:t xml:space="preserve"> </w:t>
      </w:r>
      <w:r>
        <w:t xml:space="preserve">numbers slightly smaller (stronger evidence against the luck null).</w:t>
      </w:r>
    </w:p>
    <w:p>
      <w:pPr>
        <w:pStyle w:val="BodyText"/>
      </w:pPr>
      <w:r>
        <w:rPr>
          <w:bCs/>
          <w:b/>
        </w:rPr>
        <w:t xml:space="preserve">Methodological documents updated.</w:t>
      </w:r>
      <w:r>
        <w:t xml:space="preserve"> </w:t>
      </w:r>
      <w:r>
        <w:t xml:space="preserve">bootstrap_methodology.docx revised in four places: §4.2 Step 4 (removed</w:t>
      </w:r>
      <w:r>
        <w:t xml:space="preserve"> </w:t>
      </w:r>
      <w:r>
        <w:t xml:space="preserve">“</w:t>
      </w:r>
      <w:r>
        <w:t xml:space="preserve">using OLS</w:t>
      </w:r>
      <w:r>
        <w:t xml:space="preserve">”</w:t>
      </w:r>
      <w:r>
        <w:t xml:space="preserve"> </w:t>
      </w:r>
      <w:r>
        <w:t xml:space="preserve">and</w:t>
      </w:r>
      <w:r>
        <w:t xml:space="preserve"> </w:t>
      </w:r>
      <w:r>
        <w:t xml:space="preserve">“</w:t>
      </w:r>
      <w:r>
        <w:t xml:space="preserve">OLS standard error</w:t>
      </w:r>
      <w:r>
        <w:t xml:space="preserve">”</w:t>
      </w:r>
      <w:r>
        <w:t xml:space="preserve"> </w:t>
      </w:r>
      <w:r>
        <w:t xml:space="preserve">language, added NW HAC description and justification), §4.3 Parallelisation (updated compute time estimate from</w:t>
      </w:r>
      <w:r>
        <w:t xml:space="preserve"> </w:t>
      </w:r>
      <w:r>
        <w:t xml:space="preserve">“</w:t>
      </w:r>
      <w:r>
        <w:t xml:space="preserve">3–8 minutes</w:t>
      </w:r>
      <w:r>
        <w:t xml:space="preserve">”</w:t>
      </w:r>
      <w:r>
        <w:t xml:space="preserve"> </w:t>
      </w:r>
      <w:r>
        <w:t xml:space="preserve">to</w:t>
      </w:r>
      <w:r>
        <w:t xml:space="preserve"> </w:t>
      </w:r>
      <w:r>
        <w:t xml:space="preserve">“</w:t>
      </w:r>
      <w:r>
        <w:t xml:space="preserve">8–20 minutes</w:t>
      </w:r>
      <w:r>
        <w:t xml:space="preserve">”</w:t>
      </w:r>
      <w:r>
        <w:t xml:space="preserve"> </w:t>
      </w:r>
      <w:r>
        <w:t xml:space="preserve">with benchmark detail), §5.2 Figure 3 caption (removed</w:t>
      </w:r>
      <w:r>
        <w:t xml:space="preserve"> </w:t>
      </w:r>
      <w:r>
        <w:t xml:space="preserve">“</w:t>
      </w:r>
      <w:r>
        <w:t xml:space="preserve">if OLS standard errors were exact</w:t>
      </w:r>
      <w:r>
        <w:t xml:space="preserve">”</w:t>
      </w:r>
      <w:r>
        <w:t xml:space="preserve"> </w:t>
      </w:r>
      <w:r>
        <w:t xml:space="preserve">and replaced with a cleaner explanation of the N(0,1) reference vs. bootstrap null), §8 Limitations bullet</w:t>
      </w:r>
      <w:r>
        <w:t xml:space="preserve"> </w:t>
      </w:r>
      <w:r>
        <w:t xml:space="preserve">“</w:t>
      </w:r>
      <w:r>
        <w:t xml:space="preserve">Bootstrap standard errors</w:t>
      </w:r>
      <w:r>
        <w:t xml:space="preserve">”</w:t>
      </w:r>
      <w:r>
        <w:t xml:space="preserve"> </w:t>
      </w:r>
      <w:r>
        <w:t xml:space="preserve">(rewritten entirely to document the fix history, explain why NW-symmetric is stricter than FF 2010, and justify the choice based on documented positive autocorrelation in monthly fund residuals).</w:t>
      </w:r>
    </w:p>
    <w:p>
      <w:pPr>
        <w:pStyle w:val="BodyText"/>
      </w:pPr>
      <w:r>
        <w:rPr>
          <w:bCs/>
          <w:b/>
        </w:rPr>
        <w:t xml:space="preserve">Required rerun sequence after pulling these fixes.</w:t>
      </w:r>
      <w:r>
        <w:t xml:space="preserve"> </w:t>
      </w:r>
      <w:r>
        <w:t xml:space="preserve">alpha_estimation.R → alpha_reporting.R → ff_comparison.R → build_FF_tables_manual.R → Overleaf recompile. Expected runtime increase: +8 to +25 minutes total.</w:t>
      </w:r>
    </w:p>
    <w:bookmarkEnd w:id="34"/>
    <w:bookmarkStart w:id="35" w:name="X898b2fc9acc51690b00f754f35ae524ef8b6380"/>
    <w:p>
      <w:pPr>
        <w:pStyle w:val="Heading2"/>
      </w:pPr>
      <w:r>
        <w:rPr>
          <w:bCs/>
          <w:b/>
        </w:rPr>
        <w:t xml:space="preserve">2.12 Persistence Testing Implementation — April 2026</w:t>
      </w:r>
    </w:p>
    <w:p>
      <w:pPr>
        <w:pStyle w:val="FirstParagraph"/>
      </w:pPr>
      <w:r>
        <w:t xml:space="preserve">A new script persistence_testing.R implements the</w:t>
      </w:r>
      <w:r>
        <w:t xml:space="preserve"> </w:t>
      </w:r>
      <w:r>
        <w:t xml:space="preserve"> </w:t>
      </w:r>
      <w:r>
        <w:t xml:space="preserve">(KTWW) bootstrap persistence test together with the</w:t>
      </w:r>
      <w:r>
        <w:t xml:space="preserve"> </w:t>
      </w:r>
      <w:r>
        <w:t xml:space="preserve"> </w:t>
      </w:r>
      <w:r>
        <w:t xml:space="preserve">parametric persistence specification. The companion methodology document is persistence_testing_methodology.docx. Table 14 in the master document is the primary output.</w:t>
      </w:r>
    </w:p>
    <w:p>
      <w:pPr>
        <w:pStyle w:val="BodyText"/>
      </w:pPr>
      <w:r>
        <w:rPr>
          <w:bCs/>
          <w:b/>
        </w:rPr>
        <w:t xml:space="preserve">Design.</w:t>
      </w:r>
      <w:r>
        <w:t xml:space="preserve"> </w:t>
      </w:r>
      <w:r>
        <w:t xml:space="preserve">36-month formation window / 12-month holding window / non-overlapping cohorts. Seven usable cohorts span January 1995 to February 2026. Funds are ranked at formation by their Carhart four-factor alpha</w:t>
      </w:r>
      <w:r>
        <w:t xml:space="preserve"> </w:t>
      </w:r>
      <w:r>
        <w:rPr>
          <w:iCs/>
          <w:i/>
        </w:rPr>
        <w:t xml:space="preserve">t</w:t>
      </w:r>
      <w:r>
        <w:t xml:space="preserve">-statistic (Panel A) or raw alpha (Panel B, robustness check). Pooled holding-period returns of equal-weighted decile portfolios are regressed on the four Carhart factors with Newey–West HAC SE (12-month lag). The null is constructed by subtracting each fund’s estimated formation-period alpha from its holding-period excess returns, preserving cross-sectional factor dependence. Bootstrap resamples calendar months within the pooled panel; B = 10,000 iterations. The shared τ(t) assignment within a cohort is the KTWW convention.</w:t>
      </w:r>
    </w:p>
    <w:p>
      <w:pPr>
        <w:pStyle w:val="BodyText"/>
      </w:pPr>
      <w:r>
        <w:rPr>
          <w:bCs/>
          <w:b/>
        </w:rPr>
        <w:t xml:space="preserve">Six panels.</w:t>
      </w:r>
      <w:r>
        <w:t xml:space="preserve"> </w:t>
      </w:r>
      <w:r>
        <w:t xml:space="preserve">Panel A: full sample,</w:t>
      </w:r>
      <w:r>
        <w:t xml:space="preserve"> </w:t>
      </w:r>
      <w:r>
        <w:rPr>
          <w:iCs/>
          <w:i/>
        </w:rPr>
        <w:t xml:space="preserve">t</w:t>
      </w:r>
      <w:r>
        <w:t xml:space="preserve">-statistic ranking (headline). Panel B: full sample, raw-alpha ranking (robustness). Panels C/D/E: within-regime persistence inside each of the three Bai–Perron sub-periods (P1, P2, P3). Panel F: cross-regime persistence using boundary-straddling cohorts 3 and 5, which test whether formation-period ranks transport across a structural break.</w:t>
      </w:r>
    </w:p>
    <w:p>
      <w:pPr>
        <w:pStyle w:val="BodyText"/>
      </w:pPr>
      <w:r>
        <w:rPr>
          <w:bCs/>
          <w:b/>
        </w:rPr>
        <w:t xml:space="preserve">Compute efficiency.</w:t>
      </w:r>
      <w:r>
        <w:t xml:space="preserve"> </w:t>
      </w:r>
      <w:r>
        <w:t xml:space="preserve">Rather than re-running the full per-fund Carhart estimation inside each bootstrap iteration, the script precomputes factor and residual matrices (FacMat[i,t] and ResMat[i,t]) so that each iteration reduces to a column reindex via τ(t) plus decile row means. Bootstrap sim_matrix per sub-period is cached to an .rds file keyed on a SHA-1 hash of the inputs (same caching pattern as subperiod_analysis.R v1.2). First-run wall time ~20 minutes; subsequent runs with unchanged inputs ~20 seconds.</w:t>
      </w:r>
    </w:p>
    <w:p>
      <w:pPr>
        <w:pStyle w:val="BodyText"/>
      </w:pPr>
      <w:r>
        <w:rPr>
          <w:bCs/>
          <w:b/>
        </w:rPr>
        <w:t xml:space="preserve">Results summary.</w:t>
      </w:r>
    </w:p>
    <w:p>
      <w:pPr>
        <w:numPr>
          <w:ilvl w:val="0"/>
          <w:numId w:val="1010"/>
        </w:numPr>
      </w:pPr>
      <w:r>
        <w:rPr>
          <w:bCs/>
          <w:b/>
        </w:rPr>
        <w:t xml:space="preserve">D1 (top decile) never persists as winners</w:t>
      </w:r>
      <w:r>
        <w:t xml:space="preserve"> </w:t>
      </w:r>
      <w:r>
        <w:t xml:space="preserve">in any full-sample or within-regime panel. α̂ is statistically indistinguishable from zero everywhere except Panel F (parametric-only).</w:t>
      </w:r>
    </w:p>
    <w:p>
      <w:pPr>
        <w:numPr>
          <w:ilvl w:val="0"/>
          <w:numId w:val="1010"/>
        </w:numPr>
      </w:pPr>
      <w:r>
        <w:rPr>
          <w:bCs/>
          <w:b/>
        </w:rPr>
        <w:t xml:space="preserve">D10 (bottom decile) persists as losers parametrically, but only marginally under bootstrap.</w:t>
      </w:r>
      <w:r>
        <w:t xml:space="preserve"> </w:t>
      </w:r>
      <w:r>
        <w:t xml:space="preserve">Panel A D10: parametric</w:t>
      </w:r>
      <w:r>
        <w:t xml:space="preserve"> </w:t>
      </w:r>
      <w:r>
        <w:rPr>
          <w:iCs/>
          <w:i/>
        </w:rPr>
        <w:t xml:space="preserve">p</w:t>
      </w:r>
      <w:r>
        <w:t xml:space="preserve"> </w:t>
      </w:r>
      <w:r>
        <w:t xml:space="preserve">&lt; .001, bootstrap</w:t>
      </w:r>
      <w:r>
        <w:t xml:space="preserve"> </w:t>
      </w:r>
      <w:r>
        <w:rPr>
          <w:iCs/>
          <w:i/>
        </w:rPr>
        <w:t xml:space="preserve">p</w:t>
      </w:r>
      <w:r>
        <w:t xml:space="preserve">^L_B = 0.063 (fails 5% threshold by a hair). Panels C, D, E: parametric</w:t>
      </w:r>
      <w:r>
        <w:t xml:space="preserve"> </w:t>
      </w:r>
      <w:r>
        <w:rPr>
          <w:iCs/>
          <w:i/>
        </w:rPr>
        <w:t xml:space="preserve">p</w:t>
      </w:r>
      <w:r>
        <w:t xml:space="preserve"> </w:t>
      </w:r>
      <w:r>
        <w:t xml:space="preserve">&lt; .001 throughout, bootstrap</w:t>
      </w:r>
      <w:r>
        <w:t xml:space="preserve"> </w:t>
      </w:r>
      <w:r>
        <w:rPr>
          <w:iCs/>
          <w:i/>
        </w:rPr>
        <w:t xml:space="preserve">p</w:t>
      </w:r>
      <w:r>
        <w:t xml:space="preserve">^L_B all between 0.15–0.61 (non-significant). This is the KTWW (2006) phenomenon: ex-post cross-sectional sorting creates non-normal tail distortions that parametric inference over-rejects. JBp in the table documents this.</w:t>
      </w:r>
    </w:p>
    <w:p>
      <w:pPr>
        <w:numPr>
          <w:ilvl w:val="0"/>
          <w:numId w:val="1010"/>
        </w:numPr>
      </w:pPr>
      <w:r>
        <w:rPr>
          <w:bCs/>
          <w:b/>
        </w:rPr>
        <w:t xml:space="preserve">Panel F (cross-regime) is the most methodologically interesting.</w:t>
      </w:r>
      <w:r>
        <w:t xml:space="preserve"> </w:t>
      </w:r>
      <w:r>
        <w:t xml:space="preserve">Parametric D1 α̂ = 0.189% monthly (t = 4.52) would indicate a strong carryover of skill from P2 into P3. The bootstrap</w:t>
      </w:r>
      <w:r>
        <w:t xml:space="preserve"> </w:t>
      </w:r>
      <w:r>
        <w:rPr>
          <w:iCs/>
          <w:i/>
        </w:rPr>
        <w:t xml:space="preserve">p</w:t>
      </w:r>
      <w:r>
        <w:t xml:space="preserve">^R_B = 0.083 fails the 5% threshold. Spread D1−D10 parametric t = 4.77 likewise does not survive bootstrap (</w:t>
      </w:r>
      <w:r>
        <w:rPr>
          <w:iCs/>
          <w:i/>
        </w:rPr>
        <w:t xml:space="preserve">p</w:t>
      </w:r>
      <w:r>
        <w:t xml:space="preserve">^R_B = 0.327). Honest interpretation: cross-regime skill transport is</w:t>
      </w:r>
      <w:r>
        <w:t xml:space="preserve"> </w:t>
      </w:r>
      <w:r>
        <w:rPr>
          <w:bCs/>
          <w:b/>
        </w:rPr>
        <w:t xml:space="preserve">not established</w:t>
      </w:r>
      <w:r>
        <w:t xml:space="preserve">, which is the reading consistent with the P2→P3 collapse in π̂⁺_A documented in Table D.5.</w:t>
      </w:r>
    </w:p>
    <w:p>
      <w:pPr>
        <w:numPr>
          <w:ilvl w:val="0"/>
          <w:numId w:val="1010"/>
        </w:numPr>
      </w:pPr>
      <w:r>
        <w:rPr>
          <w:bCs/>
          <w:b/>
        </w:rPr>
        <w:t xml:space="preserve">Panel D (P2 single cohort, 12 obs) caveat.</w:t>
      </w:r>
      <w:r>
        <w:t xml:space="preserve"> </w:t>
      </w:r>
      <w:r>
        <w:t xml:space="preserve">D5 and D6 middle deciles show significant positive parametric alpha in the genuine-skill era. Single-cohort small-T inference is fragile; treated as suggestive rather than dispositive; footnote in table flags this explicitly.</w:t>
      </w:r>
    </w:p>
    <w:p>
      <w:pPr>
        <w:numPr>
          <w:ilvl w:val="0"/>
          <w:numId w:val="1010"/>
        </w:numPr>
      </w:pPr>
      <w:r>
        <w:rPr>
          <w:bCs/>
          <w:b/>
        </w:rPr>
        <w:t xml:space="preserve">Defense-ready framing.</w:t>
      </w:r>
      <w:r>
        <w:t xml:space="preserve"> </w:t>
      </w:r>
      <w:r>
        <w:t xml:space="preserve">Under valid bootstrap inference, no evidence of genuine skill persistence in any panel; loser persistence marginal; parametric-bootstrap divergence</w:t>
      </w:r>
      <w:r>
        <w:t xml:space="preserve"> </w:t>
      </w:r>
      <w:r>
        <w:rPr>
          <w:iCs/>
          <w:i/>
        </w:rPr>
        <w:t xml:space="preserve">is</w:t>
      </w:r>
      <w:r>
        <w:t xml:space="preserve"> </w:t>
      </w:r>
      <w:r>
        <w:t xml:space="preserve">the story and validates the choice to run both. Consistent with</w:t>
      </w:r>
      <w:r>
        <w:t xml:space="preserve"> </w:t>
      </w:r>
      <w:r>
        <w:t xml:space="preserve"> </w:t>
      </w:r>
      <w:r>
        <w:t xml:space="preserve">on the skill margin; leaves the puzzle in behavioural territory.</w:t>
      </w:r>
    </w:p>
    <w:p>
      <w:pPr>
        <w:pStyle w:val="FirstParagraph"/>
      </w:pPr>
      <w:r>
        <w:rPr>
          <w:bCs/>
          <w:b/>
        </w:rPr>
        <w:t xml:space="preserve">Bibliography additions.</w:t>
      </w:r>
      <w:r>
        <w:t xml:space="preserve"> </w:t>
      </w:r>
      <w:r>
        <w:t xml:space="preserve">Five entries appended to dissertation.bib to support persistence_testing_methodology.docx §7 (literature review) and defense preparation: BollenBusse2005 (Review of Financial Studies), BusseIrvine2006 (Journal of Finance), KacperczykVanNieuwerburghVeldkamp2014 (Journal of Finance), DeMiguelEtal2023 (Journal of Financial Economics), and FauschEtal2025 (SSRN working paper). All four published entries verified against journal DOIs. FauschEtal2025 is an SSRN paper that identifies a coding error in DeMiguelEtal2023 (forward-looking bias) and documents that the corrected replication eliminates the long-only positive-alpha result while still identifying underperforming funds via ML — see §4.7.</w:t>
      </w:r>
    </w:p>
    <w:p>
      <w:pPr>
        <w:pStyle w:val="BodyText"/>
      </w:pPr>
      <w:r>
        <w:rPr>
          <w:bCs/>
          <w:b/>
        </w:rPr>
        <w:t xml:space="preserve">Pipeline position.</w:t>
      </w:r>
      <w:r>
        <w:t xml:space="preserve"> </w:t>
      </w:r>
      <w:r>
        <w:t xml:space="preserve">persistence_testing.R runs AFTER data_import_and_cleaning.R and flow_calculation.R (which produce panel_incubation) and is otherwise self-contained. It does not read any upstream alpha estimates; formation-period alphas are re-estimated inside the script because they require per-cohort time windows that the global alpha_fullperiod.xlsx does not provide. Cache files persistence_bootstrap_cache_*.rds sit in the working directory and can be safely deleted to force a clean re-run.</w:t>
      </w:r>
    </w:p>
    <w:bookmarkEnd w:id="35"/>
    <w:bookmarkStart w:id="36" w:name="X52324bb3f71e1616a78f68bcf635648f1dc3fa8"/>
    <w:p>
      <w:pPr>
        <w:pStyle w:val="Heading2"/>
      </w:pPr>
      <w:r>
        <w:rPr>
          <w:bCs/>
          <w:b/>
        </w:rPr>
        <w:t xml:space="preserve">2.13 Landscape Page-Number Placement Fix — April 2026</w:t>
      </w:r>
    </w:p>
    <w:p>
      <w:pPr>
        <w:pStyle w:val="FirstParagraph"/>
      </w:pPr>
      <w:r>
        <w:t xml:space="preserve">Table 14 spans three landscape pages (20–22 in the current master document) wrapped in</w:t>
      </w:r>
    </w:p>
    <w:p>
      <w:pPr>
        <w:pStyle w:val="BodyText"/>
      </w:pPr>
      <w:r>
        <w:t xml:space="preserve">under pdflscape. On first compile, all three pages had page numbers rendered sideways on the left edge of the landscape view rather than upright at the bottom-center. Three failed attempts preceded the working solution; documenting each here so future multi-page landscape blocks do not repeat the sequence.</w:t>
      </w:r>
    </w:p>
    <w:p>
      <w:pPr>
        <w:pStyle w:val="BodyText"/>
      </w:pPr>
      <w:r>
        <w:rPr>
          <w:bCs/>
          <w:b/>
        </w:rPr>
        <w:t xml:space="preserve">Diagnosis.</w:t>
      </w:r>
      <w:r>
        <w:t xml:space="preserve"> </w:t>
      </w:r>
      <w:r>
        <w:t xml:space="preserve">pdflscape correctly sets /Rotate 90 in each landscape page’s dictionary (verified via qpdf inspection). However, the page number is typeset at the bottom-center of the</w:t>
      </w:r>
      <w:r>
        <w:t xml:space="preserve"> </w:t>
      </w:r>
      <w:r>
        <w:rPr>
          <w:iCs/>
          <w:i/>
        </w:rPr>
        <w:t xml:space="preserve">physical portrait page</w:t>
      </w:r>
      <w:r>
        <w:t xml:space="preserve"> </w:t>
      </w:r>
      <w:r>
        <w:t xml:space="preserve">via the default</w:t>
      </w:r>
      <w:r>
        <w:t xml:space="preserve"> </w:t>
      </w:r>
      <w:r>
        <w:t xml:space="preserve"> </w:t>
      </w:r>
      <w:r>
        <w:t xml:space="preserve">footer, which becomes the</w:t>
      </w:r>
      <w:r>
        <w:t xml:space="preserve"> </w:t>
      </w:r>
      <w:r>
        <w:rPr>
          <w:iCs/>
          <w:i/>
        </w:rPr>
        <w:t xml:space="preserve">left edge</w:t>
      </w:r>
      <w:r>
        <w:t xml:space="preserve"> </w:t>
      </w:r>
      <w:r>
        <w:t xml:space="preserve">of the landscape view after the viewer applies the rotation. The glyph is also rotated in the wrong direction relative to the viewer’s expectation.</w:t>
      </w:r>
    </w:p>
    <w:p>
      <w:pPr>
        <w:pStyle w:val="BodyText"/>
      </w:pPr>
      <w:r>
        <w:rPr>
          <w:bCs/>
          <w:b/>
        </w:rPr>
        <w:t xml:space="preserve">What did NOT work.</w:t>
      </w:r>
    </w:p>
    <w:p>
      <w:pPr>
        <w:numPr>
          <w:ilvl w:val="0"/>
          <w:numId w:val="1011"/>
        </w:numPr>
      </w:pPr>
      <w:r>
        <w:rPr>
          <w:bCs/>
          <w:b/>
        </w:rPr>
        <w:t xml:space="preserve">Attempt 1.</w:t>
      </w:r>
      <w:r>
        <w:t xml:space="preserve"> </w:t>
      </w:r>
      <w:r>
        <w:t xml:space="preserve">Replace</w:t>
      </w:r>
    </w:p>
    <w:p>
      <w:pPr>
        <w:numPr>
          <w:ilvl w:val="0"/>
          <w:numId w:val="1000"/>
        </w:numPr>
      </w:pPr>
      <w:r>
        <w:t xml:space="preserve">with</w:t>
      </w:r>
    </w:p>
    <w:p>
      <w:pPr>
        <w:numPr>
          <w:ilvl w:val="0"/>
          <w:numId w:val="1000"/>
        </w:numPr>
      </w:pPr>
      <w:r>
        <w:t xml:space="preserve">. Already in use; /Rotate was already being set; not the actual bug.</w:t>
      </w:r>
    </w:p>
    <w:p>
      <w:pPr>
        <w:numPr>
          <w:ilvl w:val="0"/>
          <w:numId w:val="1011"/>
        </w:numPr>
      </w:pPr>
      <w:r>
        <w:rPr>
          <w:bCs/>
          <w:b/>
        </w:rPr>
        <w:t xml:space="preserve">Attempt 2.</w:t>
      </w:r>
      <w:r>
        <w:t xml:space="preserve"> </w:t>
      </w:r>
      <w:r>
        <w:t xml:space="preserve"> </w:t>
      </w:r>
      <w:r>
        <w:t xml:space="preserve">inside \begin{landscape} with a fancypagestyle that uses</w:t>
      </w:r>
      <w:r>
        <w:t xml:space="preserve"> </w:t>
      </w:r>
      <w:r>
        <w:t xml:space="preserve">[C]{</w:t>
      </w:r>
      <w:r>
        <w:t xml:space="preserve">}. Fails because (a)</w:t>
      </w:r>
      <w:r>
        <w:t xml:space="preserve"> </w:t>
      </w:r>
      <w:r>
        <w:t xml:space="preserve">affects only page 1 of the landscape block — continuation pages in a longtable lose it and fall back to the ambient pagestyle, and (b)</w:t>
      </w:r>
      <w:r>
        <w:t xml:space="preserve"> </w:t>
      </w:r>
      <w:r>
        <w:t xml:space="preserve">[C] is relative to the rotated textblock, so the number still ends up on the physical bottom (= landscape left edge).</w:t>
      </w:r>
    </w:p>
    <w:p>
      <w:pPr>
        <w:numPr>
          <w:ilvl w:val="0"/>
          <w:numId w:val="1011"/>
        </w:numPr>
      </w:pPr>
      <w:r>
        <w:rPr>
          <w:bCs/>
          <w:b/>
        </w:rPr>
        <w:t xml:space="preserve">Attempt 3.</w:t>
      </w:r>
      <w:r>
        <w:t xml:space="preserve"> </w:t>
      </w:r>
      <w:r>
        <w:t xml:space="preserve"> </w:t>
      </w:r>
      <w:r>
        <w:t xml:space="preserve">(sticky) with</w:t>
      </w:r>
      <w:r>
        <w:t xml:space="preserve"> </w:t>
      </w:r>
      <w:r>
        <w:t xml:space="preserve">*{…} placed inside the fancypagestyle body and using eso-pic</w:t>
      </w:r>
      <w:r>
        <w:t xml:space="preserve"> </w:t>
      </w:r>
      <w:r>
        <w:t xml:space="preserve">to position the page number at absolute coordinates on the physical page. Worked on page 20 only. Root cause:</w:t>
      </w:r>
      <w:r>
        <w:t xml:space="preserve"> </w:t>
      </w:r>
      <w:r>
        <w:t xml:space="preserve">* is a one-shot hook that fires on the next shipout and then clears itself. When embedded in a fancypagestyle body, the body executes once at</w:t>
      </w:r>
      <w:r>
        <w:t xml:space="preserve"> </w:t>
      </w:r>
      <w:r>
        <w:t xml:space="preserve"> </w:t>
      </w:r>
      <w:r>
        <w:t xml:space="preserve">and queues the picture for the next page only — pages 21 and 22 had no page numbers at all.</w:t>
      </w:r>
    </w:p>
    <w:p>
      <w:pPr>
        <w:pStyle w:val="FirstParagraph"/>
      </w:pPr>
      <w:r>
        <w:rPr>
          <w:bCs/>
          <w:b/>
        </w:rPr>
        <w:t xml:space="preserve">Working solution.</w:t>
      </w:r>
      <w:r>
        <w:t xml:space="preserve"> </w:t>
      </w:r>
      <w:r>
        <w:t xml:space="preserve">Decouple the shipout hook from the pagestyle definition. Install a</w:t>
      </w:r>
      <w:r>
        <w:t xml:space="preserve"> </w:t>
      </w:r>
      <w:r>
        <w:rPr>
          <w:iCs/>
          <w:i/>
        </w:rPr>
        <w:t xml:space="preserve">persistent</w:t>
      </w:r>
      <w:r>
        <w:t xml:space="preserve"> </w:t>
      </w:r>
      <w:r>
        <w:t xml:space="preserve">(non-starred) at preamble scope, gated by a boolean flag, and use a separate blank fancypagestyle to suppress the default portrait footer. Preamble snippet:</w:t>
      </w:r>
    </w:p>
    <w:p>
      <w:pPr>
        <w:pStyle w:val="BodyText"/>
      </w:pPr>
      <w:r>
        <w:t xml:space="preserve">Usage pattern around a landscape block:</w:t>
      </w:r>
    </w:p>
    <w:p>
      <w:pPr>
        <w:pStyle w:val="BodyText"/>
      </w:pPr>
      <w:r>
        <w:t xml:space="preserve">%</w:t>
      </w:r>
    </w:p>
    <w:p>
      <w:pPr>
        <w:pStyle w:val="BodyText"/>
      </w:pPr>
      <w:r>
        <w:rPr>
          <w:bCs/>
          <w:b/>
        </w:rPr>
        <w:t xml:space="preserve">Why it works.</w:t>
      </w:r>
      <w:r>
        <w:t xml:space="preserve"> </w:t>
      </w:r>
      <w:r>
        <w:t xml:space="preserve">The non-starred</w:t>
      </w:r>
      <w:r>
        <w:t xml:space="preserve"> </w:t>
      </w:r>
      <w:r>
        <w:t xml:space="preserve">hook runs on every shipout for the duration of the document, but emits the rotated page number only when</w:t>
      </w:r>
      <w:r>
        <w:t xml:space="preserve"> </w:t>
      </w:r>
      <w:r>
        <w:t xml:space="preserve">is true. The coordinates (paperwidth − 0.5in, 0.5 paperheight) pin the number to the right-center of the physical page, which is the bottom-center of the landscape view after /Rotate 90.</w:t>
      </w:r>
      <w:r>
        <w:t xml:space="preserve"> </w:t>
      </w:r>
      <w:r>
        <w:t xml:space="preserve"> </w:t>
      </w:r>
      <w:r>
        <w:t xml:space="preserve">pre-rotates the glyph so it reads upright in the landscape view. The fancypagestyle suppresses the default footer that would otherwise double-up with the rotated number. Verified: all three landscape pages of Table 14 now show the page number at bottom-center of the landscape view; portrait pages before and after are unaffected.</w:t>
      </w:r>
    </w:p>
    <w:p>
      <w:pPr>
        <w:pStyle w:val="BodyText"/>
      </w:pPr>
      <w:r>
        <w:rPr>
          <w:bCs/>
          <w:b/>
        </w:rPr>
        <w:t xml:space="preserve">Reusable pattern for future landscape blocks.</w:t>
      </w:r>
      <w:r>
        <w:t xml:space="preserve"> </w:t>
      </w:r>
      <w:r>
        <w:t xml:space="preserve">Any multi-page landscape insertion should be wrapped with</w:t>
      </w:r>
      <w:r>
        <w:t xml:space="preserve"> </w:t>
      </w:r>
      <w:r>
        <w:t xml:space="preserve">/</w:t>
      </w:r>
      <w:r>
        <w:t xml:space="preserve"> </w:t>
      </w:r>
      <w:r>
        <w:t xml:space="preserve">at entry and</w:t>
      </w:r>
      <w:r>
        <w:t xml:space="preserve"> </w:t>
      </w:r>
      <w:r>
        <w:t xml:space="preserve">/</w:t>
      </w:r>
      <w:r>
        <w:t xml:space="preserve"> </w:t>
      </w:r>
      <w:r>
        <w:t xml:space="preserve">at exit. The preamble additions only need to be made once.</w:t>
      </w:r>
    </w:p>
    <w:bookmarkEnd w:id="36"/>
    <w:bookmarkEnd w:id="37"/>
    <w:bookmarkStart w:id="41" w:name="project-file-index-april-2026"/>
    <w:p>
      <w:pPr>
        <w:pStyle w:val="Heading1"/>
      </w:pPr>
      <w:r>
        <w:rPr>
          <w:bCs/>
          <w:b/>
        </w:rPr>
        <w:t xml:space="preserve">3. Project File Index — April 2026</w:t>
      </w:r>
    </w:p>
    <w:p>
      <w:pPr>
        <w:pStyle w:val="FirstParagraph"/>
      </w:pPr>
      <w:r>
        <w:t xml:space="preserve">This section catalogues the current state of project files for future Claude instances.</w:t>
      </w:r>
      <w:r>
        <w:t xml:space="preserve"> </w:t>
      </w:r>
      <w:r>
        <w:rPr>
          <w:bCs/>
          <w:b/>
        </w:rPr>
        <w:t xml:space="preserve">Important: files in the</w:t>
      </w:r>
      <w:r>
        <w:t xml:space="preserve"> </w:t>
      </w:r>
      <w:r>
        <w:t xml:space="preserve">/mnt/project/</w:t>
      </w:r>
      <w:r>
        <w:t xml:space="preserve"> </w:t>
      </w:r>
      <w:r>
        <w:rPr>
          <w:bCs/>
          <w:b/>
        </w:rPr>
        <w:t xml:space="preserve">directory may lag behind the user’s live working state.</w:t>
      </w:r>
      <w:r>
        <w:t xml:space="preserve"> </w:t>
      </w:r>
      <w:r>
        <w:t xml:space="preserve">When in doubt, ask the user to re-upload or paste the live version of any file you’re about to modify.</w:t>
      </w:r>
    </w:p>
    <w:bookmarkStart w:id="38" w:name="r-scripts-pipeline-order"/>
    <w:p>
      <w:pPr>
        <w:pStyle w:val="Heading2"/>
      </w:pPr>
      <w:r>
        <w:rPr>
          <w:bCs/>
          <w:b/>
        </w:rPr>
        <w:t xml:space="preserve">3.1 R Scripts (Pipeline Order)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Script</w:t>
            </w:r>
          </w:p>
        </w:tc>
        <w:tc>
          <w:tcPr/>
          <w:p>
            <w:pPr>
              <w:pStyle w:val="Compact"/>
              <w:jc w:val="left"/>
            </w:pPr>
            <w:r>
              <w:t xml:space="preserve">Purpose</w:t>
            </w:r>
          </w:p>
        </w:tc>
        <w:tc>
          <w:tcPr/>
          <w:p>
            <w:pPr>
              <w:pStyle w:val="Compact"/>
              <w:jc w:val="left"/>
            </w:pPr>
            <w:r>
              <w:t xml:space="preserve">Current Version</w:t>
            </w:r>
          </w:p>
        </w:tc>
        <w:tc>
          <w:tcPr/>
          <w:p>
            <w:pPr>
              <w:pStyle w:val="Compact"/>
              <w:jc w:val="left"/>
            </w:pPr>
            <w:r>
              <w:t xml:space="preserve">Notes</w:t>
            </w:r>
          </w:p>
        </w:tc>
      </w:tr>
      <w:tr>
        <w:tc>
          <w:tcPr/>
          <w:p>
            <w:pPr>
              <w:pStyle w:val="Compact"/>
              <w:jc w:val="left"/>
            </w:pPr>
            <w:r>
              <w:t xml:space="preserve">data_import_and_cleaning.R</w:t>
            </w:r>
          </w:p>
        </w:tc>
        <w:tc>
          <w:tcPr/>
          <w:p>
            <w:pPr>
              <w:pStyle w:val="Compact"/>
              <w:jc w:val="left"/>
            </w:pPr>
            <w:r>
              <w:t xml:space="preserve">Build panel_master, panel_incubation, panel_trimmed from LSEG raw exports</w:t>
            </w:r>
          </w:p>
        </w:tc>
        <w:tc>
          <w:tcPr/>
          <w:p>
            <w:pPr>
              <w:pStyle w:val="Compact"/>
              <w:jc w:val="left"/>
            </w:pPr>
            <w:r>
              <w:t xml:space="preserve">—</w:t>
            </w:r>
          </w:p>
        </w:tc>
        <w:tc>
          <w:tcPr/>
          <w:p>
            <w:pPr>
              <w:pStyle w:val="Compact"/>
              <w:jc w:val="left"/>
            </w:pPr>
            <w:r>
              <w:t xml:space="preserve">Frozen tail threshold = 3 (§2.6); raw return preservation; Evans (2010) incubation filter</w:t>
            </w:r>
          </w:p>
        </w:tc>
      </w:tr>
      <w:tr>
        <w:tc>
          <w:tcPr/>
          <w:p>
            <w:pPr>
              <w:pStyle w:val="Compact"/>
              <w:jc w:val="left"/>
            </w:pPr>
            <w:r>
              <w:t xml:space="preserve">flow_calculation.R</w:t>
            </w:r>
          </w:p>
        </w:tc>
        <w:tc>
          <w:tcPr/>
          <w:p>
            <w:pPr>
              <w:pStyle w:val="Compact"/>
              <w:jc w:val="left"/>
            </w:pPr>
            <w:r>
              <w:t xml:space="preserve">Sirri–Tufano flow identity, validation against LSEG flows</w:t>
            </w:r>
          </w:p>
        </w:tc>
        <w:tc>
          <w:tcPr/>
          <w:p>
            <w:pPr>
              <w:pStyle w:val="Compact"/>
              <w:jc w:val="left"/>
            </w:pPr>
            <w:r>
              <w:t xml:space="preserve">—</w:t>
            </w:r>
          </w:p>
        </w:tc>
        <w:tc>
          <w:tcPr/>
          <w:p>
            <w:pPr>
              <w:pStyle w:val="Compact"/>
              <w:jc w:val="left"/>
            </w:pPr>
            <w:r>
              <w:t xml:space="preserve">Uses ret_net_raw, not winsorised</w:t>
            </w:r>
          </w:p>
        </w:tc>
      </w:tr>
      <w:tr>
        <w:tc>
          <w:tcPr/>
          <w:p>
            <w:pPr>
              <w:pStyle w:val="Compact"/>
              <w:jc w:val="left"/>
            </w:pPr>
            <w:r>
              <w:t xml:space="preserve">descriptive_statistics.R</w:t>
            </w:r>
          </w:p>
        </w:tc>
        <w:tc>
          <w:tcPr/>
          <w:p>
            <w:pPr>
              <w:pStyle w:val="Compact"/>
              <w:jc w:val="left"/>
            </w:pPr>
            <w:r>
              <w:t xml:space="preserve">Tables 2, 3, 4, A.1, A.2</w:t>
            </w:r>
          </w:p>
        </w:tc>
        <w:tc>
          <w:tcPr/>
          <w:p>
            <w:pPr>
              <w:pStyle w:val="Compact"/>
              <w:jc w:val="left"/>
            </w:pPr>
            <w:r>
              <w:rPr>
                <w:bCs/>
                <w:b/>
              </w:rPr>
              <w:t xml:space="preserve">v2.2</w:t>
            </w:r>
          </w:p>
        </w:tc>
        <w:tc>
          <w:tcPr/>
          <w:p>
            <w:pPr>
              <w:pStyle w:val="Compact"/>
              <w:jc w:val="left"/>
            </w:pPr>
            <w:r>
              <w:t xml:space="preserve">v2.2 (April 2026): Sharpe row relocated to sit immediately below Net Return in Tables 2/A.1/A.2. Table 2 now built on panel_incubation; Table A.2 on panel_trimmed (new file table_desc_stats_trimmed.tex). Reference implementation for kableExtra footnote escaping; uses</w:t>
            </w:r>
            <w:r>
              <w:t xml:space="preserve"> </w:t>
            </w:r>
            <w:r>
              <w:rPr>
                <w:iCs/>
                <w:i/>
              </w:rPr>
              <w:t xml:space="preserve">e1071::kurtosis(type=2)</w:t>
            </w:r>
            <w:r>
              <w:t xml:space="preserve">;</w:t>
            </w:r>
            <w:r>
              <w:t xml:space="preserve"> </w:t>
            </w:r>
            <w:r>
              <w:rPr>
                <w:iCs/>
                <w:i/>
              </w:rPr>
              <w:t xml:space="preserve">log(TNA)</w:t>
            </w:r>
            <w:r>
              <w:t xml:space="preserve"> </w:t>
            </w:r>
            <w:r>
              <w:t xml:space="preserve">via</w:t>
            </w:r>
            <w:r>
              <w:t xml:space="preserve"> </w:t>
            </w:r>
            <w:r>
              <w:rPr>
                <w:iCs/>
                <w:i/>
              </w:rPr>
              <w:t xml:space="preserve">mean(log(TNA))</w:t>
            </w:r>
            <w:r>
              <w:t xml:space="preserve"> </w:t>
            </w:r>
            <w:r>
              <w:t xml:space="preserve">per Berk &amp; Green (2004).</w:t>
            </w:r>
          </w:p>
        </w:tc>
      </w:tr>
      <w:tr>
        <w:tc>
          <w:tcPr/>
          <w:p>
            <w:pPr>
              <w:pStyle w:val="Compact"/>
              <w:jc w:val="left"/>
            </w:pPr>
            <w:r>
              <w:t xml:space="preserve">alpha_estimation.R</w:t>
            </w:r>
          </w:p>
        </w:tc>
        <w:tc>
          <w:tcPr/>
          <w:p>
            <w:pPr>
              <w:pStyle w:val="Compact"/>
              <w:jc w:val="left"/>
            </w:pPr>
            <w:r>
              <w:t xml:space="preserve">Per-fund Carhart alphas, rolling windows, FF (2010) bootstrap, BSW gamma decomposition</w:t>
            </w:r>
          </w:p>
        </w:tc>
        <w:tc>
          <w:tcPr/>
          <w:p>
            <w:pPr>
              <w:pStyle w:val="Compact"/>
              <w:jc w:val="left"/>
            </w:pPr>
            <w:r>
              <w:rPr>
                <w:bCs/>
                <w:b/>
              </w:rPr>
              <w:t xml:space="preserve">v2.6</w:t>
            </w:r>
          </w:p>
        </w:tc>
        <w:tc>
          <w:tcPr/>
          <w:p>
            <w:pPr>
              <w:pStyle w:val="Compact"/>
              <w:jc w:val="left"/>
            </w:pPr>
            <w:r>
              <w:rPr>
                <w:bCs/>
                <w:b/>
              </w:rPr>
              <w:t xml:space="preserve">v2.6 (April 2026): panel source switched from panel_trimmed to panel_incubation</w:t>
            </w:r>
            <w:r>
              <w:t xml:space="preserve">, matching main-text tables and Appendix D inputs. v2.5: NW HAC SE in bootstrap (was OLS); §2.11. v2.4: adds mean_tna to alpha_fullperiod.xlsx for VW reporting; bootstrap restricted to active funds (alpha_full_bs); B = 10,000.</w:t>
            </w:r>
          </w:p>
        </w:tc>
      </w:tr>
      <w:tr>
        <w:tc>
          <w:tcPr/>
          <w:p>
            <w:pPr>
              <w:pStyle w:val="Compact"/>
              <w:jc w:val="left"/>
            </w:pPr>
            <w:r>
              <w:t xml:space="preserve">aggregate_alphas.R</w:t>
            </w:r>
          </w:p>
        </w:tc>
        <w:tc>
          <w:tcPr/>
          <w:p>
            <w:pPr>
              <w:pStyle w:val="Compact"/>
              <w:jc w:val="left"/>
            </w:pPr>
            <w:r>
              <w:t xml:space="preserve">FF (2010)-style aggregate portfolio alphas for Tables 5, 7 (Table 8 Lipper), Figure 2</w:t>
            </w:r>
          </w:p>
        </w:tc>
        <w:tc>
          <w:tcPr/>
          <w:p>
            <w:pPr>
              <w:pStyle w:val="Compact"/>
              <w:jc w:val="left"/>
            </w:pPr>
            <w:r>
              <w:rPr>
                <w:bCs/>
                <w:b/>
              </w:rPr>
              <w:t xml:space="preserve">v1.1</w:t>
            </w:r>
          </w:p>
        </w:tc>
        <w:tc>
          <w:tcPr/>
          <w:p>
            <w:pPr>
              <w:pStyle w:val="Compact"/>
              <w:jc w:val="left"/>
            </w:pPr>
            <w:r>
              <w:rPr>
                <w:bCs/>
                <w:b/>
              </w:rPr>
              <w:t xml:space="preserve">v1.1 (April 2026): panel source switched from panel_trimmed to panel_incubation; full-script duplication in v1.0 file on disk removed (was 579 lines, now 291).</w:t>
            </w:r>
            <w:r>
              <w:t xml:space="preserve"> </w:t>
            </w:r>
            <w:r>
              <w:t xml:space="preserve">Runs AFTER alpha_estimation.R and BEFORE alpha_reporting.R. Writes aggregate_alphas.xlsx.</w:t>
            </w:r>
          </w:p>
        </w:tc>
      </w:tr>
      <w:tr>
        <w:tc>
          <w:tcPr/>
          <w:p>
            <w:pPr>
              <w:pStyle w:val="Compact"/>
              <w:jc w:val="left"/>
            </w:pPr>
            <w:r>
              <w:t xml:space="preserve">alpha_reporting.R</w:t>
            </w:r>
          </w:p>
        </w:tc>
        <w:tc>
          <w:tcPr/>
          <w:p>
            <w:pPr>
              <w:pStyle w:val="Compact"/>
              <w:jc w:val="left"/>
            </w:pPr>
            <w:r>
              <w:t xml:space="preserve">Tables 5, 6, 7, 8 and Figures 2, 3</w:t>
            </w:r>
          </w:p>
        </w:tc>
        <w:tc>
          <w:tcPr/>
          <w:p>
            <w:pPr>
              <w:pStyle w:val="Compact"/>
              <w:jc w:val="left"/>
            </w:pPr>
            <w:r>
              <w:rPr>
                <w:bCs/>
                <w:b/>
              </w:rPr>
              <w:t xml:space="preserve">v7.8</w:t>
            </w:r>
          </w:p>
        </w:tc>
        <w:tc>
          <w:tcPr/>
          <w:p>
            <w:pPr>
              <w:pStyle w:val="Compact"/>
              <w:jc w:val="left"/>
            </w:pPr>
            <w:r>
              <w:t xml:space="preserve">v7.8 (April 2026): seven footnote strings across Tables 5, 6, 7, 8 and Figures 2, 3 updated from</w:t>
            </w:r>
            <w:r>
              <w:t xml:space="preserve"> </w:t>
            </w:r>
            <w:r>
              <w:t xml:space="preserve">“</w:t>
            </w:r>
            <w:r>
              <w:t xml:space="preserve">Trimmed (1995–2023) Evans-corrected panel</w:t>
            </w:r>
            <w:r>
              <w:t xml:space="preserve">”</w:t>
            </w:r>
            <w:r>
              <w:t xml:space="preserve"> </w:t>
            </w:r>
            <w:r>
              <w:t xml:space="preserve">to</w:t>
            </w:r>
            <w:r>
              <w:t xml:space="preserve"> </w:t>
            </w:r>
            <w:r>
              <w:t xml:space="preserve">“</w:t>
            </w:r>
            <w:r>
              <w:t xml:space="preserve">incubation-corrected panel (Evans 2010), no date cap</w:t>
            </w:r>
            <w:r>
              <w:t xml:space="preserve">”</w:t>
            </w:r>
            <w:r>
              <w:t xml:space="preserve">, matching alpha_estimation.R v2.6 and aggregate_alphas.R v1.1. v7.7 fix: Table 6 clean_latex(resize=FALSE). v7.6 fix:</w:t>
            </w:r>
            <w:r>
              <w:t xml:space="preserve"> </w:t>
            </w:r>
            <w:r>
              <w:t xml:space="preserve">gsub uses “” not</w:t>
            </w:r>
            <w:r>
              <w:t xml:space="preserve"> </w:t>
            </w:r>
            <w:r>
              <w:t xml:space="preserve">“</w:t>
            </w:r>
            <w:r>
              <w:t xml:space="preserve">”</w:t>
            </w:r>
            <w:r>
              <w:t xml:space="preserve">. See §2.7.</w:t>
            </w:r>
          </w:p>
        </w:tc>
      </w:tr>
      <w:tr>
        <w:tc>
          <w:tcPr/>
          <w:p>
            <w:pPr>
              <w:pStyle w:val="Compact"/>
              <w:jc w:val="left"/>
            </w:pPr>
            <w:r>
              <w:t xml:space="preserve">portfolio_sorts.R</w:t>
            </w:r>
          </w:p>
        </w:tc>
        <w:tc>
          <w:tcPr/>
          <w:p>
            <w:pPr>
              <w:pStyle w:val="Compact"/>
              <w:jc w:val="left"/>
            </w:pPr>
            <w:r>
              <w:t xml:space="preserve">Tables 9, 10, 11, 12, 13</w:t>
            </w:r>
          </w:p>
        </w:tc>
        <w:tc>
          <w:tcPr/>
          <w:p>
            <w:pPr>
              <w:pStyle w:val="Compact"/>
              <w:jc w:val="left"/>
            </w:pPr>
            <w:r>
              <w:rPr>
                <w:bCs/>
                <w:b/>
              </w:rPr>
              <w:t xml:space="preserve">v1.4</w:t>
            </w:r>
          </w:p>
        </w:tc>
        <w:tc>
          <w:tcPr/>
          <w:p>
            <w:pPr>
              <w:pStyle w:val="Compact"/>
              <w:jc w:val="left"/>
            </w:pPr>
            <w:r>
              <w:t xml:space="preserve">v1.4 (April 2026): Table 9 columns reorganized. Two-line</w:t>
            </w:r>
            <w:r>
              <w:t xml:space="preserve"> </w:t>
            </w:r>
            <w:r>
              <w:t xml:space="preserve">headers injected via post-kbl string substitution (kableExtra’s col.names  →</w:t>
            </w:r>
            <w:r>
              <w:t xml:space="preserve"> </w:t>
            </w:r>
            <w:r>
              <w:t xml:space="preserve">transform breaks</w:t>
            </w:r>
            <w:r>
              <w:t xml:space="preserve"> </w:t>
            </w:r>
            <w:r>
              <w:t xml:space="preserve">; placeholder-token workaround). Uniform 4.8em column widths on all seven numeric columns;</w:t>
            </w:r>
            <w:r>
              <w:t xml:space="preserve"> </w:t>
            </w:r>
            <w:r>
              <w:t xml:space="preserve">“</w:t>
            </w:r>
            <w:r>
              <w:t xml:space="preserve">EW Sharpe</w:t>
            </w:r>
            <w:r>
              <w:t xml:space="preserve">”</w:t>
            </w:r>
            <w:r>
              <w:t xml:space="preserve"> </w:t>
            </w:r>
            <w:r>
              <w:t xml:space="preserve">header shortened (from</w:t>
            </w:r>
            <w:r>
              <w:t xml:space="preserve"> </w:t>
            </w:r>
            <w:r>
              <w:t xml:space="preserve">“</w:t>
            </w:r>
            <w:r>
              <w:t xml:space="preserve">EW Sharpe Ratio</w:t>
            </w:r>
            <w:r>
              <w:t xml:space="preserve">”</w:t>
            </w:r>
            <w:r>
              <w:t xml:space="preserve">) to fit 4.8em. Panel switched to panel_incubation. Quintile sorts on size, momentum, fee; CAPM/FF3/Carhart; Q5−Q1 spreads use subtract_rf=FALSE; footnote fn_d1 uses single-backslash LaTeX commands (longtable_note convention, not threeparttable quadruple-backslash).</w:t>
            </w:r>
          </w:p>
        </w:tc>
      </w:tr>
      <w:tr>
        <w:tc>
          <w:tcPr/>
          <w:p>
            <w:pPr>
              <w:pStyle w:val="Compact"/>
              <w:jc w:val="left"/>
            </w:pPr>
            <w:r>
              <w:t xml:space="preserve">FF_comparison.R</w:t>
            </w:r>
          </w:p>
        </w:tc>
        <w:tc>
          <w:tcPr/>
          <w:p>
            <w:pPr>
              <w:pStyle w:val="Compact"/>
              <w:jc w:val="left"/>
            </w:pPr>
            <w:r>
              <w:t xml:space="preserve">FF (2010) subperiod replication — Tables C.1–C.5 and Figure C.1</w:t>
            </w:r>
          </w:p>
        </w:tc>
        <w:tc>
          <w:tcPr/>
          <w:p>
            <w:pPr>
              <w:pStyle w:val="Compact"/>
              <w:jc w:val="left"/>
            </w:pPr>
            <w:r>
              <w:rPr>
                <w:bCs/>
                <w:b/>
              </w:rPr>
              <w:t xml:space="preserve">v1.2</w:t>
            </w:r>
          </w:p>
        </w:tc>
        <w:tc>
          <w:tcPr/>
          <w:p>
            <w:pPr>
              <w:pStyle w:val="Compact"/>
              <w:jc w:val="left"/>
            </w:pPr>
            <w:r>
              <w:t xml:space="preserve">v1.2 (April 2026): Table C.2 fix — added row.names=FALSE to kbl() call. Upstream boot_tab carried inherited row.names (</w:t>
            </w:r>
            <w:r>
              <w:t xml:space="preserve">“</w:t>
            </w:r>
            <w:r>
              <w:t xml:space="preserve">1%</w:t>
            </w:r>
            <w:r>
              <w:t xml:space="preserve">”</w:t>
            </w:r>
            <w:r>
              <w:t xml:space="preserve">,</w:t>
            </w:r>
            <w:r>
              <w:t xml:space="preserve"> </w:t>
            </w:r>
            <w:r>
              <w:t xml:space="preserve">“</w:t>
            </w:r>
            <w:r>
              <w:t xml:space="preserve">5%</w:t>
            </w:r>
            <w:r>
              <w:t xml:space="preserve">”</w:t>
            </w:r>
            <w:r>
              <w:t xml:space="preserve">, …,</w:t>
            </w:r>
            <w:r>
              <w:t xml:space="preserve"> </w:t>
            </w:r>
            <w:r>
              <w:t xml:space="preserve">“</w:t>
            </w:r>
            <w:r>
              <w:t xml:space="preserve">99%</w:t>
            </w:r>
            <w:r>
              <w:t xml:space="preserve">”</w:t>
            </w:r>
            <w:r>
              <w:t xml:space="preserve">) which kableExtra was auto-injecting as a leading column containing literal % characters. LaTeX interpreted</w:t>
            </w:r>
            <w:r>
              <w:t xml:space="preserve"> </w:t>
            </w:r>
            <w:r>
              <w:t xml:space="preserve">“</w:t>
            </w:r>
            <w:r>
              <w:t xml:space="preserve">1%</w:t>
            </w:r>
            <w:r>
              <w:t xml:space="preserve">”</w:t>
            </w:r>
            <w:r>
              <w:t xml:space="preserve"> </w:t>
            </w:r>
            <w:r>
              <w:t xml:space="preserve">as a line-comment and consumed through the row terminator, collapsing the tabular and misfiring</w:t>
            </w:r>
            <w:r>
              <w:t xml:space="preserve"> </w:t>
            </w:r>
            <w:r>
              <w:t xml:space="preserve">’s</w:t>
            </w:r>
            <w:r>
              <w:t xml:space="preserve"> </w:t>
            </w:r>
            <w:r>
              <w:t xml:space="preserve">. Main-text Table 6 works because boot_summary there comes through readxl (tibble drops row names); FF version builds boot_tab in-script. Also Table C.3: clean_latex(resize=FALSE) to center narrow 5-col table. Self-contained; does not modify panel_trimmed; outputs _FF-suffixed files.</w:t>
            </w:r>
            <w:r>
              <w:t xml:space="preserve"> </w:t>
            </w:r>
            <w:r>
              <w:rPr>
                <w:bCs/>
                <w:b/>
              </w:rPr>
              <w:t xml:space="preserve">Run BEFORE</w:t>
            </w:r>
            <w:r>
              <w:t xml:space="preserve"> </w:t>
            </w:r>
            <w:r>
              <w:t xml:space="preserve">build_FF_tables_manual.R.</w:t>
            </w:r>
          </w:p>
        </w:tc>
      </w:tr>
      <w:tr>
        <w:tc>
          <w:tcPr/>
          <w:p>
            <w:pPr>
              <w:pStyle w:val="Compact"/>
              <w:jc w:val="left"/>
            </w:pPr>
            <w:r>
              <w:t xml:space="preserve">build_FF_tables_manual.R</w:t>
            </w:r>
          </w:p>
        </w:tc>
        <w:tc>
          <w:tcPr/>
          <w:p>
            <w:pPr>
              <w:pStyle w:val="Compact"/>
              <w:jc w:val="left"/>
            </w:pPr>
            <w:r>
              <w:t xml:space="preserve">Manual LaTeX generation for the five FF tables, bypassing kableExtra</w:t>
            </w:r>
          </w:p>
        </w:tc>
        <w:tc>
          <w:tcPr/>
          <w:p>
            <w:pPr>
              <w:pStyle w:val="Compact"/>
              <w:jc w:val="left"/>
            </w:pPr>
            <w:r>
              <w:t xml:space="preserve">v1.0</w:t>
            </w:r>
          </w:p>
        </w:tc>
        <w:tc>
          <w:tcPr/>
          <w:p>
            <w:pPr>
              <w:pStyle w:val="Compact"/>
              <w:jc w:val="left"/>
            </w:pPr>
            <w:r>
              <w:t xml:space="preserve">Reads the xlsx files produced by FF_comparison.R; overwrites the broken .tex files with hand-coded versions. See §2.9.</w:t>
            </w:r>
          </w:p>
        </w:tc>
      </w:tr>
      <w:tr>
        <w:tc>
          <w:tcPr/>
          <w:p>
            <w:pPr>
              <w:pStyle w:val="Compact"/>
              <w:jc w:val="left"/>
            </w:pPr>
            <w:r>
              <w:t xml:space="preserve">structural_break_test.R</w:t>
            </w:r>
          </w:p>
        </w:tc>
        <w:tc>
          <w:tcPr/>
          <w:p>
            <w:pPr>
              <w:pStyle w:val="Compact"/>
              <w:jc w:val="left"/>
            </w:pPr>
            <w:r>
              <w:t xml:space="preserve">Bai-Perron break test on rolling alpha series; Figure D.1 and Table D.1</w:t>
            </w:r>
          </w:p>
        </w:tc>
        <w:tc>
          <w:tcPr/>
          <w:p>
            <w:pPr>
              <w:pStyle w:val="Compact"/>
              <w:jc w:val="left"/>
            </w:pPr>
            <w:r>
              <w:t xml:space="preserve">v1.0</w:t>
            </w:r>
          </w:p>
        </w:tc>
        <w:tc>
          <w:tcPr/>
          <w:p>
            <w:pPr>
              <w:pStyle w:val="Compact"/>
              <w:jc w:val="left"/>
            </w:pPr>
            <w:r>
              <w:t xml:space="preserve">Feeds break dates to subperiod_analysis.R. Under panel_incubation (post-April 2026) the BIC selects five breaks at Dec 1999 / Dec 2002 / Dec 2005 / Nov 2011 / Jan 2023, giving six regimes collapsed to three adopted sub-periods (Dec 1996 – Dec 2005 / Jan 2006 – Nov 2011 / Dec 2011 – Jan 2026). See subperiod_methodology.docx §4 for the updated table.</w:t>
            </w:r>
          </w:p>
        </w:tc>
      </w:tr>
      <w:tr>
        <w:tc>
          <w:tcPr/>
          <w:p>
            <w:pPr>
              <w:pStyle w:val="Compact"/>
              <w:jc w:val="left"/>
            </w:pPr>
            <w:r>
              <w:t xml:space="preserve">subperiod_analysis.R</w:t>
            </w:r>
          </w:p>
        </w:tc>
        <w:tc>
          <w:tcPr/>
          <w:p>
            <w:pPr>
              <w:pStyle w:val="Compact"/>
              <w:jc w:val="left"/>
            </w:pPr>
            <w:r>
              <w:t xml:space="preserve">Appendix D.2 sub-period tables (D.2 through D.6)</w:t>
            </w:r>
          </w:p>
        </w:tc>
        <w:tc>
          <w:tcPr/>
          <w:p>
            <w:pPr>
              <w:pStyle w:val="Compact"/>
              <w:jc w:val="left"/>
            </w:pPr>
            <w:r>
              <w:rPr>
                <w:bCs/>
                <w:b/>
              </w:rPr>
              <w:t xml:space="preserve">v1.4</w:t>
            </w:r>
          </w:p>
        </w:tc>
        <w:tc>
          <w:tcPr/>
          <w:p>
            <w:pPr>
              <w:pStyle w:val="Compact"/>
              <w:jc w:val="left"/>
            </w:pPr>
            <w:r>
              <w:t xml:space="preserve">v1.4 (April 2026): adopted three-regime partition (P1 Dec 1996 – Dec 2005, 109 months; P2 Jan 2006 – Nov 2011, 71 months; P3 Dec 2011 – Jan 2026, 170 months). v1.3: panel source switched to panel_incubation. v1.2: bootstrap caching layer (cuts re-run wall time from ~30 min to ~30 sec).</w:t>
            </w:r>
          </w:p>
        </w:tc>
      </w:tr>
      <w:tr>
        <w:tc>
          <w:tcPr/>
          <w:p>
            <w:pPr>
              <w:pStyle w:val="Compact"/>
              <w:jc w:val="left"/>
            </w:pPr>
            <w:r>
              <w:t xml:space="preserve">persistence_testing.R</w:t>
            </w:r>
          </w:p>
        </w:tc>
        <w:tc>
          <w:tcPr/>
          <w:p>
            <w:pPr>
              <w:pStyle w:val="Compact"/>
              <w:jc w:val="left"/>
            </w:pPr>
            <w:r>
              <w:t xml:space="preserve">Table 14 — Carhart and KTWW bootstrap persistence tests</w:t>
            </w:r>
          </w:p>
        </w:tc>
        <w:tc>
          <w:tcPr/>
          <w:p>
            <w:pPr>
              <w:pStyle w:val="Compact"/>
              <w:jc w:val="left"/>
            </w:pPr>
            <w:r>
              <w:rPr>
                <w:bCs/>
                <w:b/>
              </w:rPr>
              <w:t xml:space="preserve">v1.0</w:t>
            </w:r>
          </w:p>
        </w:tc>
        <w:tc>
          <w:tcPr/>
          <w:p>
            <w:pPr>
              <w:pStyle w:val="Compact"/>
              <w:jc w:val="left"/>
            </w:pPr>
            <w:r>
              <w:t xml:space="preserve">v1.0 (April 2026): 36m formation / 12m holding non-overlapping cohorts; B = 10,000; NW HAC SE (3m formation, 12m holding); six panels (A full-sample t-stat, B raw-α robustness, C/D/E sub-periods, F cross-regime). Precomputed FacMat/ResMat for per-iteration column-reindex efficiency; SHA-1-keyed .rds cache per sub-period. Self-contained; reads panel_incubation only. See §2.12.</w:t>
            </w:r>
          </w:p>
        </w:tc>
      </w:tr>
    </w:tbl>
    <w:bookmarkEnd w:id="38"/>
    <w:bookmarkStart w:id="39" w:name="latex-outputs-and-master-document"/>
    <w:p>
      <w:pPr>
        <w:pStyle w:val="Heading2"/>
      </w:pPr>
      <w:r>
        <w:rPr>
          <w:bCs/>
          <w:b/>
        </w:rPr>
        <w:t xml:space="preserve">3.2 LaTeX Outputs and Master Document</w:t>
      </w:r>
    </w:p>
    <w:p>
      <w:pPr>
        <w:numPr>
          <w:ilvl w:val="0"/>
          <w:numId w:val="1012"/>
        </w:numPr>
      </w:pPr>
      <w:r>
        <w:t xml:space="preserve">all tables.tex — master document (formerly Latex_master_output.txt). Live version contains the appendix restructure from §2.10. The version in /mnt/project/Latex_master_output.txt may be stale; verify with the user before editing.</w:t>
      </w:r>
    </w:p>
    <w:p>
      <w:pPr>
        <w:numPr>
          <w:ilvl w:val="0"/>
          <w:numId w:val="1012"/>
        </w:numPr>
      </w:pPr>
      <w:r>
        <w:t xml:space="preserve">tables/ — subdirectory containing all individual .tex files inputted by the master. Each must be moved here from the R working directory after script runs.</w:t>
      </w:r>
    </w:p>
    <w:p>
      <w:pPr>
        <w:numPr>
          <w:ilvl w:val="0"/>
          <w:numId w:val="1012"/>
        </w:numPr>
      </w:pPr>
      <w:r>
        <w:t xml:space="preserve">tables/table_perf_aggregate.tex (Table 5, was 7), table_bootstrap_tails.tex (Table 6, was 9), table_pi0_estimate.tex (Table 7, was 10), table10b_bsw_decomposition.tex (Table 8, was 11), table_port_chars.tex (Table 9, was 12), table_port_agg_alpha.tex (Table 10, was 13), table_port_size_alpha.tex (Table 11, was 14), table_port_mom_alpha.tex (Table 12, was 15), table_port_fee_alpha.tex (Table 13, was 16).</w:t>
      </w:r>
    </w:p>
    <w:p>
      <w:pPr>
        <w:numPr>
          <w:ilvl w:val="0"/>
          <w:numId w:val="1012"/>
        </w:numPr>
      </w:pPr>
      <w:r>
        <w:t xml:space="preserve">tables/table_desc_stats_master.tex (Table A.1) and tables/table_desc_stats_incub.tex (Table A.2) — alternative panels.</w:t>
      </w:r>
    </w:p>
    <w:p>
      <w:pPr>
        <w:numPr>
          <w:ilvl w:val="0"/>
          <w:numId w:val="1012"/>
        </w:numPr>
      </w:pPr>
      <w:r>
        <w:t xml:space="preserve">tables/table_perf_by_lipper.tex (Table B.1) — Lipper breakdown.</w:t>
      </w:r>
    </w:p>
    <w:p>
      <w:pPr>
        <w:numPr>
          <w:ilvl w:val="0"/>
          <w:numId w:val="1012"/>
        </w:numPr>
      </w:pPr>
      <w:r>
        <w:t xml:space="preserve">tables/table_perf_aggregate_FF.tex (Table C.1), table_bootstrap_tails_FF.tex (C.2), table_pi0_estimate_FF.tex (C.3), table10b_bsw_decomposition_FF.tex (C.4), table_port_agg_alpha_FF.tex (C.5), fig_luck_vs_skill_combined_FF.png (Figure C.1) — FF subperiod, generated by build_FF_tables_manual.R.</w:t>
      </w:r>
    </w:p>
    <w:p>
      <w:pPr>
        <w:numPr>
          <w:ilvl w:val="0"/>
          <w:numId w:val="1012"/>
        </w:numPr>
      </w:pPr>
      <w:r>
        <w:t xml:space="preserve">tables/table_persistence.tex (Table 14) — persistence testing, generated by persistence_testing.R. Wrapped in</w:t>
      </w:r>
    </w:p>
    <w:p>
      <w:pPr>
        <w:numPr>
          <w:ilvl w:val="0"/>
          <w:numId w:val="1000"/>
        </w:numPr>
      </w:pPr>
      <w:r>
        <w:t xml:space="preserve">in the master document, with the landscape-page-number helper described in §2.13 activated around the block.</w:t>
      </w:r>
    </w:p>
    <w:p>
      <w:pPr>
        <w:numPr>
          <w:ilvl w:val="0"/>
          <w:numId w:val="1012"/>
        </w:numPr>
      </w:pPr>
      <w:r>
        <w:t xml:space="preserve">dissertation.bib — bibliography. 34 entries as of April 2026. Five additions during the persistence-testing work: BollenBusse2005, BusseIrvine2006, KacperczykVanNieuwerburghVeldkamp2014, DeMiguelEtal2023 (all</w:t>
      </w:r>
      <w:r>
        <w:t xml:space="preserve"> </w:t>
      </w:r>
      <w:r>
        <w:t xml:space="preserve">@article</w:t>
      </w:r>
      <w:r>
        <w:t xml:space="preserve">, DOI-verified), and FauschEtal2025 (</w:t>
      </w:r>
      <w:r>
        <w:t xml:space="preserve">@unpublished</w:t>
      </w:r>
      <w:r>
        <w:t xml:space="preserve">, SSRN working paper — note that bib styles render this with the pre-publication flag visible to the committee, which is intended).</w:t>
      </w:r>
    </w:p>
    <w:bookmarkEnd w:id="39"/>
    <w:bookmarkStart w:id="40" w:name="excel-audit-files"/>
    <w:p>
      <w:pPr>
        <w:pStyle w:val="Heading2"/>
      </w:pPr>
      <w:r>
        <w:rPr>
          <w:bCs/>
          <w:b/>
        </w:rPr>
        <w:t xml:space="preserve">3.3 Excel Audit Files</w:t>
      </w:r>
    </w:p>
    <w:p>
      <w:pPr>
        <w:numPr>
          <w:ilvl w:val="0"/>
          <w:numId w:val="1013"/>
        </w:numPr>
      </w:pPr>
      <w:r>
        <w:t xml:space="preserve">alpha_fullperiod.xlsx / alpha_fullperiod_FF.xlsx — per-fund full-period Carhart alphas, with NW t-stats, p-values, mean_tna.</w:t>
      </w:r>
    </w:p>
    <w:p>
      <w:pPr>
        <w:numPr>
          <w:ilvl w:val="0"/>
          <w:numId w:val="1013"/>
        </w:numPr>
      </w:pPr>
      <w:r>
        <w:t xml:space="preserve">alpha_rolling.xlsx — 36-month rolling Carhart alphas per fund per month.</w:t>
      </w:r>
    </w:p>
    <w:p>
      <w:pPr>
        <w:numPr>
          <w:ilvl w:val="0"/>
          <w:numId w:val="1013"/>
        </w:numPr>
      </w:pPr>
      <w:r>
        <w:t xml:space="preserve">bootstrap_results.xlsx / bootstrap_results_FF.xlsx — sheets: summary (percentile actual vs. simulated), fund_talpha (per-fund t-stats entering bootstrap), bsw_decomposition (gamma grid), bsw_meta (lambda, π₀, n_active, π_A− and π_A+ at γ=0.20).</w:t>
      </w:r>
    </w:p>
    <w:p>
      <w:pPr>
        <w:numPr>
          <w:ilvl w:val="0"/>
          <w:numId w:val="1013"/>
        </w:numPr>
      </w:pPr>
      <w:r>
        <w:t xml:space="preserve">portfolio_alphas.xlsx / portfolio_alphas_FF.xlsx — aggregate portfolio regression results (CAPM, FF3, Carhart), all four Active/Passive × EW/VW combinations.</w:t>
      </w:r>
    </w:p>
    <w:p>
      <w:pPr>
        <w:numPr>
          <w:ilvl w:val="0"/>
          <w:numId w:val="1013"/>
        </w:numPr>
      </w:pPr>
      <w:r>
        <w:t xml:space="preserve">rank_data.xlsx — annual fund ranks within Lipper category for the Sirri–Tufano piecewise framework.</w:t>
      </w:r>
    </w:p>
    <w:p>
      <w:pPr>
        <w:numPr>
          <w:ilvl w:val="0"/>
          <w:numId w:val="1013"/>
        </w:numPr>
      </w:pPr>
      <w:r>
        <w:t xml:space="preserve">flagged_funds.xlsx — funds permanently excluded as data errors. Currently includes QWVOX US Equity and VALLCEN US Equity.</w:t>
      </w:r>
    </w:p>
    <w:bookmarkEnd w:id="40"/>
    <w:bookmarkEnd w:id="41"/>
    <w:bookmarkStart w:id="49" w:name="future-claude-session-guidance"/>
    <w:p>
      <w:pPr>
        <w:pStyle w:val="Heading1"/>
      </w:pPr>
      <w:r>
        <w:rPr>
          <w:bCs/>
          <w:b/>
        </w:rPr>
        <w:t xml:space="preserve">4. Future Claude Session Guidance</w:t>
      </w:r>
    </w:p>
    <w:p>
      <w:pPr>
        <w:pStyle w:val="FirstParagraph"/>
      </w:pPr>
      <w:r>
        <w:t xml:space="preserve">This section is written explicitly for Claude instances joining this project in subsequent sessions.</w:t>
      </w:r>
      <w:r>
        <w:t xml:space="preserve"> </w:t>
      </w:r>
      <w:r>
        <w:rPr>
          <w:bCs/>
          <w:b/>
        </w:rPr>
        <w:t xml:space="preserve">Read before responding to any</w:t>
      </w:r>
      <w:r>
        <w:t xml:space="preserve">** ****technical request.**</w:t>
      </w:r>
    </w:p>
    <w:bookmarkStart w:id="42" w:name="environmental-quirks-already-diagnosed"/>
    <w:p>
      <w:pPr>
        <w:pStyle w:val="Heading2"/>
      </w:pPr>
      <w:r>
        <w:rPr>
          <w:bCs/>
          <w:b/>
        </w:rPr>
        <w:t xml:space="preserve">4.1 Environmental Quirks Already Diagnosed</w:t>
      </w:r>
    </w:p>
    <w:p>
      <w:pPr>
        <w:numPr>
          <w:ilvl w:val="0"/>
          <w:numId w:val="1014"/>
        </w:numPr>
      </w:pPr>
      <w:r>
        <w:rPr>
          <w:bCs/>
          <w:b/>
        </w:rPr>
        <w:t xml:space="preserve">Overleaf is on TeX Live 2024+ (stricter than TL2023).</w:t>
      </w:r>
      <w:r>
        <w:t xml:space="preserve"> </w:t>
      </w:r>
      <w:r>
        <w:t xml:space="preserve">Claude’s local pdflatex on TL2023 will not reproduce Overleaf compile errors, especially anything involving</w:t>
      </w:r>
      <w:r>
        <w:t xml:space="preserve"> </w:t>
      </w:r>
      <w:r>
        <w:t xml:space="preserve">,</w:t>
      </w:r>
      <w:r>
        <w:t xml:space="preserve"> </w:t>
      </w:r>
      <w:r>
        <w:t xml:space="preserve">, or</w:t>
      </w:r>
      <w:r>
        <w:t xml:space="preserve"> </w:t>
      </w:r>
      <w:r>
        <w:t xml:space="preserve">interactions with booktabs.</w:t>
      </w:r>
      <w:r>
        <w:t xml:space="preserve"> </w:t>
      </w:r>
      <w:r>
        <w:rPr>
          <w:bCs/>
          <w:b/>
        </w:rPr>
        <w:t xml:space="preserve">Do not assume an issue is resolved</w:t>
      </w:r>
      <w:r>
        <w:t xml:space="preserve">** ****just because it compiles locally.**</w:t>
      </w:r>
    </w:p>
    <w:p>
      <w:pPr>
        <w:numPr>
          <w:ilvl w:val="0"/>
          <w:numId w:val="1014"/>
        </w:numPr>
      </w:pPr>
      <w:r>
        <w:rPr>
          <w:bCs/>
          <w:b/>
        </w:rPr>
        <w:t xml:space="preserve">The user removed</w:t>
      </w:r>
    </w:p>
    <w:p>
      <w:pPr>
        <w:numPr>
          <w:ilvl w:val="0"/>
          <w:numId w:val="1000"/>
        </w:numPr>
      </w:pPr>
      <w:r>
        <w:rPr>
          <w:bCs/>
          <w:b/>
        </w:rPr>
        <w:t xml:space="preserve">from the preamble in</w:t>
      </w:r>
      <w:r>
        <w:t xml:space="preserve">** ****April 2026.** Do not add it back.</w:t>
      </w:r>
    </w:p>
    <w:p>
      <w:pPr>
        <w:numPr>
          <w:ilvl w:val="0"/>
          <w:numId w:val="1014"/>
        </w:numPr>
      </w:pPr>
      <w:r>
        <w:rPr>
          <w:bCs/>
          <w:b/>
        </w:rPr>
        <w:t xml:space="preserve">Three latent kableExtra bugs were patched in</w:t>
      </w:r>
      <w:r>
        <w:t xml:space="preserve"> </w:t>
      </w:r>
      <w:r>
        <w:t xml:space="preserve">alpha_reporting.R</w:t>
      </w:r>
      <w:r>
        <w:t xml:space="preserve"> </w:t>
      </w:r>
      <w:r>
        <w:rPr>
          <w:bCs/>
          <w:b/>
        </w:rPr>
        <w:t xml:space="preserve">v7.6 and v7.7</w:t>
      </w:r>
      <w:r>
        <w:t xml:space="preserve"> </w:t>
      </w:r>
      <w:r>
        <w:t xml:space="preserve">(see §2.7). When generating any new kableExtra table, always use empty-string replacement in the</w:t>
      </w:r>
      <w:r>
        <w:t xml:space="preserve"> </w:t>
      </w:r>
      <w:r>
        <w:t xml:space="preserve">gsub, and prefer clean_latex(resize=FALSE) for narrow tables.</w:t>
      </w:r>
    </w:p>
    <w:p>
      <w:pPr>
        <w:numPr>
          <w:ilvl w:val="0"/>
          <w:numId w:val="1014"/>
        </w:numPr>
      </w:pPr>
      <w:r>
        <w:rPr>
          <w:bCs/>
          <w:b/>
        </w:rPr>
        <w:t xml:space="preserve">For the FF tables and any other tables that fail kableExtra</w:t>
      </w:r>
      <w:r>
        <w:t xml:space="preserve">** ****rendering on Overleaf, use the manual builder pattern** (see §2.9). Do not spend more than one round attempting a kableExtra fix before falling back to manual generation.</w:t>
      </w:r>
    </w:p>
    <w:bookmarkEnd w:id="42"/>
    <w:bookmarkStart w:id="43" w:name="project-file-staleness-critical-warning"/>
    <w:p>
      <w:pPr>
        <w:pStyle w:val="Heading2"/>
      </w:pPr>
      <w:r>
        <w:rPr>
          <w:bCs/>
          <w:b/>
        </w:rPr>
        <w:t xml:space="preserve">4.2 Project File Staleness — Critical Warning</w:t>
      </w:r>
    </w:p>
    <w:p>
      <w:pPr>
        <w:pStyle w:val="FirstParagraph"/>
      </w:pPr>
      <w:r>
        <w:rPr>
          <w:bCs/>
          <w:b/>
        </w:rPr>
        <w:t xml:space="preserve">Files visible in</w:t>
      </w:r>
      <w:r>
        <w:t xml:space="preserve"> </w:t>
      </w:r>
      <w:r>
        <w:t xml:space="preserve">/mnt/project/</w:t>
      </w:r>
      <w:r>
        <w:t xml:space="preserve"> </w:t>
      </w:r>
      <w:r>
        <w:rPr>
          <w:bCs/>
          <w:b/>
        </w:rPr>
        <w:t xml:space="preserve">may be stale.</w:t>
      </w:r>
      <w:r>
        <w:t xml:space="preserve"> </w:t>
      </w:r>
      <w:r>
        <w:t xml:space="preserve">The user uploads files to</w:t>
      </w:r>
      <w:r>
        <w:t xml:space="preserve"> </w:t>
      </w:r>
      <w:r>
        <w:t xml:space="preserve">“</w:t>
      </w:r>
      <w:r>
        <w:t xml:space="preserve">project documents</w:t>
      </w:r>
      <w:r>
        <w:t xml:space="preserve">”</w:t>
      </w:r>
      <w:r>
        <w:t xml:space="preserve"> </w:t>
      </w:r>
      <w:r>
        <w:t xml:space="preserve">for Claude to reference, but the live working state in their R session, in their Overleaf project, and on their local disk can diverge significantly from what’s in the project folder. Specifically:</w:t>
      </w:r>
    </w:p>
    <w:p>
      <w:pPr>
        <w:numPr>
          <w:ilvl w:val="0"/>
          <w:numId w:val="1015"/>
        </w:numPr>
      </w:pPr>
      <w:r>
        <w:t xml:space="preserve">Latex_master_output.txt was last uploaded before the appendix restructure of §2.10. The live all tables.tex in Overleaf is structurally different.</w:t>
      </w:r>
    </w:p>
    <w:p>
      <w:pPr>
        <w:numPr>
          <w:ilvl w:val="0"/>
          <w:numId w:val="1015"/>
        </w:numPr>
      </w:pPr>
      <w:r>
        <w:t xml:space="preserve">Script versions in /mnt/project/ may lag behind the user’s working copies.</w:t>
      </w:r>
    </w:p>
    <w:p>
      <w:pPr>
        <w:numPr>
          <w:ilvl w:val="0"/>
          <w:numId w:val="1015"/>
        </w:numPr>
      </w:pPr>
      <w:r>
        <w:t xml:space="preserve">Generated .tex and .xlsx files in /mnt/project/ are usually missing entirely.</w:t>
      </w:r>
    </w:p>
    <w:p>
      <w:pPr>
        <w:pStyle w:val="FirstParagraph"/>
      </w:pPr>
      <w:r>
        <w:rPr>
          <w:bCs/>
          <w:b/>
        </w:rPr>
        <w:t xml:space="preserve">When in doubt, ask the user to paste the live contents of any file</w:t>
      </w:r>
      <w:r>
        <w:t xml:space="preserve">** ****you’re about to modify.** Do not silently assume the project version is current. This habit will prevent debugging the wrong file (a mistake made multiple times in the April 2026 session).</w:t>
      </w:r>
    </w:p>
    <w:bookmarkEnd w:id="43"/>
    <w:bookmarkStart w:id="44" w:name="diagnostic-discipline"/>
    <w:p>
      <w:pPr>
        <w:pStyle w:val="Heading2"/>
      </w:pPr>
      <w:r>
        <w:rPr>
          <w:bCs/>
          <w:b/>
        </w:rPr>
        <w:t xml:space="preserve">4.3 Diagnostic Discipline</w:t>
      </w:r>
    </w:p>
    <w:p>
      <w:pPr>
        <w:pStyle w:val="FirstParagraph"/>
      </w:pPr>
      <w:r>
        <w:t xml:space="preserve">When the user reports a compile failure:</w:t>
      </w:r>
    </w:p>
    <w:p>
      <w:pPr>
        <w:numPr>
          <w:ilvl w:val="0"/>
          <w:numId w:val="1016"/>
        </w:numPr>
      </w:pPr>
      <w:r>
        <w:rPr>
          <w:bCs/>
          <w:b/>
        </w:rPr>
        <w:t xml:space="preserve">Always ask for the full raw log</w:t>
      </w:r>
      <w:r>
        <w:t xml:space="preserve">, not just Overleaf’s user-friendly error summary. Overleaf’s</w:t>
      </w:r>
      <w:r>
        <w:t xml:space="preserve"> </w:t>
      </w:r>
      <w:r>
        <w:t xml:space="preserve">“</w:t>
      </w:r>
      <w:r>
        <w:t xml:space="preserve">Errors 1</w:t>
      </w:r>
      <w:r>
        <w:t xml:space="preserve">”</w:t>
      </w:r>
      <w:r>
        <w:t xml:space="preserve"> </w:t>
      </w:r>
      <w:r>
        <w:t xml:space="preserve">panel often shows only the END of the cascade, hiding the actual root cause earlier in the log.</w:t>
      </w:r>
    </w:p>
    <w:p>
      <w:pPr>
        <w:numPr>
          <w:ilvl w:val="0"/>
          <w:numId w:val="1016"/>
        </w:numPr>
      </w:pPr>
      <w:r>
        <w:rPr>
          <w:bCs/>
          <w:b/>
        </w:rPr>
        <w:t xml:space="preserve">Always ask for the actual current contents of the failing file.</w:t>
      </w:r>
      <w:r>
        <w:t xml:space="preserve"> </w:t>
      </w:r>
      <w:r>
        <w:t xml:space="preserve">What you think the file contains based on what your script</w:t>
      </w:r>
      <w:r>
        <w:t xml:space="preserve"> </w:t>
      </w:r>
      <w:r>
        <w:t xml:space="preserve">“</w:t>
      </w:r>
      <w:r>
        <w:t xml:space="preserve">should</w:t>
      </w:r>
      <w:r>
        <w:t xml:space="preserve">”</w:t>
      </w:r>
      <w:r>
        <w:t xml:space="preserve"> </w:t>
      </w:r>
      <w:r>
        <w:t xml:space="preserve">produce may not match what’s on disk if a previous run errored mid-write or if the user manually edited it.</w:t>
      </w:r>
    </w:p>
    <w:p>
      <w:pPr>
        <w:numPr>
          <w:ilvl w:val="0"/>
          <w:numId w:val="1016"/>
        </w:numPr>
      </w:pPr>
      <w:r>
        <w:rPr>
          <w:bCs/>
          <w:b/>
        </w:rPr>
        <w:t xml:space="preserve">If a fix doesn’t work after one round, stop fixing and start</w:t>
      </w:r>
      <w:r>
        <w:t xml:space="preserve">** ****asking.** The April 2026 session burned six turns on a</w:t>
      </w:r>
      <w:r>
        <w:t xml:space="preserve"> </w:t>
      </w:r>
      <w:r>
        <w:t xml:space="preserve">issue because each round produced a plausible-but-wrong diagnosis. The pattern was: fix bug, expose next bug, fix that, expose next, … . When the third fix doesn’t resolve it, ask for raw log + current file contents instead of guessing a fourth.</w:t>
      </w:r>
    </w:p>
    <w:p>
      <w:pPr>
        <w:numPr>
          <w:ilvl w:val="0"/>
          <w:numId w:val="1016"/>
        </w:numPr>
      </w:pPr>
      <w:r>
        <w:rPr>
          <w:bCs/>
          <w:b/>
        </w:rPr>
        <w:t xml:space="preserve">Before assuming a fix worked, run it through pdflatex locally</w:t>
      </w:r>
      <w:r>
        <w:t xml:space="preserve"> </w:t>
      </w:r>
      <w:r>
        <w:t xml:space="preserve">(Claude can install texlive in the sandbox). For cases where local pdflatex differs from Overleaf’s TL2024+, hand-construct the LaTeX rather than rely on kableExtra.</w:t>
      </w:r>
    </w:p>
    <w:bookmarkEnd w:id="44"/>
    <w:bookmarkStart w:id="45" w:name="computational-defaults-and-conventions"/>
    <w:p>
      <w:pPr>
        <w:pStyle w:val="Heading2"/>
      </w:pPr>
      <w:r>
        <w:rPr>
          <w:bCs/>
          <w:b/>
        </w:rPr>
        <w:t xml:space="preserve">4.4 Computational Defaults and Conventions</w:t>
      </w:r>
    </w:p>
    <w:p>
      <w:pPr>
        <w:numPr>
          <w:ilvl w:val="0"/>
          <w:numId w:val="1017"/>
        </w:numPr>
      </w:pPr>
      <w:r>
        <w:rPr>
          <w:bCs/>
          <w:b/>
        </w:rPr>
        <w:t xml:space="preserve">R is the only language</w:t>
      </w:r>
      <w:r>
        <w:t xml:space="preserve"> </w:t>
      </w:r>
      <w:r>
        <w:t xml:space="preserve">unless explicitly stated otherwise.</w:t>
      </w:r>
    </w:p>
    <w:p>
      <w:pPr>
        <w:numPr>
          <w:ilvl w:val="0"/>
          <w:numId w:val="1017"/>
        </w:numPr>
      </w:pPr>
      <w:r>
        <w:rPr>
          <w:bCs/>
          <w:b/>
        </w:rPr>
        <w:t xml:space="preserve">All I/O via Excel</w:t>
      </w:r>
      <w:r>
        <w:t xml:space="preserve"> </w:t>
      </w:r>
      <w:r>
        <w:t xml:space="preserve">unless explicitly stated otherwise. Excel formula separator is ;, not ,.</w:t>
      </w:r>
    </w:p>
    <w:p>
      <w:pPr>
        <w:numPr>
          <w:ilvl w:val="0"/>
          <w:numId w:val="1017"/>
        </w:numPr>
      </w:pPr>
      <w:r>
        <w:rPr>
          <w:bCs/>
          <w:b/>
        </w:rPr>
        <w:t xml:space="preserve">Output to LaTeX/Overleaf</w:t>
      </w:r>
      <w:r>
        <w:t xml:space="preserve">, never raw text or Markdown for deliverables.</w:t>
      </w:r>
    </w:p>
    <w:p>
      <w:pPr>
        <w:numPr>
          <w:ilvl w:val="0"/>
          <w:numId w:val="1017"/>
        </w:numPr>
      </w:pPr>
      <w:r>
        <w:rPr>
          <w:bCs/>
          <w:b/>
        </w:rPr>
        <w:t xml:space="preserve">Tables go in a</w:t>
      </w:r>
      <w:r>
        <w:t xml:space="preserve"> </w:t>
      </w:r>
      <w:r>
        <w:t xml:space="preserve">tables/</w:t>
      </w:r>
      <w:r>
        <w:t xml:space="preserve"> </w:t>
      </w:r>
      <w:r>
        <w:rPr>
          <w:bCs/>
          <w:b/>
        </w:rPr>
        <w:t xml:space="preserve">subdirectory</w:t>
      </w:r>
      <w:r>
        <w:t xml:space="preserve"> </w:t>
      </w:r>
      <w:r>
        <w:t xml:space="preserve">in the Overleaf project, inputted via</w:t>
      </w:r>
      <w:r>
        <w:t xml:space="preserve"> </w:t>
      </w:r>
      <w:r>
        <w:t xml:space="preserve">.</w:t>
      </w:r>
    </w:p>
    <w:p>
      <w:pPr>
        <w:numPr>
          <w:ilvl w:val="0"/>
          <w:numId w:val="1017"/>
        </w:numPr>
      </w:pPr>
      <w:r>
        <w:rPr>
          <w:bCs/>
          <w:b/>
        </w:rPr>
        <w:t xml:space="preserve">Min observations:</w:t>
      </w:r>
      <w:r>
        <w:t xml:space="preserve"> </w:t>
      </w:r>
      <w:r>
        <w:t xml:space="preserve">24 months for full-period regressions; 8 months for bootstrap individual-fund regressions.</w:t>
      </w:r>
    </w:p>
    <w:p>
      <w:pPr>
        <w:numPr>
          <w:ilvl w:val="0"/>
          <w:numId w:val="1017"/>
        </w:numPr>
      </w:pPr>
      <w:r>
        <w:rPr>
          <w:bCs/>
          <w:b/>
        </w:rPr>
        <w:t xml:space="preserve">Newey–West lag:</w:t>
      </w:r>
      <w:r>
        <w:t xml:space="preserve"> </w:t>
      </w:r>
      <w:r>
        <w:t xml:space="preserve">6 months for full-period; 2 months for rolling windows.</w:t>
      </w:r>
    </w:p>
    <w:p>
      <w:pPr>
        <w:numPr>
          <w:ilvl w:val="0"/>
          <w:numId w:val="1017"/>
        </w:numPr>
      </w:pPr>
      <w:r>
        <w:rPr>
          <w:bCs/>
          <w:b/>
        </w:rPr>
        <w:t xml:space="preserve">Bootstrap iterations:</w:t>
      </w:r>
      <w:r>
        <w:t xml:space="preserve"> </w:t>
      </w:r>
      <w:r>
        <w:t xml:space="preserve">B = 10,000 (FF 2010 standard).</w:t>
      </w:r>
    </w:p>
    <w:p>
      <w:pPr>
        <w:numPr>
          <w:ilvl w:val="0"/>
          <w:numId w:val="1017"/>
        </w:numPr>
      </w:pPr>
      <w:r>
        <w:rPr>
          <w:bCs/>
          <w:b/>
        </w:rPr>
        <w:t xml:space="preserve">Storey λ:</w:t>
      </w:r>
      <w:r>
        <w:t xml:space="preserve"> </w:t>
      </w:r>
      <w:r>
        <w:t xml:space="preserve">0.5 (BSW 2010 standard).</w:t>
      </w:r>
    </w:p>
    <w:p>
      <w:pPr>
        <w:numPr>
          <w:ilvl w:val="0"/>
          <w:numId w:val="1017"/>
        </w:numPr>
      </w:pPr>
      <w:r>
        <w:rPr>
          <w:bCs/>
          <w:b/>
        </w:rPr>
        <w:t xml:space="preserve">BSW gamma reference:</w:t>
      </w:r>
      <w:r>
        <w:t xml:space="preserve"> </w:t>
      </w:r>
      <w:r>
        <w:t xml:space="preserve">γ = 0.20 for population estimates of π_A− and π_A+.</w:t>
      </w:r>
    </w:p>
    <w:p>
      <w:pPr>
        <w:numPr>
          <w:ilvl w:val="0"/>
          <w:numId w:val="1017"/>
        </w:numPr>
      </w:pPr>
      <w:r>
        <w:rPr>
          <w:bCs/>
          <w:b/>
        </w:rPr>
        <w:t xml:space="preserve">Two funds permanently excluded as data errors:</w:t>
      </w:r>
      <w:r>
        <w:t xml:space="preserve"> </w:t>
      </w:r>
      <w:r>
        <w:t xml:space="preserve">QWVOX US Equity, VALLCEN US Equity.</w:t>
      </w:r>
    </w:p>
    <w:p>
      <w:pPr>
        <w:numPr>
          <w:ilvl w:val="0"/>
          <w:numId w:val="1017"/>
        </w:numPr>
      </w:pPr>
      <w:r>
        <w:rPr>
          <w:bCs/>
          <w:b/>
        </w:rPr>
        <w:t xml:space="preserve">December fund flows excluded</w:t>
      </w:r>
      <w:r>
        <w:t xml:space="preserve"> </w:t>
      </w:r>
      <w:r>
        <w:t xml:space="preserve">from flow analysis (year-end capital gains distribution contamination).</w:t>
      </w:r>
    </w:p>
    <w:p>
      <w:pPr>
        <w:numPr>
          <w:ilvl w:val="0"/>
          <w:numId w:val="1017"/>
        </w:numPr>
      </w:pPr>
      <w:r>
        <w:rPr>
          <w:bCs/>
          <w:b/>
        </w:rPr>
        <w:t xml:space="preserve">LSEG</w:t>
      </w:r>
      <w:r>
        <w:t xml:space="preserve"> </w:t>
      </w:r>
      <w:r>
        <w:t xml:space="preserve">Close_Date</w:t>
      </w:r>
      <w:r>
        <w:t xml:space="preserve"> </w:t>
      </w:r>
      <w:r>
        <w:rPr>
          <w:bCs/>
          <w:b/>
        </w:rPr>
        <w:t xml:space="preserve">field is unreliable</w:t>
      </w:r>
      <w:r>
        <w:t xml:space="preserve"> </w:t>
      </w:r>
      <w:r>
        <w:t xml:space="preserve">across all fund status categories — do not use for survivorship.</w:t>
      </w:r>
    </w:p>
    <w:p>
      <w:pPr>
        <w:numPr>
          <w:ilvl w:val="0"/>
          <w:numId w:val="1017"/>
        </w:numPr>
      </w:pPr>
      <w:r>
        <w:rPr>
          <w:bCs/>
          <w:b/>
        </w:rPr>
        <w:t xml:space="preserve">LSEG gross and net return series are identical</w:t>
      </w:r>
      <w:r>
        <w:t xml:space="preserve"> </w:t>
      </w:r>
      <w:r>
        <w:t xml:space="preserve">in this data tier (same index served for both fields). Net returns are constructed by subtracting one-twelfth of the static annual expense ratio per month, following Barras, Scaillet &amp; Wermers (2010). Funds missing expense ratio receive NA, not zero-fee fallback.</w:t>
      </w:r>
    </w:p>
    <w:bookmarkEnd w:id="45"/>
    <w:bookmarkStart w:id="46" w:name="things-the-user-will-push-back-on-style"/>
    <w:p>
      <w:pPr>
        <w:pStyle w:val="Heading2"/>
      </w:pPr>
      <w:r>
        <w:rPr>
          <w:bCs/>
          <w:b/>
        </w:rPr>
        <w:t xml:space="preserve">4.5 Things the User Will Push Back On (Style)</w:t>
      </w:r>
    </w:p>
    <w:p>
      <w:pPr>
        <w:numPr>
          <w:ilvl w:val="0"/>
          <w:numId w:val="1018"/>
        </w:numPr>
      </w:pPr>
      <w:r>
        <w:rPr>
          <w:bCs/>
          <w:b/>
        </w:rPr>
        <w:t xml:space="preserve">Hedging.</w:t>
      </w:r>
      <w:r>
        <w:t xml:space="preserve"> </w:t>
      </w:r>
      <w:r>
        <w:t xml:space="preserve">The user explicitly wants Claude to challenge them when warranted. Do not soften disagreements to avoid friction.</w:t>
      </w:r>
    </w:p>
    <w:p>
      <w:pPr>
        <w:numPr>
          <w:ilvl w:val="0"/>
          <w:numId w:val="1018"/>
        </w:numPr>
      </w:pPr>
      <w:r>
        <w:rPr>
          <w:bCs/>
          <w:b/>
        </w:rPr>
        <w:t xml:space="preserve">Excessive apology.</w:t>
      </w:r>
      <w:r>
        <w:t xml:space="preserve"> </w:t>
      </w:r>
      <w:r>
        <w:t xml:space="preserve">Acknowledge mistakes once, fix them, move on. Do not collapse into self-flagellation.</w:t>
      </w:r>
    </w:p>
    <w:p>
      <w:pPr>
        <w:numPr>
          <w:ilvl w:val="0"/>
          <w:numId w:val="1018"/>
        </w:numPr>
      </w:pPr>
      <w:r>
        <w:rPr>
          <w:bCs/>
          <w:b/>
        </w:rPr>
        <w:t xml:space="preserve">Verbose explanations of obvious things.</w:t>
      </w:r>
      <w:r>
        <w:t xml:space="preserve"> </w:t>
      </w:r>
      <w:r>
        <w:t xml:space="preserve">The user has a deep methodological background; treat them as a peer. Skip the textbook-level recap and go straight to the technical substance.</w:t>
      </w:r>
    </w:p>
    <w:p>
      <w:pPr>
        <w:numPr>
          <w:ilvl w:val="0"/>
          <w:numId w:val="1018"/>
        </w:numPr>
      </w:pPr>
      <w:r>
        <w:rPr>
          <w:bCs/>
          <w:b/>
        </w:rPr>
        <w:t xml:space="preserve">Speculation presented as fact.</w:t>
      </w:r>
      <w:r>
        <w:t xml:space="preserve"> </w:t>
      </w:r>
      <w:r>
        <w:t xml:space="preserve">If you cannot confirm a reference (paper, equation, dataset), say so explicitly and warn before citing.</w:t>
      </w:r>
    </w:p>
    <w:p>
      <w:pPr>
        <w:numPr>
          <w:ilvl w:val="0"/>
          <w:numId w:val="1018"/>
        </w:numPr>
      </w:pPr>
      <w:r>
        <w:rPr>
          <w:bCs/>
          <w:b/>
        </w:rPr>
        <w:t xml:space="preserve">Brute force when efficiency matters.</w:t>
      </w:r>
      <w:r>
        <w:t xml:space="preserve"> </w:t>
      </w:r>
      <w:r>
        <w:t xml:space="preserve">Always check whether a smaller / faster alternative exists, especially given LSEG subscription limits and bootstrap compute cost. Suggest both and let the user choose.</w:t>
      </w:r>
    </w:p>
    <w:bookmarkEnd w:id="46"/>
    <w:bookmarkStart w:id="47" w:name="Xb9952e6bb366a2bb2f4a48b97858a945d518671"/>
    <w:p>
      <w:pPr>
        <w:pStyle w:val="Heading2"/>
      </w:pPr>
      <w:r>
        <w:rPr>
          <w:bCs/>
          <w:b/>
        </w:rPr>
        <w:t xml:space="preserve">4.6 Things the User Will Push Back On (Technical)</w:t>
      </w:r>
    </w:p>
    <w:p>
      <w:pPr>
        <w:numPr>
          <w:ilvl w:val="0"/>
          <w:numId w:val="1019"/>
        </w:numPr>
      </w:pPr>
      <w:r>
        <w:rPr>
          <w:bCs/>
          <w:b/>
        </w:rPr>
        <w:t xml:space="preserve">Substituting winsorised returns into the flow identity.</w:t>
      </w:r>
      <w:r>
        <w:t xml:space="preserve"> </w:t>
      </w:r>
      <w:r>
        <w:t xml:space="preserve">The Sirri–Tufano formula is an accounting identity and must use raw returns (ret_net_raw).</w:t>
      </w:r>
    </w:p>
    <w:p>
      <w:pPr>
        <w:numPr>
          <w:ilvl w:val="0"/>
          <w:numId w:val="1019"/>
        </w:numPr>
      </w:pPr>
      <w:r>
        <w:rPr>
          <w:bCs/>
          <w:b/>
        </w:rPr>
        <w:t xml:space="preserve">Computing log(mean(TNA)) instead of mean(log(TNA))</w:t>
      </w:r>
      <w:r>
        <w:t xml:space="preserve"> </w:t>
      </w:r>
      <w:r>
        <w:t xml:space="preserve">for fund size. Jensen inequality bias; use the latter, per Berk &amp; Green (2004).</w:t>
      </w:r>
    </w:p>
    <w:p>
      <w:pPr>
        <w:numPr>
          <w:ilvl w:val="0"/>
          <w:numId w:val="1019"/>
        </w:numPr>
      </w:pPr>
      <w:r>
        <w:rPr>
          <w:bCs/>
          <w:b/>
        </w:rPr>
        <w:t xml:space="preserve">Mixing population and sample moments in kurtosis estimators.</w:t>
      </w:r>
      <w:r>
        <w:t xml:space="preserve"> </w:t>
      </w:r>
      <w:r>
        <w:t xml:space="preserve">Use e1071::kurtosis(…, type = 2) for consistency.</w:t>
      </w:r>
    </w:p>
    <w:p>
      <w:pPr>
        <w:numPr>
          <w:ilvl w:val="0"/>
          <w:numId w:val="1019"/>
        </w:numPr>
      </w:pPr>
      <w:r>
        <w:rPr>
          <w:bCs/>
          <w:b/>
        </w:rPr>
        <w:t xml:space="preserve">Forgetting to subtract</w:t>
      </w:r>
      <w:r>
        <w:t xml:space="preserve"> </w:t>
      </w:r>
      <w:r>
        <w:t xml:space="preserve">RF</w:t>
      </w:r>
      <w:r>
        <w:t xml:space="preserve"> </w:t>
      </w:r>
      <w:r>
        <w:rPr>
          <w:bCs/>
          <w:b/>
        </w:rPr>
        <w:t xml:space="preserve">for individual portfolios but</w:t>
      </w:r>
      <w:r>
        <w:t xml:space="preserve">** ****subtracting it for long-short spreads.** RF cancels in self-financing constructions; use subtract_rf = FALSE for Q5−Q1 spreads only.</w:t>
      </w:r>
    </w:p>
    <w:p>
      <w:pPr>
        <w:numPr>
          <w:ilvl w:val="0"/>
          <w:numId w:val="1019"/>
        </w:numPr>
      </w:pPr>
      <w:r>
        <w:rPr>
          <w:bCs/>
          <w:b/>
        </w:rPr>
        <w:t xml:space="preserve">Citing Active Share (Cremers &amp;</w:t>
      </w:r>
      <w:r>
        <w:t xml:space="preserve">** Petajisto 2009) as if R² (Amihud ****&amp;**** ****Goyenko 2013) measures the same construct.** They do not. See §1.2 for the proxy gap discussion.</w:t>
      </w:r>
    </w:p>
    <w:p>
      <w:pPr>
        <w:numPr>
          <w:ilvl w:val="0"/>
          <w:numId w:val="1019"/>
        </w:numPr>
      </w:pPr>
      <w:r>
        <w:rPr>
          <w:bCs/>
          <w:b/>
        </w:rPr>
        <w:t xml:space="preserve">Treating the BSW π_0 estimate as a point estimate of true skill.</w:t>
      </w:r>
      <w:r>
        <w:t xml:space="preserve"> </w:t>
      </w:r>
      <w:r>
        <w:t xml:space="preserve">The Storey estimator is conservative; T+_γ values are lower bounds.</w:t>
      </w:r>
    </w:p>
    <w:p>
      <w:pPr>
        <w:numPr>
          <w:ilvl w:val="0"/>
          <w:numId w:val="1019"/>
        </w:numPr>
      </w:pPr>
      <w:r>
        <w:rPr>
          <w:bCs/>
          <w:b/>
        </w:rPr>
        <w:t xml:space="preserve">Confusing the FF (2010) sample with this study’s sample.</w:t>
      </w:r>
      <w:r>
        <w:t xml:space="preserve"> </w:t>
      </w:r>
      <w:r>
        <w:t xml:space="preserve">FF spans 1984–2006; the FF subperiod replication in this project covers only 1995–2006. Magnitudes will differ and that is expected (see §2.8).</w:t>
      </w:r>
    </w:p>
    <w:p>
      <w:pPr>
        <w:numPr>
          <w:ilvl w:val="0"/>
          <w:numId w:val="1019"/>
        </w:numPr>
      </w:pPr>
      <w:r>
        <w:rPr>
          <w:bCs/>
          <w:b/>
        </w:rPr>
        <w:t xml:space="preserve">Assuming</w:t>
      </w:r>
      <w:r>
        <w:rPr>
          <w:bCs/>
          <w:b/>
        </w:rPr>
        <w:t xml:space="preserve"> </w:t>
      </w:r>
      <w:r>
        <w:rPr>
          <w:bCs/>
          <w:b/>
        </w:rPr>
        <w:t xml:space="preserve">or</w:t>
      </w:r>
      <w:r>
        <w:rPr>
          <w:bCs/>
          <w:b/>
        </w:rPr>
        <w:t xml:space="preserve"> </w:t>
      </w:r>
      <w:r>
        <w:rPr>
          <w:bCs/>
          <w:b/>
        </w:rPr>
        <w:t xml:space="preserve">alone handles multi-page landscape footers.</w:t>
      </w:r>
      <w:r>
        <w:t xml:space="preserve"> </w:t>
      </w:r>
      <w:r>
        <w:t xml:space="preserve">longtable continuation pages fall out of a custom pagestyle installed only via the pagestyle body if the footer content uses one-shot shipout hooks (</w:t>
      </w:r>
      <w:r>
        <w:t xml:space="preserve">*). Always install the hook at preamble scope with a flag; see §2.13.</w:t>
      </w:r>
    </w:p>
    <w:p>
      <w:pPr>
        <w:numPr>
          <w:ilvl w:val="0"/>
          <w:numId w:val="1019"/>
        </w:numPr>
      </w:pPr>
      <w:r>
        <w:rPr>
          <w:bCs/>
          <w:b/>
        </w:rPr>
        <w:t xml:space="preserve">Conflating the KTWW</w:t>
      </w:r>
      <w:r>
        <w:rPr>
          <w:bCs/>
          <w:b/>
        </w:rPr>
        <w:t xml:space="preserve"> </w:t>
      </w:r>
      <w:r>
        <w:rPr>
          <w:iCs/>
          <w:i/>
          <w:bCs/>
          <w:b/>
        </w:rPr>
        <w:t xml:space="preserve">t</w:t>
      </w:r>
      <w:r>
        <w:rPr>
          <w:bCs/>
          <w:b/>
        </w:rPr>
        <w:t xml:space="preserve">-statistic ranking with a raw-alpha ranking.</w:t>
      </w:r>
      <w:r>
        <w:t xml:space="preserve"> </w:t>
      </w:r>
      <w:r>
        <w:t xml:space="preserve">The choice to rank by α̂</w:t>
      </w:r>
      <w:r>
        <w:t xml:space="preserve"> </w:t>
      </w:r>
      <w:r>
        <w:rPr>
          <w:iCs/>
          <w:i/>
        </w:rPr>
        <w:t xml:space="preserve">t</w:t>
      </w:r>
      <w:r>
        <w:t xml:space="preserve">-statistic rather than raw α̂ is a specification choice justified by KTWW (2006) Table VII and defended against the naive Carhart (1997) raw-α sort in Panel B (robustness). It is not a convention to take for granted. Committee may press on this; the answer is</w:t>
      </w:r>
      <w:r>
        <w:t xml:space="preserve"> </w:t>
      </w:r>
      <w:r>
        <w:t xml:space="preserve">“</w:t>
      </w:r>
      <w:r>
        <w:t xml:space="preserve">normalising by estimation precision down-weights extreme α̂ values from short or volatile estimation windows</w:t>
      </w:r>
      <w:r>
        <w:t xml:space="preserve">”</w:t>
      </w:r>
      <w:r>
        <w:t xml:space="preserve">.</w:t>
      </w:r>
    </w:p>
    <w:bookmarkEnd w:id="47"/>
    <w:bookmarkStart w:id="48" w:name="open-items-on-the-horizon"/>
    <w:p>
      <w:pPr>
        <w:pStyle w:val="Heading2"/>
      </w:pPr>
      <w:r>
        <w:rPr>
          <w:bCs/>
          <w:b/>
        </w:rPr>
        <w:t xml:space="preserve">4.7 Open Items on the Horizon</w:t>
      </w:r>
    </w:p>
    <w:p>
      <w:pPr>
        <w:pStyle w:val="FirstParagraph"/>
      </w:pPr>
      <w:r>
        <w:t xml:space="preserve">Items previously identified as worth pursuing but not yet implemented as of April 2026:</w:t>
      </w:r>
    </w:p>
    <w:p>
      <w:pPr>
        <w:numPr>
          <w:ilvl w:val="0"/>
          <w:numId w:val="1020"/>
        </w:numPr>
      </w:pPr>
      <w:r>
        <w:rPr>
          <w:bCs/>
          <w:b/>
        </w:rPr>
        <w:t xml:space="preserve">Pre/post-2008 sub-period analysis.</w:t>
      </w:r>
      <w:r>
        <w:t xml:space="preserve"> </w:t>
      </w:r>
      <w:r>
        <w:t xml:space="preserve">The post-2011/2012 alpha plunge visible in Figure 2 deserves contextualisation. Same code path as ff_comparison.R would work — just a different date filter.</w:t>
      </w:r>
    </w:p>
    <w:p>
      <w:pPr>
        <w:numPr>
          <w:ilvl w:val="0"/>
          <w:numId w:val="1020"/>
        </w:numPr>
      </w:pPr>
      <w:r>
        <w:rPr>
          <w:bCs/>
          <w:b/>
        </w:rPr>
        <w:t xml:space="preserve">Per-fund bootstrap p-values</w:t>
      </w:r>
      <w:r>
        <w:t xml:space="preserve"> </w:t>
      </w:r>
      <w:r>
        <w:t xml:space="preserve">(Enhancement B from bootstrap_fdr_enhancements.docx). Replace the normal-approximation p-values with empirical null bootstraps from each fund’s demeaned residuals, B = 1,000 per fund.</w:t>
      </w:r>
    </w:p>
    <w:p>
      <w:pPr>
        <w:numPr>
          <w:ilvl w:val="0"/>
          <w:numId w:val="1020"/>
        </w:numPr>
      </w:pPr>
      <w:r>
        <w:rPr>
          <w:bCs/>
          <w:b/>
        </w:rPr>
        <w:t xml:space="preserve">Rolling 5-year window estimates of π₀ and BSW tail proportions</w:t>
      </w:r>
      <w:r>
        <w:t xml:space="preserve"> </w:t>
      </w:r>
      <w:r>
        <w:t xml:space="preserve">(Enhancement C). Provides a time-varying view of the skill distribution.</w:t>
      </w:r>
    </w:p>
    <w:p>
      <w:pPr>
        <w:numPr>
          <w:ilvl w:val="0"/>
          <w:numId w:val="1020"/>
        </w:numPr>
      </w:pPr>
      <w:r>
        <w:rPr>
          <w:bCs/>
          <w:b/>
        </w:rPr>
        <w:t xml:space="preserve">Regression discontinuity design using Morningstar star rating</w:t>
      </w:r>
      <w:r>
        <w:t xml:space="preserve">** ****thresholds** (mentioned in earlier proposal framing).</w:t>
      </w:r>
    </w:p>
    <w:p>
      <w:pPr>
        <w:numPr>
          <w:ilvl w:val="0"/>
          <w:numId w:val="1020"/>
        </w:numPr>
      </w:pPr>
      <w:r>
        <w:rPr>
          <w:bCs/>
          <w:b/>
        </w:rPr>
        <w:t xml:space="preserve">Full flow-performance regression across H1–H4.</w:t>
      </w:r>
      <w:r>
        <w:t xml:space="preserve"> </w:t>
      </w:r>
      <w:r>
        <w:t xml:space="preserve">Most of the inputs (alpha, sentiment, margin debt, R², expense ratio) are now in place; the synthesis regression has not been run yet.</w:t>
      </w:r>
    </w:p>
    <w:p>
      <w:pPr>
        <w:numPr>
          <w:ilvl w:val="0"/>
          <w:numId w:val="1020"/>
        </w:numPr>
      </w:pPr>
      <w:r>
        <w:rPr>
          <w:bCs/>
          <w:b/>
        </w:rPr>
        <w:t xml:space="preserve">Track FauschEtal2025 (SSRN) to peer-reviewed publication.</w:t>
      </w:r>
      <w:r>
        <w:t xml:space="preserve"> </w:t>
      </w:r>
      <w:r>
        <w:t xml:space="preserve">The paper identifies a coding-level forward-looking bias in DeMiguelEtal2023 that, when corrected, eliminates the long-only positive-alpha result. The corrected nonlinear-ML replication still identifies underperforming funds, which is consistent with this project’s D10 loser-persistence finding (Table 14, §2.12).</w:t>
      </w:r>
      <w:r>
        <w:t xml:space="preserve"> </w:t>
      </w:r>
      <w:r>
        <w:rPr>
          <w:bCs/>
          <w:b/>
        </w:rPr>
        <w:t xml:space="preserve">Defense intelligence:</w:t>
      </w:r>
      <w:r>
        <w:t xml:space="preserve"> </w:t>
      </w:r>
      <w:r>
        <w:t xml:space="preserve">if a committee member invokes DeMiguel et al. (2023) as grounds to argue that machine learning would have found positive alpha where the linear decile sort did not, the response is (1) the KTWW linear sort is the canonical design for replication and is the object of this study, (2) the ML long-only positive-alpha claim is currently under challenge, and (3) the direction the corrected replication still supports (ML finds</w:t>
      </w:r>
      <w:r>
        <w:t xml:space="preserve"> </w:t>
      </w:r>
      <w:r>
        <w:rPr>
          <w:iCs/>
          <w:i/>
        </w:rPr>
        <w:t xml:space="preserve">underperformers</w:t>
      </w:r>
      <w:r>
        <w:t xml:space="preserve">, not winners) is the same direction this project finds under the linear sort. Cite cautiously until peer review; the SSRN entry is already in dissertation.bib as an</w:t>
      </w:r>
      <w:r>
        <w:t xml:space="preserve"> </w:t>
      </w:r>
      <w:r>
        <w:t xml:space="preserve">@unpublished</w:t>
      </w:r>
      <w:r>
        <w:t xml:space="preserve"> </w:t>
      </w:r>
      <w:r>
        <w:t xml:space="preserve">so the bib style flags the pre-publication status automatically.</w:t>
      </w:r>
    </w:p>
    <w:bookmarkEnd w:id="48"/>
    <w:bookmarkEnd w:id="49"/>
    <w:bookmarkStart w:id="50" w:name="communication-working-conventions"/>
    <w:p>
      <w:pPr>
        <w:pStyle w:val="Heading1"/>
      </w:pPr>
      <w:r>
        <w:rPr>
          <w:bCs/>
          <w:b/>
        </w:rPr>
        <w:t xml:space="preserve">5. Communication</w:t>
      </w:r>
      <w:r>
        <w:rPr>
          <w:bCs/>
          <w:b/>
        </w:rPr>
        <w:t xml:space="preserve"> </w:t>
      </w:r>
      <w:r>
        <w:t xml:space="preserve">******&amp;******** Working Conventions**</w:t>
      </w:r>
    </w:p>
    <w:p>
      <w:pPr>
        <w:numPr>
          <w:ilvl w:val="0"/>
          <w:numId w:val="1021"/>
        </w:numPr>
      </w:pPr>
      <w:r>
        <w:t xml:space="preserve">All written outputs: LaTeX syntax, compatible with Overleaf.</w:t>
      </w:r>
    </w:p>
    <w:p>
      <w:pPr>
        <w:numPr>
          <w:ilvl w:val="0"/>
          <w:numId w:val="1021"/>
        </w:numPr>
      </w:pPr>
      <w:r>
        <w:t xml:space="preserve">All data imports/exports between R and external tools: via Excel, unless explicitly stated otherwise.</w:t>
      </w:r>
    </w:p>
    <w:p>
      <w:pPr>
        <w:numPr>
          <w:ilvl w:val="0"/>
          <w:numId w:val="1021"/>
        </w:numPr>
      </w:pPr>
      <w:r>
        <w:t xml:space="preserve">Excel formula argument separator: semicolon (;).</w:t>
      </w:r>
    </w:p>
    <w:p>
      <w:pPr>
        <w:numPr>
          <w:ilvl w:val="0"/>
          <w:numId w:val="1021"/>
        </w:numPr>
      </w:pPr>
      <w:r>
        <w:t xml:space="preserve">All scripts requested will be R scripts unless explicitly stated otherwise. Scripts must be compiled and debugged before delivery. Dependencies must be flagged.</w:t>
      </w:r>
    </w:p>
    <w:p>
      <w:pPr>
        <w:numPr>
          <w:ilvl w:val="0"/>
          <w:numId w:val="1021"/>
        </w:numPr>
      </w:pPr>
      <w:r>
        <w:t xml:space="preserve">LSEG access tier: lower tier — no holdings-level fund data. All methodology must be constructed within this constraint.</w:t>
      </w:r>
    </w:p>
    <w:p>
      <w:pPr>
        <w:numPr>
          <w:ilvl w:val="0"/>
          <w:numId w:val="1021"/>
        </w:numPr>
      </w:pPr>
      <w:r>
        <w:t xml:space="preserve">Language of communication: English throughout. Rationale: Claude’s academic register, technical inference, and field-specific nuance is significantly stronger in English than Turkish. The candidate’s English is sufficient for precise academic communication.</w:t>
      </w:r>
    </w:p>
    <w:p>
      <w:pPr>
        <w:numPr>
          <w:ilvl w:val="0"/>
          <w:numId w:val="1021"/>
        </w:numPr>
      </w:pPr>
      <w:r>
        <w:t xml:space="preserve">Scholarly references: prioritize Journal of Finance, American Economic Review, Econometrica, Journal of Financial Economics, Review of Financial Studies. Do not submit uncertain references without a clear warning.</w:t>
      </w:r>
    </w:p>
    <w:p>
      <w:pPr>
        <w:numPr>
          <w:ilvl w:val="0"/>
          <w:numId w:val="1021"/>
        </w:numPr>
      </w:pPr>
      <w:r>
        <w:t xml:space="preserve">Intellectual stance: challenge the candidate directly when warranted. Do not hedge to avoid disagreement.</w:t>
      </w:r>
    </w:p>
    <w:p>
      <w:pPr>
        <w:pStyle w:val="FirstParagraph"/>
      </w:pPr>
      <w:r>
        <w:rPr>
          <w:iCs/>
          <w:i/>
        </w:rPr>
        <w:t xml:space="preserve">Last updated: April 2026 | Bogazici University — Management</w:t>
      </w:r>
      <w:r>
        <w:rPr>
          <w:bCs/>
          <w:b/>
          <w:iCs/>
          <w:i/>
        </w:rPr>
        <w:t xml:space="preserve"> </w:t>
      </w:r>
      <w:r>
        <w:rPr>
          <w:iCs/>
          <w:i/>
        </w:rPr>
        <w:t xml:space="preserve">Department | Confidential</w:t>
      </w:r>
    </w:p>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2026-04-18T16:28:59Z</dcterms:created>
  <dcterms:modified xsi:type="dcterms:W3CDTF">2026-04-18T16:28:59Z</dcterms:modified>
</cp:coreProperties>
</file>

<file path=docProps/custom.xml><?xml version="1.0" encoding="utf-8"?>
<Properties xmlns="http://schemas.openxmlformats.org/officeDocument/2006/custom-properties" xmlns:vt="http://schemas.openxmlformats.org/officeDocument/2006/docPropsVTypes"/>
</file>