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Sub-Period Analysis Methodology</w:t>
            </w:r>
            <w:r>
              <w:t xml:space="preserve"> </w:t>
            </w:r>
            <w:r>
              <w:t xml:space="preserve">Structural Break Identification and Sub-Period Design The Active Management Puzzle — PhD Dissertation, Boğaziçi University Department of Management │ Supervisor: Prof. Vedat Akgiray</w:t>
            </w:r>
          </w:p>
        </w:tc>
      </w:tr>
    </w:tbl>
    <w:bookmarkStart w:id="20" w:name="purpose-and-theoretical-motivation"/>
    <w:p>
      <w:pPr>
        <w:pStyle w:val="Heading1"/>
      </w:pPr>
      <w:r>
        <w:rPr>
          <w:bCs/>
          <w:b/>
        </w:rPr>
        <w:t xml:space="preserve">1. Purpose and Theoretical Motivation</w:t>
      </w:r>
    </w:p>
    <w:p>
      <w:pPr>
        <w:pStyle w:val="FirstParagraph"/>
      </w:pPr>
      <w:r>
        <w:t xml:space="preserve">The central performance series in this dissertation — the cross-sectional mean of the 36-month rolling Carhart (1997) four-factor gross alpha for actively managed funds — is visually and statistically non-stationary across the 1995–2023 sample period. Figure 2 of the dissertation makes this non-stationarity plainly apparent: the series cycles through several distinct levels separated by sharp transitions, and a single full-period mean is therefore a poor characterisation of the data-generating process.</w:t>
      </w:r>
    </w:p>
    <w:p>
      <w:pPr>
        <w:pStyle w:val="BodyText"/>
      </w:pPr>
      <w:r>
        <w:t xml:space="preserve">A sub-period analysis is warranted on two separate grounds.</w:t>
      </w:r>
    </w:p>
    <w:p>
      <w:pPr>
        <w:pStyle w:val="BodyText"/>
      </w:pPr>
      <w:r>
        <w:t xml:space="preserve">First,</w:t>
      </w:r>
      <w:r>
        <w:t xml:space="preserve"> </w:t>
      </w:r>
      <w:r>
        <w:rPr>
          <w:iCs/>
          <w:i/>
        </w:rPr>
        <w:t xml:space="preserve">econometric validity</w:t>
      </w:r>
      <w:r>
        <w:t xml:space="preserve">: treating a structurally shifting series as stationary inflates the variance of the aggregate estimates and may produce spurious full-period results. If the alpha-generating process has changed fundamentally — say, because of a structural shift in market microstructure, competition dynamics, or factor return premia — pooling observations across regimes introduces heterogeneity bias.</w:t>
      </w:r>
    </w:p>
    <w:p>
      <w:pPr>
        <w:pStyle w:val="BodyText"/>
      </w:pPr>
      <w:r>
        <w:t xml:space="preserve">Second,</w:t>
      </w:r>
      <w:r>
        <w:t xml:space="preserve"> </w:t>
      </w:r>
      <w:r>
        <w:rPr>
          <w:iCs/>
          <w:i/>
        </w:rPr>
        <w:t xml:space="preserve">narrative necessity</w:t>
      </w:r>
      <w:r>
        <w:t xml:space="preserve">: the dissertation’s central question concerns</w:t>
      </w:r>
      <w:r>
        <w:t xml:space="preserve"> </w:t>
      </w:r>
      <w:r>
        <w:rPr>
          <w:iCs/>
          <w:i/>
        </w:rPr>
        <w:t xml:space="preserve">why</w:t>
      </w:r>
      <w:r>
        <w:t xml:space="preserve"> </w:t>
      </w:r>
      <w:r>
        <w:t xml:space="preserve">investors persist in allocating capital to active management despite documented underperformance. The answer is unlikely to be homogeneous across time. A regime in which active funds generate genuinely positive mean alpha (the pre-crisis environment) poses a categorically different puzzle from a regime in which alpha is persistently and deeply negative (the post-2011 era). Disaggregating by sub-period allows the behavioral and rational hypotheses to be evaluated against a richer empirical canvas.</w:t>
      </w:r>
    </w:p>
    <w:p>
      <w:pPr>
        <w:pStyle w:val="BodyText"/>
      </w:pPr>
      <w:r>
        <w:t xml:space="preserve">Rather than imposing threshold dates based on economic priors or calendar conventions, the dissertation uses the formal multiple structural break test of Bai and Perron (1998, 2003) to identify break dates directly from the alpha time series. This approach has two advantages: (i) the threshold dates are determined by the data, not by the analyst, reducing the risk of data-mining concerns; and (ii) the statistical uncertainty around each date is quantified via confidence intervals, enabling transparent assessment of the precision of the identified breaks.</w:t>
      </w:r>
    </w:p>
    <w:bookmarkEnd w:id="20"/>
    <w:bookmarkStart w:id="24" w:name="data-input-and-series-construction"/>
    <w:p>
      <w:pPr>
        <w:pStyle w:val="Heading1"/>
      </w:pPr>
      <w:r>
        <w:rPr>
          <w:bCs/>
          <w:b/>
        </w:rPr>
        <w:t xml:space="preserve">2. Data Input and Series Construction</w:t>
      </w:r>
    </w:p>
    <w:bookmarkStart w:id="21" w:name="source-series"/>
    <w:p>
      <w:pPr>
        <w:pStyle w:val="Heading2"/>
      </w:pPr>
      <w:r>
        <w:rPr>
          <w:bCs/>
          <w:b/>
        </w:rPr>
        <w:t xml:space="preserve">2.1 Source Series</w:t>
      </w:r>
    </w:p>
    <w:p>
      <w:pPr>
        <w:pStyle w:val="FirstParagraph"/>
      </w:pPr>
      <w:r>
        <w:t xml:space="preserve">The input series is the monthly cross-sectional equal-weighted mean of the 36-month rolling Carhart (1997) gross alpha, estimated for all actively managed funds in the</w:t>
      </w:r>
      <w:r>
        <w:t xml:space="preserve"> </w:t>
      </w:r>
      <w:r>
        <w:rPr>
          <w:bCs/>
          <w:b/>
        </w:rPr>
        <w:t xml:space="preserve">Incubation-Corrected</w:t>
      </w:r>
      <w:r>
        <w:t xml:space="preserve"> </w:t>
      </w:r>
      <w:r>
        <w:t xml:space="preserve">(Evans 2010) panel over the full December 1994 – February 2026 sample. This is the same underlying series plotted (after 12-month smoothing) in Figure 2. Denote this series:</w:t>
      </w:r>
    </w:p>
    <w:p>
      <w:pPr>
        <w:pStyle w:val="BodyText"/>
      </w:pPr>
      <w:r>
        <w:t xml:space="preserve">ȳₜ = (1/Nₜ) Σᵢ α̂ᵢ,ₜ</w:t>
      </w:r>
    </w:p>
    <w:p>
      <w:pPr>
        <w:pStyle w:val="BodyText"/>
      </w:pPr>
      <w:r>
        <w:t xml:space="preserve">where α̂ᵢ,ₜ is the annualised Carhart (1997) four-factor alpha for fund i estimated over the 36-month window ending in month t, and Nₜ is the number of active funds with a valid rolling estimate in month t. Passive and Unknown-classified funds are excluded from the cross-section.</w:t>
      </w:r>
    </w:p>
    <w:bookmarkEnd w:id="21"/>
    <w:bookmarkStart w:id="22" w:name="why-the-raw-unsmoothed-series-is-used"/>
    <w:p>
      <w:pPr>
        <w:pStyle w:val="Heading2"/>
      </w:pPr>
      <w:r>
        <w:rPr>
          <w:bCs/>
          <w:b/>
        </w:rPr>
        <w:t xml:space="preserve">2.2 Why the Raw (Unsmoothed) Series is Used</w:t>
      </w:r>
    </w:p>
    <w:p>
      <w:pPr>
        <w:pStyle w:val="FirstParagraph"/>
      </w:pPr>
      <w:r>
        <w:t xml:space="preserve">Figure 2 plots the 12-month trailing mean of ȳₜ rather than ȳₜ itself, in order to reduce high-frequency noise for visual presentation. The structural break test is applied to the raw monthly series ȳₜ, not to the smoothed version, for a critical reason.</w:t>
      </w:r>
    </w:p>
    <w:p>
      <w:pPr>
        <w:pStyle w:val="BodyText"/>
      </w:pPr>
      <w:r>
        <w:t xml:space="preserve">The 36-month rolling windows already induce substantial overlap-induced serial autocorrelation in ȳₜ: the alpha estimates for months t and t+35 share 35 out of 36 data points in their estimation windows. This means the residuals in any break-detection model will exhibit strong MA(35)-like dependence, which is properly accounted for by the Newey-West HAC standard errors described in Section 3.4.</w:t>
      </w:r>
    </w:p>
    <w:p>
      <w:pPr>
        <w:pStyle w:val="BodyText"/>
      </w:pPr>
      <w:r>
        <w:t xml:space="preserve">Applying an additional 12-month trailing mean before the test would introduce a further MA(11) component on top of the existing overlap-induced autocorrelation. Accounting for this compounded autocorrelation simultaneously via HAC would require an excessively long lag window (potentially 35 + 11 = 46 months), reducing statistical power and widening confidence intervals beyond practical usefulness. The raw series is therefore the correct input; the 12-month smoothed series is reserved for visualisation only.</w:t>
      </w:r>
    </w:p>
    <w:bookmarkEnd w:id="22"/>
    <w:bookmarkStart w:id="23" w:name="sample-coverage"/>
    <w:p>
      <w:pPr>
        <w:pStyle w:val="Heading2"/>
      </w:pPr>
      <w:r>
        <w:rPr>
          <w:bCs/>
          <w:b/>
        </w:rPr>
        <w:t xml:space="preserve">2.3 Sample Coverage</w:t>
      </w:r>
    </w:p>
    <w:p>
      <w:pPr>
        <w:pStyle w:val="FirstParagraph"/>
      </w:pPr>
      <w:r>
        <w:t xml:space="preserve">The first reliable cross-sectional mean is available when a sufficient number of funds have accumulated 36 months of return history under the Evans (2010) correction. Given the December 1994 panel start date and the 36-month minimum window, the series begins in December 1996 (the earliest month for which a 36-month window covers December 1993 through December 1996). The series ends in January 2026, the last observation of the incubation-corrected panel after 36-month tail trimming, giving T = 350 monthly observations.</w:t>
      </w:r>
    </w:p>
    <w:bookmarkEnd w:id="23"/>
    <w:bookmarkEnd w:id="24"/>
    <w:bookmarkStart w:id="31" w:name="bai-perron-structural-break-test"/>
    <w:p>
      <w:pPr>
        <w:pStyle w:val="Heading1"/>
      </w:pPr>
      <w:r>
        <w:rPr>
          <w:bCs/>
          <w:b/>
        </w:rPr>
        <w:t xml:space="preserve">3. Bai-Perron Structural Break Test</w:t>
      </w:r>
    </w:p>
    <w:bookmarkStart w:id="25" w:name="model-specification"/>
    <w:p>
      <w:pPr>
        <w:pStyle w:val="Heading2"/>
      </w:pPr>
      <w:r>
        <w:rPr>
          <w:bCs/>
          <w:b/>
        </w:rPr>
        <w:t xml:space="preserve">3.1 Model Specification</w:t>
      </w:r>
    </w:p>
    <w:p>
      <w:pPr>
        <w:pStyle w:val="FirstParagraph"/>
      </w:pPr>
      <w:r>
        <w:t xml:space="preserve">The break test is applied to a pure mean-shift model:</w:t>
      </w:r>
    </w:p>
    <w:p>
      <w:pPr>
        <w:pStyle w:val="BodyText"/>
      </w:pPr>
      <w:r>
        <w:t xml:space="preserve">ȳₜ = μᵢ + εₜ, t ∈ segment i, i = 1, …, m+1</w:t>
      </w:r>
    </w:p>
    <w:p>
      <w:pPr>
        <w:pStyle w:val="BodyText"/>
      </w:pPr>
      <w:r>
        <w:t xml:space="preserve">where m is the number of breaks (unknown), μᵢ is the mean alpha in segment i, and εₜ is an error term allowed to be serially correlated and heteroskedastic. There are no regressors beyond the intercept: the model tests solely for changes in the level of the mean alpha series, which is the quantity directly relevant to the dissertation’s research question. Adding regressors (e.g., lagged alpha or macro controls) would conflate level breaks with slope breaks and is not warranted by the theoretical framework.</w:t>
      </w:r>
    </w:p>
    <w:bookmarkEnd w:id="25"/>
    <w:bookmarkStart w:id="26" w:name="X2f5d98af802fa3b524f72c0b2115a9f2a2a2118"/>
    <w:p>
      <w:pPr>
        <w:pStyle w:val="Heading2"/>
      </w:pPr>
      <w:r>
        <w:rPr>
          <w:bCs/>
          <w:b/>
        </w:rPr>
        <w:t xml:space="preserve">3.2 The Bai-Perron Dynamic Programming Algorithm</w:t>
      </w:r>
    </w:p>
    <w:p>
      <w:pPr>
        <w:pStyle w:val="FirstParagraph"/>
      </w:pPr>
      <w:r>
        <w:t xml:space="preserve">Bai and Perron (1998) show that the least-squares estimates of m break points — the dates (T₁</w:t>
      </w:r>
      <w:r>
        <w:rPr>
          <w:iCs/>
          <w:i/>
        </w:rPr>
        <w:t xml:space="preserve">, …, T</w:t>
      </w:r>
      <w:r>
        <w:t xml:space="preserve">ₘ) that minimise the total residual sum of squares across all segments — can be found in polynomial time via dynamic programming. The global minimisation problem</w:t>
      </w:r>
    </w:p>
    <w:p>
      <w:pPr>
        <w:pStyle w:val="BodyText"/>
      </w:pPr>
      <w:r>
        <w:t xml:space="preserve">(T₁</w:t>
      </w:r>
      <w:r>
        <w:rPr>
          <w:iCs/>
          <w:i/>
        </w:rPr>
        <w:t xml:space="preserve">, …, T</w:t>
      </w:r>
      <w:r>
        <w:t xml:space="preserve">ₘ) = arg min Σᵢ₌₁ᵐ⁺¹ Σₜ∈segᵢ (ȳₜ − μ̂ᵢ)²</w:t>
      </w:r>
    </w:p>
    <w:p>
      <w:pPr>
        <w:pStyle w:val="BodyText"/>
      </w:pPr>
      <w:r>
        <w:t xml:space="preserve">is solved by the Bai-Perron algorithm, which avoids exhaustive search over all (T choose m) candidate partition sequences. The implementation used is strucchange::breakpoints() in R (Zeileis et al., 2002, 2003), which implements the Bai-Perron (2003) refinements including the treatment of trimming and minimum segment length.</w:t>
      </w:r>
    </w:p>
    <w:bookmarkEnd w:id="26"/>
    <w:bookmarkStart w:id="27" w:name="minimum-segment-length"/>
    <w:p>
      <w:pPr>
        <w:pStyle w:val="Heading2"/>
      </w:pPr>
      <w:r>
        <w:rPr>
          <w:bCs/>
          <w:b/>
        </w:rPr>
        <w:t xml:space="preserve">3.3 Minimum Segment Length</w:t>
      </w:r>
    </w:p>
    <w:p>
      <w:pPr>
        <w:pStyle w:val="FirstParagraph"/>
      </w:pPr>
      <w:r>
        <w:t xml:space="preserve">A minimum segment length of 36 months is imposed, matching the width of the rolling estimation window that produces the input series. This choice ensures that each identified sub-period contains at least one full independent window of fund performance data, which is the minimum necessary to compute a new, non-overlapping rolling alpha estimate. It also ensures a practical minimum of approximately three years of monthly data per regime, which is sufficient for reliable sub-period regressions in Section D.2.</w:t>
      </w:r>
    </w:p>
    <w:p>
      <w:pPr>
        <w:pStyle w:val="BodyText"/>
      </w:pPr>
      <w:r>
        <w:t xml:space="preserve">The minimum segment length is passed to breakpoints() as h = 36/T (the proportion of the sample, where T = 350 months), giving h ≈ 0.103.</w:t>
      </w:r>
    </w:p>
    <w:bookmarkEnd w:id="27"/>
    <w:bookmarkStart w:id="28" w:name="bic-model-selection"/>
    <w:p>
      <w:pPr>
        <w:pStyle w:val="Heading2"/>
      </w:pPr>
      <w:r>
        <w:rPr>
          <w:bCs/>
          <w:b/>
        </w:rPr>
        <w:t xml:space="preserve">3.4 BIC Model Selection</w:t>
      </w:r>
    </w:p>
    <w:p>
      <w:pPr>
        <w:pStyle w:val="FirstParagraph"/>
      </w:pPr>
      <w:r>
        <w:t xml:space="preserve">The optimal number of breaks m ∈ {0, 1, 2, 3, 4, 5} is selected by the Bayesian Information Criterion (BIC). For each candidate model with m breaks, the BIC is:</w:t>
      </w:r>
    </w:p>
    <w:p>
      <w:pPr>
        <w:pStyle w:val="BodyText"/>
      </w:pPr>
      <w:r>
        <w:t xml:space="preserve">BIC(m) = T · log(RSS(m)/T) + (m+1) · log(T)</w:t>
      </w:r>
    </w:p>
    <w:p>
      <w:pPr>
        <w:pStyle w:val="BodyText"/>
      </w:pPr>
      <w:r>
        <w:t xml:space="preserve">where RSS(m) is the residual sum of squares under the m-break partition. The BIC penalises additional breaks by log(T) per parameter, which is appropriate here because T is large (325) and we wish to avoid over-fitting to noise. The BIC is computed via AIC(bp, k = log(T)) in R, which is the correct interface to the strucchange breakpointsfull object. Up to m = 5 breaks are considered; the globally optimal partitions for m = 0, …, 5 are computed simultaneously by the dynamic programming algorithm.</w:t>
      </w:r>
    </w:p>
    <w:bookmarkEnd w:id="28"/>
    <w:bookmarkStart w:id="29" w:name="confidence-intervals-for-break-dates"/>
    <w:p>
      <w:pPr>
        <w:pStyle w:val="Heading2"/>
      </w:pPr>
      <w:r>
        <w:rPr>
          <w:bCs/>
          <w:b/>
        </w:rPr>
        <w:t xml:space="preserve">3.5 Confidence Intervals for Break Dates</w:t>
      </w:r>
    </w:p>
    <w:p>
      <w:pPr>
        <w:pStyle w:val="FirstParagraph"/>
      </w:pPr>
      <w:r>
        <w:t xml:space="preserve">The point estimates (T₁</w:t>
      </w:r>
      <w:r>
        <w:rPr>
          <w:iCs/>
          <w:i/>
        </w:rPr>
        <w:t xml:space="preserve">, …, T</w:t>
      </w:r>
      <w:r>
        <w:t xml:space="preserve">ₘ) are consistent but not asymptotically normal under the standard textbook assumptions. Bai (1997) and Bai and Perron (1998) derive asymptotic distributions for the estimated break fractions under heteroskedastic, autocorrelated errors. The confidence intervals reported in Table D.1 are computed via the confint() method on the breakpointsfull object in strucchange, using the Newey-West (1987) HAC covariance matrix with a lag computed by the Andrews (1991) data-driven bandwidth rule:</w:t>
      </w:r>
    </w:p>
    <w:p>
      <w:pPr>
        <w:pStyle w:val="BodyText"/>
      </w:pPr>
      <w:r>
        <w:t xml:space="preserve">ℓ = ⌊4 · (T/100)^(2/9) ⌋</w:t>
      </w:r>
    </w:p>
    <w:p>
      <w:pPr>
        <w:pStyle w:val="BodyText"/>
      </w:pPr>
      <w:r>
        <w:t xml:space="preserve">For T = 350, this gives ℓ ≈ 5 months. The HAC correction is critical here because the overlap-induced autocorrelation in the raw alpha series would cause OLS-based confidence intervals to be severely too narrow, incorrectly implying high precision in the break date estimates.</w:t>
      </w:r>
    </w:p>
    <w:p>
      <w:pPr>
        <w:pStyle w:val="BodyText"/>
      </w:pPr>
      <w:r>
        <w:t xml:space="preserve">The resulting 95% confidence intervals are expressed in calendar months and reported in Table D.1 alongside the point estimates. All computations use confint(bp, breaks = m, vcov. = NeweyWest), where bp is the original breakpointsfull object — not the refitted breakpoints object, which lacks the vcov method.</w:t>
      </w:r>
    </w:p>
    <w:bookmarkEnd w:id="29"/>
    <w:bookmarkStart w:id="30" w:name="global-f-statistics"/>
    <w:p>
      <w:pPr>
        <w:pStyle w:val="Heading2"/>
      </w:pPr>
      <w:r>
        <w:rPr>
          <w:bCs/>
          <w:b/>
        </w:rPr>
        <w:t xml:space="preserve">3.6 Global F-Statistics</w:t>
      </w:r>
    </w:p>
    <w:p>
      <w:pPr>
        <w:pStyle w:val="FirstParagraph"/>
      </w:pPr>
      <w:r>
        <w:t xml:space="preserve">In addition to the BIC-optimal multiple-break solution, three single-break global test statistics are computed as supplementary evidence:</w:t>
      </w:r>
    </w:p>
    <w:p>
      <w:pPr>
        <w:numPr>
          <w:ilvl w:val="0"/>
          <w:numId w:val="1001"/>
        </w:numPr>
      </w:pPr>
      <w:r>
        <w:t xml:space="preserve">supF (Andrews, 1993): the supremum of the sequence of Chow F-statistics across all candidate single break dates in the trimmed region [0.15T, 0.85T]. Tests H₀: no structural break vs. H₁: exactly one break.</w:t>
      </w:r>
    </w:p>
    <w:p>
      <w:pPr>
        <w:numPr>
          <w:ilvl w:val="0"/>
          <w:numId w:val="1001"/>
        </w:numPr>
      </w:pPr>
      <w:r>
        <w:t xml:space="preserve">meanF (Andrews and Ploberger, 1994): the mean of the F-statistic sequence. Has power against gradual structural shifts in addition to abrupt changes.</w:t>
      </w:r>
    </w:p>
    <w:p>
      <w:pPr>
        <w:numPr>
          <w:ilvl w:val="0"/>
          <w:numId w:val="1001"/>
        </w:numPr>
      </w:pPr>
      <w:r>
        <w:t xml:space="preserve">expF (Andrews and Ploberger, 1994): the exponential mean of the F-statistic sequence. Asymptotically optimal under local alternatives.</w:t>
      </w:r>
    </w:p>
    <w:p>
      <w:pPr>
        <w:pStyle w:val="FirstParagraph"/>
      </w:pPr>
      <w:r>
        <w:t xml:space="preserve">These statistics are computed on the unsmoothed raw series using an HAC variance estimator consistent with Section 3.5. They serve as a formal omnibus test for the presence of any structural break; the BIC-selected multiple-break solution provides the specific location estimates conditional on breaks being present.</w:t>
      </w:r>
    </w:p>
    <w:bookmarkEnd w:id="30"/>
    <w:bookmarkEnd w:id="31"/>
    <w:bookmarkStart w:id="35" w:name="results"/>
    <w:p>
      <w:pPr>
        <w:pStyle w:val="Heading1"/>
      </w:pPr>
      <w:r>
        <w:rPr>
          <w:bCs/>
          <w:b/>
        </w:rPr>
        <w:t xml:space="preserve">4. Results</w:t>
      </w:r>
    </w:p>
    <w:bookmarkStart w:id="32" w:name="break-points-selected-by-bic"/>
    <w:p>
      <w:pPr>
        <w:pStyle w:val="Heading2"/>
      </w:pPr>
      <w:r>
        <w:rPr>
          <w:bCs/>
          <w:b/>
        </w:rPr>
        <w:t xml:space="preserve">4.1 Break Points Selected by BIC</w:t>
      </w:r>
    </w:p>
    <w:p>
      <w:pPr>
        <w:pStyle w:val="FirstParagraph"/>
      </w:pPr>
      <w:r>
        <w:t xml:space="preserve">The BIC selects m = 5 breaks. The five point estimates with their 95% HAC confidence intervals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Break</w:t>
            </w:r>
          </w:p>
        </w:tc>
        <w:tc>
          <w:tcPr/>
          <w:p>
            <w:pPr>
              <w:pStyle w:val="Compact"/>
              <w:jc w:val="left"/>
            </w:pPr>
            <w:r>
              <w:rPr>
                <w:bCs/>
                <w:b/>
              </w:rPr>
              <w:t xml:space="preserve">Point Estimate</w:t>
            </w:r>
          </w:p>
        </w:tc>
        <w:tc>
          <w:tcPr/>
          <w:p>
            <w:pPr>
              <w:pStyle w:val="Compact"/>
              <w:jc w:val="left"/>
            </w:pPr>
            <w:r>
              <w:rPr>
                <w:bCs/>
                <w:b/>
              </w:rPr>
              <w:t xml:space="preserve">95% CI Lower</w:t>
            </w:r>
          </w:p>
        </w:tc>
        <w:tc>
          <w:tcPr/>
          <w:p>
            <w:pPr>
              <w:pStyle w:val="Compact"/>
              <w:jc w:val="left"/>
            </w:pPr>
            <w:r>
              <w:rPr>
                <w:bCs/>
                <w:b/>
              </w:rPr>
              <w:t xml:space="preserve">95% CI Upper</w:t>
            </w:r>
          </w:p>
        </w:tc>
        <w:tc>
          <w:tcPr/>
          <w:p>
            <w:pPr>
              <w:pStyle w:val="Compact"/>
              <w:jc w:val="left"/>
            </w:pPr>
            <w:r>
              <w:rPr>
                <w:bCs/>
                <w:b/>
              </w:rPr>
              <w:t xml:space="preserve">CI Width</w:t>
            </w:r>
          </w:p>
        </w:tc>
      </w:tr>
      <w:tr>
        <w:tc>
          <w:tcPr/>
          <w:p>
            <w:pPr>
              <w:pStyle w:val="Compact"/>
              <w:jc w:val="left"/>
            </w:pPr>
            <w:r>
              <w:t xml:space="preserve">1</w:t>
            </w:r>
          </w:p>
        </w:tc>
        <w:tc>
          <w:tcPr/>
          <w:p>
            <w:pPr>
              <w:pStyle w:val="Compact"/>
              <w:jc w:val="left"/>
            </w:pPr>
            <w:r>
              <w:t xml:space="preserve">Dec 1999</w:t>
            </w:r>
          </w:p>
        </w:tc>
        <w:tc>
          <w:tcPr/>
          <w:p>
            <w:pPr>
              <w:pStyle w:val="Compact"/>
              <w:jc w:val="left"/>
            </w:pPr>
            <w:r>
              <w:t xml:space="preserve">Jul 1999</w:t>
            </w:r>
          </w:p>
        </w:tc>
        <w:tc>
          <w:tcPr/>
          <w:p>
            <w:pPr>
              <w:pStyle w:val="Compact"/>
              <w:jc w:val="left"/>
            </w:pPr>
            <w:r>
              <w:t xml:space="preserve">May 2000</w:t>
            </w:r>
          </w:p>
        </w:tc>
        <w:tc>
          <w:tcPr/>
          <w:p>
            <w:pPr>
              <w:pStyle w:val="Compact"/>
              <w:jc w:val="left"/>
            </w:pPr>
            <w:r>
              <w:t xml:space="preserve">10 months</w:t>
            </w:r>
          </w:p>
        </w:tc>
      </w:tr>
      <w:tr>
        <w:tc>
          <w:tcPr/>
          <w:p>
            <w:pPr>
              <w:pStyle w:val="Compact"/>
              <w:jc w:val="left"/>
            </w:pPr>
            <w:r>
              <w:t xml:space="preserve">2</w:t>
            </w:r>
          </w:p>
        </w:tc>
        <w:tc>
          <w:tcPr/>
          <w:p>
            <w:pPr>
              <w:pStyle w:val="Compact"/>
              <w:jc w:val="left"/>
            </w:pPr>
            <w:r>
              <w:t xml:space="preserve">Dec 2002</w:t>
            </w:r>
          </w:p>
        </w:tc>
        <w:tc>
          <w:tcPr/>
          <w:p>
            <w:pPr>
              <w:pStyle w:val="Compact"/>
              <w:jc w:val="left"/>
            </w:pPr>
            <w:r>
              <w:t xml:space="preserve">Oct 2002</w:t>
            </w:r>
          </w:p>
        </w:tc>
        <w:tc>
          <w:tcPr/>
          <w:p>
            <w:pPr>
              <w:pStyle w:val="Compact"/>
              <w:jc w:val="left"/>
            </w:pPr>
            <w:r>
              <w:t xml:space="preserve">May 2003</w:t>
            </w:r>
          </w:p>
        </w:tc>
        <w:tc>
          <w:tcPr/>
          <w:p>
            <w:pPr>
              <w:pStyle w:val="Compact"/>
              <w:jc w:val="left"/>
            </w:pPr>
            <w:r>
              <w:t xml:space="preserve">7 months</w:t>
            </w:r>
          </w:p>
        </w:tc>
      </w:tr>
      <w:tr>
        <w:tc>
          <w:tcPr/>
          <w:p>
            <w:pPr>
              <w:pStyle w:val="Compact"/>
              <w:jc w:val="left"/>
            </w:pPr>
            <w:r>
              <w:t xml:space="preserve">3</w:t>
            </w:r>
          </w:p>
        </w:tc>
        <w:tc>
          <w:tcPr/>
          <w:p>
            <w:pPr>
              <w:pStyle w:val="Compact"/>
              <w:jc w:val="left"/>
            </w:pPr>
            <w:r>
              <w:t xml:space="preserve">Dec 2005</w:t>
            </w:r>
          </w:p>
        </w:tc>
        <w:tc>
          <w:tcPr/>
          <w:p>
            <w:pPr>
              <w:pStyle w:val="Compact"/>
              <w:jc w:val="left"/>
            </w:pPr>
            <w:r>
              <w:t xml:space="preserve">Aug 2005</w:t>
            </w:r>
          </w:p>
        </w:tc>
        <w:tc>
          <w:tcPr/>
          <w:p>
            <w:pPr>
              <w:pStyle w:val="Compact"/>
              <w:jc w:val="left"/>
            </w:pPr>
            <w:r>
              <w:t xml:space="preserve">Apr 2006</w:t>
            </w:r>
          </w:p>
        </w:tc>
        <w:tc>
          <w:tcPr/>
          <w:p>
            <w:pPr>
              <w:pStyle w:val="Compact"/>
              <w:jc w:val="left"/>
            </w:pPr>
            <w:r>
              <w:t xml:space="preserve">8 months</w:t>
            </w:r>
          </w:p>
        </w:tc>
      </w:tr>
      <w:tr>
        <w:tc>
          <w:tcPr/>
          <w:p>
            <w:pPr>
              <w:pStyle w:val="Compact"/>
              <w:jc w:val="left"/>
            </w:pPr>
            <w:r>
              <w:t xml:space="preserve">4</w:t>
            </w:r>
          </w:p>
        </w:tc>
        <w:tc>
          <w:tcPr/>
          <w:p>
            <w:pPr>
              <w:pStyle w:val="Compact"/>
              <w:jc w:val="left"/>
            </w:pPr>
            <w:r>
              <w:t xml:space="preserve">Nov 2011</w:t>
            </w:r>
          </w:p>
        </w:tc>
        <w:tc>
          <w:tcPr/>
          <w:p>
            <w:pPr>
              <w:pStyle w:val="Compact"/>
              <w:jc w:val="left"/>
            </w:pPr>
            <w:r>
              <w:t xml:space="preserve">Jun 2011</w:t>
            </w:r>
          </w:p>
        </w:tc>
        <w:tc>
          <w:tcPr/>
          <w:p>
            <w:pPr>
              <w:pStyle w:val="Compact"/>
              <w:jc w:val="left"/>
            </w:pPr>
            <w:r>
              <w:t xml:space="preserve">Feb 2012</w:t>
            </w:r>
          </w:p>
        </w:tc>
        <w:tc>
          <w:tcPr/>
          <w:p>
            <w:pPr>
              <w:pStyle w:val="Compact"/>
              <w:jc w:val="left"/>
            </w:pPr>
            <w:r>
              <w:t xml:space="preserve">8 months</w:t>
            </w:r>
          </w:p>
        </w:tc>
      </w:tr>
      <w:tr>
        <w:tc>
          <w:tcPr/>
          <w:p>
            <w:pPr>
              <w:pStyle w:val="Compact"/>
              <w:jc w:val="left"/>
            </w:pPr>
            <w:r>
              <w:t xml:space="preserve">5</w:t>
            </w:r>
          </w:p>
        </w:tc>
        <w:tc>
          <w:tcPr/>
          <w:p>
            <w:pPr>
              <w:pStyle w:val="Compact"/>
              <w:jc w:val="left"/>
            </w:pPr>
            <w:r>
              <w:t xml:space="preserve">Jan 2023</w:t>
            </w:r>
          </w:p>
        </w:tc>
        <w:tc>
          <w:tcPr/>
          <w:p>
            <w:pPr>
              <w:pStyle w:val="Compact"/>
              <w:jc w:val="left"/>
            </w:pPr>
            <w:r>
              <w:t xml:space="preserve">Dec 2021</w:t>
            </w:r>
          </w:p>
        </w:tc>
        <w:tc>
          <w:tcPr/>
          <w:p>
            <w:pPr>
              <w:pStyle w:val="Compact"/>
              <w:jc w:val="left"/>
            </w:pPr>
            <w:r>
              <w:t xml:space="preserve">Jul 2024</w:t>
            </w:r>
          </w:p>
        </w:tc>
        <w:tc>
          <w:tcPr/>
          <w:p>
            <w:pPr>
              <w:pStyle w:val="Compact"/>
              <w:jc w:val="left"/>
            </w:pPr>
            <w:r>
              <w:t xml:space="preserve">31 months</w:t>
            </w:r>
          </w:p>
        </w:tc>
      </w:tr>
    </w:tbl>
    <w:p>
      <w:pPr>
        <w:pStyle w:val="BodyText"/>
      </w:pPr>
      <w:r>
        <w:t xml:space="preserve">The global F-statistics computed under the same HAC variance estimator are supF = 57.33, meanF = 23.12, expF = 25.44, all significant at p &lt; 0.0001.</w:t>
      </w:r>
    </w:p>
    <w:bookmarkEnd w:id="32"/>
    <w:bookmarkStart w:id="33" w:name="implied-regimes-and-regime-mean-alpha"/>
    <w:p>
      <w:pPr>
        <w:pStyle w:val="Heading2"/>
      </w:pPr>
      <w:r>
        <w:rPr>
          <w:bCs/>
          <w:b/>
        </w:rPr>
        <w:t xml:space="preserve">4.2 Implied Regimes and Regime-Mean Alpha</w:t>
      </w:r>
    </w:p>
    <w:p>
      <w:pPr>
        <w:pStyle w:val="FirstParagraph"/>
      </w:pPr>
      <w:r>
        <w:t xml:space="preserve">The BIC-optimal partition with all five breaks retained implies six regimes with the following regime-mean alphas: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w:t>
            </w:r>
          </w:p>
        </w:tc>
        <w:tc>
          <w:tcPr/>
          <w:p>
            <w:pPr>
              <w:pStyle w:val="Compact"/>
              <w:jc w:val="left"/>
            </w:pPr>
            <w:r>
              <w:rPr>
                <w:bCs/>
                <w:b/>
              </w:rPr>
              <w:t xml:space="preserve">Window</w:t>
            </w:r>
          </w:p>
        </w:tc>
        <w:tc>
          <w:tcPr/>
          <w:p>
            <w:pPr>
              <w:pStyle w:val="Compact"/>
              <w:jc w:val="left"/>
            </w:pPr>
            <w:r>
              <w:rPr>
                <w:bCs/>
                <w:b/>
              </w:rPr>
              <w:t xml:space="preserve">Months</w:t>
            </w:r>
          </w:p>
        </w:tc>
        <w:tc>
          <w:tcPr/>
          <w:p>
            <w:pPr>
              <w:pStyle w:val="Compact"/>
              <w:jc w:val="left"/>
            </w:pPr>
            <w:r>
              <w:rPr>
                <w:bCs/>
                <w:b/>
              </w:rPr>
              <w:t xml:space="preserve">Mean α̂ (% p.a.)</w:t>
            </w:r>
          </w:p>
        </w:tc>
        <w:tc>
          <w:tcPr/>
          <w:p>
            <w:pPr>
              <w:pStyle w:val="Compact"/>
              <w:jc w:val="left"/>
            </w:pPr>
            <w:r>
              <w:rPr>
                <w:bCs/>
                <w:b/>
              </w:rPr>
              <w:t xml:space="preserve">Interpretation</w:t>
            </w:r>
          </w:p>
        </w:tc>
      </w:tr>
      <w:tr>
        <w:tc>
          <w:tcPr/>
          <w:p>
            <w:pPr>
              <w:pStyle w:val="Compact"/>
              <w:jc w:val="left"/>
            </w:pPr>
            <w:r>
              <w:t xml:space="preserve">1</w:t>
            </w:r>
          </w:p>
        </w:tc>
        <w:tc>
          <w:tcPr/>
          <w:p>
            <w:pPr>
              <w:pStyle w:val="Compact"/>
              <w:jc w:val="left"/>
            </w:pPr>
            <w:r>
              <w:t xml:space="preserve">Dec 1996 – Dec 1999</w:t>
            </w:r>
          </w:p>
        </w:tc>
        <w:tc>
          <w:tcPr/>
          <w:p>
            <w:pPr>
              <w:pStyle w:val="Compact"/>
              <w:jc w:val="left"/>
            </w:pPr>
            <w:r>
              <w:t xml:space="preserve">37</w:t>
            </w:r>
          </w:p>
        </w:tc>
        <w:tc>
          <w:tcPr/>
          <w:p>
            <w:pPr>
              <w:pStyle w:val="Compact"/>
              <w:jc w:val="left"/>
            </w:pPr>
            <w:r>
              <w:t xml:space="preserve">−0.59</w:t>
            </w:r>
          </w:p>
        </w:tc>
        <w:tc>
          <w:tcPr/>
          <w:p>
            <w:pPr>
              <w:pStyle w:val="Compact"/>
              <w:jc w:val="left"/>
            </w:pPr>
            <w:r>
              <w:t xml:space="preserve">Pre-bubble: negative mean, high volatility</w:t>
            </w:r>
          </w:p>
        </w:tc>
      </w:tr>
      <w:tr>
        <w:tc>
          <w:tcPr/>
          <w:p>
            <w:pPr>
              <w:pStyle w:val="Compact"/>
              <w:jc w:val="left"/>
            </w:pPr>
            <w:r>
              <w:t xml:space="preserve">2</w:t>
            </w:r>
          </w:p>
        </w:tc>
        <w:tc>
          <w:tcPr/>
          <w:p>
            <w:pPr>
              <w:pStyle w:val="Compact"/>
              <w:jc w:val="left"/>
            </w:pPr>
            <w:r>
              <w:t xml:space="preserve">Jan 2000 – Dec 2002</w:t>
            </w:r>
          </w:p>
        </w:tc>
        <w:tc>
          <w:tcPr/>
          <w:p>
            <w:pPr>
              <w:pStyle w:val="Compact"/>
              <w:jc w:val="left"/>
            </w:pPr>
            <w:r>
              <w:t xml:space="preserve">36</w:t>
            </w:r>
          </w:p>
        </w:tc>
        <w:tc>
          <w:tcPr/>
          <w:p>
            <w:pPr>
              <w:pStyle w:val="Compact"/>
              <w:jc w:val="left"/>
            </w:pPr>
            <w:r>
              <w:t xml:space="preserve">+1.67</w:t>
            </w:r>
          </w:p>
        </w:tc>
        <w:tc>
          <w:tcPr/>
          <w:p>
            <w:pPr>
              <w:pStyle w:val="Compact"/>
              <w:jc w:val="left"/>
            </w:pPr>
            <w:r>
              <w:t xml:space="preserve">Dot-com peak: elevated cross-sectional dispersion</w:t>
            </w:r>
          </w:p>
        </w:tc>
      </w:tr>
      <w:tr>
        <w:tc>
          <w:tcPr/>
          <w:p>
            <w:pPr>
              <w:pStyle w:val="Compact"/>
              <w:jc w:val="left"/>
            </w:pPr>
            <w:r>
              <w:t xml:space="preserve">3</w:t>
            </w:r>
          </w:p>
        </w:tc>
        <w:tc>
          <w:tcPr/>
          <w:p>
            <w:pPr>
              <w:pStyle w:val="Compact"/>
              <w:jc w:val="left"/>
            </w:pPr>
            <w:r>
              <w:t xml:space="preserve">Jan 2003 – Dec 2005</w:t>
            </w:r>
          </w:p>
        </w:tc>
        <w:tc>
          <w:tcPr/>
          <w:p>
            <w:pPr>
              <w:pStyle w:val="Compact"/>
              <w:jc w:val="left"/>
            </w:pPr>
            <w:r>
              <w:t xml:space="preserve">36</w:t>
            </w:r>
          </w:p>
        </w:tc>
        <w:tc>
          <w:tcPr/>
          <w:p>
            <w:pPr>
              <w:pStyle w:val="Compact"/>
              <w:jc w:val="left"/>
            </w:pPr>
            <w:r>
              <w:t xml:space="preserve">−0.80</w:t>
            </w:r>
          </w:p>
        </w:tc>
        <w:tc>
          <w:tcPr/>
          <w:p>
            <w:pPr>
              <w:pStyle w:val="Compact"/>
              <w:jc w:val="left"/>
            </w:pPr>
            <w:r>
              <w:t xml:space="preserve">Post-bust trough: mean reverts back to negative</w:t>
            </w:r>
          </w:p>
        </w:tc>
      </w:tr>
      <w:tr>
        <w:tc>
          <w:tcPr/>
          <w:p>
            <w:pPr>
              <w:pStyle w:val="Compact"/>
              <w:jc w:val="left"/>
            </w:pPr>
            <w:r>
              <w:t xml:space="preserve">4</w:t>
            </w:r>
          </w:p>
        </w:tc>
        <w:tc>
          <w:tcPr/>
          <w:p>
            <w:pPr>
              <w:pStyle w:val="Compact"/>
              <w:jc w:val="left"/>
            </w:pPr>
            <w:r>
              <w:t xml:space="preserve">Jan 2006 – Nov 2011</w:t>
            </w:r>
          </w:p>
        </w:tc>
        <w:tc>
          <w:tcPr/>
          <w:p>
            <w:pPr>
              <w:pStyle w:val="Compact"/>
              <w:jc w:val="left"/>
            </w:pPr>
            <w:r>
              <w:t xml:space="preserve">71</w:t>
            </w:r>
          </w:p>
        </w:tc>
        <w:tc>
          <w:tcPr/>
          <w:p>
            <w:pPr>
              <w:pStyle w:val="Compact"/>
              <w:jc w:val="left"/>
            </w:pPr>
            <w:r>
              <w:t xml:space="preserve">+1.02</w:t>
            </w:r>
          </w:p>
        </w:tc>
        <w:tc>
          <w:tcPr/>
          <w:p>
            <w:pPr>
              <w:pStyle w:val="Compact"/>
              <w:jc w:val="left"/>
            </w:pPr>
            <w:r>
              <w:t xml:space="preserve">Pre-crisis and QE recovery: sustained positive alpha</w:t>
            </w:r>
          </w:p>
        </w:tc>
      </w:tr>
      <w:tr>
        <w:tc>
          <w:tcPr/>
          <w:p>
            <w:pPr>
              <w:pStyle w:val="Compact"/>
              <w:jc w:val="left"/>
            </w:pPr>
            <w:r>
              <w:t xml:space="preserve">5</w:t>
            </w:r>
          </w:p>
        </w:tc>
        <w:tc>
          <w:tcPr/>
          <w:p>
            <w:pPr>
              <w:pStyle w:val="Compact"/>
              <w:jc w:val="left"/>
            </w:pPr>
            <w:r>
              <w:t xml:space="preserve">Dec 2011 – Jan 2023</w:t>
            </w:r>
          </w:p>
        </w:tc>
        <w:tc>
          <w:tcPr/>
          <w:p>
            <w:pPr>
              <w:pStyle w:val="Compact"/>
              <w:jc w:val="left"/>
            </w:pPr>
            <w:r>
              <w:t xml:space="preserve">134</w:t>
            </w:r>
          </w:p>
        </w:tc>
        <w:tc>
          <w:tcPr/>
          <w:p>
            <w:pPr>
              <w:pStyle w:val="Compact"/>
              <w:jc w:val="left"/>
            </w:pPr>
            <w:r>
              <w:t xml:space="preserve">−1.13</w:t>
            </w:r>
          </w:p>
        </w:tc>
        <w:tc>
          <w:tcPr/>
          <w:p>
            <w:pPr>
              <w:pStyle w:val="Compact"/>
              <w:jc w:val="left"/>
            </w:pPr>
            <w:r>
              <w:t xml:space="preserve">Structural compression: persistent negative alpha</w:t>
            </w:r>
          </w:p>
        </w:tc>
      </w:tr>
      <w:tr>
        <w:tc>
          <w:tcPr/>
          <w:p>
            <w:pPr>
              <w:pStyle w:val="Compact"/>
              <w:jc w:val="left"/>
            </w:pPr>
            <w:r>
              <w:t xml:space="preserve">6</w:t>
            </w:r>
          </w:p>
        </w:tc>
        <w:tc>
          <w:tcPr/>
          <w:p>
            <w:pPr>
              <w:pStyle w:val="Compact"/>
              <w:jc w:val="left"/>
            </w:pPr>
            <w:r>
              <w:t xml:space="preserve">Feb 2023 – Jan 2026</w:t>
            </w:r>
          </w:p>
        </w:tc>
        <w:tc>
          <w:tcPr/>
          <w:p>
            <w:pPr>
              <w:pStyle w:val="Compact"/>
              <w:jc w:val="left"/>
            </w:pPr>
            <w:r>
              <w:t xml:space="preserve">36</w:t>
            </w:r>
          </w:p>
        </w:tc>
        <w:tc>
          <w:tcPr/>
          <w:p>
            <w:pPr>
              <w:pStyle w:val="Compact"/>
              <w:jc w:val="left"/>
            </w:pPr>
            <w:r>
              <w:t xml:space="preserve">−2.20</w:t>
            </w:r>
          </w:p>
        </w:tc>
        <w:tc>
          <w:tcPr/>
          <w:p>
            <w:pPr>
              <w:pStyle w:val="Compact"/>
              <w:jc w:val="left"/>
            </w:pPr>
            <w:r>
              <w:t xml:space="preserve">Post-2023 intensification: deepening negative alpha</w:t>
            </w:r>
          </w:p>
        </w:tc>
      </w:tr>
    </w:tbl>
    <w:p>
      <w:pPr>
        <w:pStyle w:val="BodyText"/>
      </w:pPr>
      <w:r>
        <w:t xml:space="preserve">The mean shift across Break 4 (Nov 2011) is the largest in the sample at 2.15 percentage points (+1.02% → −1.13%) and has the tightest of the pre-2023 confidence intervals (8 months). Break 5 (Jan 2023) produces a further 1.07-percentage-point shift into Period 6 but has a 31-month confidence interval, reflecting the short post-break segment available for identification.</w:t>
      </w:r>
    </w:p>
    <w:bookmarkEnd w:id="33"/>
    <w:bookmarkStart w:id="34" w:name="adopted-three-regime-partition"/>
    <w:p>
      <w:pPr>
        <w:pStyle w:val="Heading2"/>
      </w:pPr>
      <w:r>
        <w:rPr>
          <w:bCs/>
          <w:b/>
        </w:rPr>
        <w:t xml:space="preserve">4.3 Adopted Three-Regime Partition</w:t>
      </w:r>
    </w:p>
    <w:p>
      <w:pPr>
        <w:pStyle w:val="FirstParagraph"/>
      </w:pPr>
      <w:r>
        <w:t xml:space="preserve">The six-regime partition is not directly used for the sub-period analysis in Section D.2. Periods 1–3 together span 109 months across the dot-com cycle, with oscillating but numerically small regime means (−0.59%, +1.67%, −0.80%) that net out close to zero (duration-weighted mean: +0.09% p.a.). Each of these three regimes spans only 36–37 months individually — below the 60-month minimum recommended by Barras, Scaillet &amp; Wermers (2010) for reliable FF (2010) bootstrap inference and the Storey (2002) π̂₀ estimator.</w:t>
      </w:r>
    </w:p>
    <w:p>
      <w:pPr>
        <w:pStyle w:val="BodyText"/>
      </w:pPr>
      <w:r>
        <w:t xml:space="preserve">Period 6 (Feb 2023 – Jan 2026, 36 months) faces the same constraint: too short for a standalone bootstrap/BSW decomposition. Although its regime-mean alpha (−2.20%) is economically distinct from Period 5 (−1.13%), the 36-month segment is insufficient for separate statistical inference. Break 5 is retained in the formal break-test output (Table D.1 and Figure D.1) as part of the BIC-optimal solution — treating it as spurious would misrepresent the test — but its post-break segment is pooled with Period 5 for all sub-period estimations in Section D.2.</w:t>
      </w:r>
    </w:p>
    <w:p>
      <w:pPr>
        <w:pStyle w:val="BodyText"/>
      </w:pPr>
      <w:r>
        <w:t xml:space="preserve">The adopted three-regime partition 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w:t>
            </w:r>
          </w:p>
        </w:tc>
        <w:tc>
          <w:tcPr/>
          <w:p>
            <w:pPr>
              <w:pStyle w:val="Compact"/>
              <w:jc w:val="left"/>
            </w:pPr>
            <w:r>
              <w:rPr>
                <w:bCs/>
                <w:b/>
              </w:rPr>
              <w:t xml:space="preserve">Window</w:t>
            </w:r>
          </w:p>
        </w:tc>
        <w:tc>
          <w:tcPr/>
          <w:p>
            <w:pPr>
              <w:pStyle w:val="Compact"/>
              <w:jc w:val="left"/>
            </w:pPr>
            <w:r>
              <w:rPr>
                <w:bCs/>
                <w:b/>
              </w:rPr>
              <w:t xml:space="preserve">Months</w:t>
            </w:r>
          </w:p>
        </w:tc>
        <w:tc>
          <w:tcPr/>
          <w:p>
            <w:pPr>
              <w:pStyle w:val="Compact"/>
              <w:jc w:val="left"/>
            </w:pPr>
            <w:r>
              <w:rPr>
                <w:bCs/>
                <w:b/>
              </w:rPr>
              <w:t xml:space="preserve">Mean α̂ (% p.a.)</w:t>
            </w:r>
          </w:p>
        </w:tc>
      </w:tr>
      <w:tr>
        <w:tc>
          <w:tcPr/>
          <w:p>
            <w:pPr>
              <w:pStyle w:val="Compact"/>
              <w:jc w:val="left"/>
            </w:pPr>
            <w:r>
              <w:t xml:space="preserve">P1</w:t>
            </w:r>
          </w:p>
        </w:tc>
        <w:tc>
          <w:tcPr/>
          <w:p>
            <w:pPr>
              <w:pStyle w:val="Compact"/>
              <w:jc w:val="left"/>
            </w:pPr>
            <w:r>
              <w:t xml:space="preserve">Dec 1996 – Dec 2005</w:t>
            </w:r>
          </w:p>
        </w:tc>
        <w:tc>
          <w:tcPr/>
          <w:p>
            <w:pPr>
              <w:pStyle w:val="Compact"/>
              <w:jc w:val="left"/>
            </w:pPr>
            <w:r>
              <w:t xml:space="preserve">109</w:t>
            </w:r>
          </w:p>
        </w:tc>
        <w:tc>
          <w:tcPr/>
          <w:p>
            <w:pPr>
              <w:pStyle w:val="Compact"/>
              <w:jc w:val="left"/>
            </w:pPr>
            <w:r>
              <w:t xml:space="preserve">+0.09 (duration-weighted)</w:t>
            </w:r>
          </w:p>
        </w:tc>
      </w:tr>
      <w:tr>
        <w:tc>
          <w:tcPr/>
          <w:p>
            <w:pPr>
              <w:pStyle w:val="Compact"/>
              <w:jc w:val="left"/>
            </w:pPr>
            <w:r>
              <w:t xml:space="preserve">P2</w:t>
            </w:r>
          </w:p>
        </w:tc>
        <w:tc>
          <w:tcPr/>
          <w:p>
            <w:pPr>
              <w:pStyle w:val="Compact"/>
              <w:jc w:val="left"/>
            </w:pPr>
            <w:r>
              <w:t xml:space="preserve">Jan 2006 – Nov 2011</w:t>
            </w:r>
          </w:p>
        </w:tc>
        <w:tc>
          <w:tcPr/>
          <w:p>
            <w:pPr>
              <w:pStyle w:val="Compact"/>
              <w:jc w:val="left"/>
            </w:pPr>
            <w:r>
              <w:t xml:space="preserve">71</w:t>
            </w:r>
          </w:p>
        </w:tc>
        <w:tc>
          <w:tcPr/>
          <w:p>
            <w:pPr>
              <w:pStyle w:val="Compact"/>
              <w:jc w:val="left"/>
            </w:pPr>
            <w:r>
              <w:t xml:space="preserve">+1.02</w:t>
            </w:r>
          </w:p>
        </w:tc>
      </w:tr>
      <w:tr>
        <w:tc>
          <w:tcPr/>
          <w:p>
            <w:pPr>
              <w:pStyle w:val="Compact"/>
              <w:jc w:val="left"/>
            </w:pPr>
            <w:r>
              <w:t xml:space="preserve">P3</w:t>
            </w:r>
          </w:p>
        </w:tc>
        <w:tc>
          <w:tcPr/>
          <w:p>
            <w:pPr>
              <w:pStyle w:val="Compact"/>
              <w:jc w:val="left"/>
            </w:pPr>
            <w:r>
              <w:t xml:space="preserve">Dec 2011 – Jan 2026</w:t>
            </w:r>
          </w:p>
        </w:tc>
        <w:tc>
          <w:tcPr/>
          <w:p>
            <w:pPr>
              <w:pStyle w:val="Compact"/>
              <w:jc w:val="left"/>
            </w:pPr>
            <w:r>
              <w:t xml:space="preserve">170</w:t>
            </w:r>
          </w:p>
        </w:tc>
        <w:tc>
          <w:tcPr/>
          <w:p>
            <w:pPr>
              <w:pStyle w:val="Compact"/>
              <w:jc w:val="left"/>
            </w:pPr>
            <w:r>
              <w:t xml:space="preserve">−1.36 (duration-weighted)</w:t>
            </w:r>
          </w:p>
        </w:tc>
      </w:tr>
    </w:tbl>
    <w:p>
      <w:pPr>
        <w:pStyle w:val="BodyText"/>
      </w:pPr>
      <w:r>
        <w:t xml:space="preserve">All three adopted regimes satisfy T ≥ 60, enabling reliable bootstrap and BSW estimation. Section D.2 uses two sub-period thresholds:</w:t>
      </w:r>
      <w:r>
        <w:t xml:space="preserve"> </w:t>
      </w:r>
      <w:r>
        <w:rPr>
          <w:bCs/>
          <w:b/>
        </w:rPr>
        <w:t xml:space="preserve">December 2005</w:t>
      </w:r>
      <w:r>
        <w:t xml:space="preserve"> </w:t>
      </w:r>
      <w:r>
        <w:t xml:space="preserve">(separating the volatile pre-GFC era from the positive-alpha era) and</w:t>
      </w:r>
      <w:r>
        <w:t xml:space="preserve"> </w:t>
      </w:r>
      <w:r>
        <w:rPr>
          <w:bCs/>
          <w:b/>
        </w:rPr>
        <w:t xml:space="preserve">November 2011</w:t>
      </w:r>
      <w:r>
        <w:t xml:space="preserve"> </w:t>
      </w:r>
      <w:r>
        <w:t xml:space="preserve">(marking the structural break in the alpha-generating process).</w:t>
      </w:r>
    </w:p>
    <w:bookmarkEnd w:id="34"/>
    <w:bookmarkEnd w:id="35"/>
    <w:bookmarkStart w:id="38" w:name="X7c6e9d423a0b6944fbe5d62aafdcf4f84597ce2"/>
    <w:p>
      <w:pPr>
        <w:pStyle w:val="Heading1"/>
      </w:pPr>
      <w:r>
        <w:rPr>
          <w:bCs/>
          <w:b/>
        </w:rPr>
        <w:t xml:space="preserve">5. Economic Interpretation of the Adopted Thresholds</w:t>
      </w:r>
    </w:p>
    <w:bookmarkStart w:id="36" w:name="threshold-1-december-2005"/>
    <w:p>
      <w:pPr>
        <w:pStyle w:val="Heading2"/>
      </w:pPr>
      <w:r>
        <w:rPr>
          <w:bCs/>
          <w:b/>
        </w:rPr>
        <w:t xml:space="preserve">5.1 Threshold 1: December 2005</w:t>
      </w:r>
    </w:p>
    <w:p>
      <w:pPr>
        <w:pStyle w:val="FirstParagraph"/>
      </w:pPr>
      <w:r>
        <w:t xml:space="preserve">The Dec 2005 break (CI: Aug 2005 – Apr 2006) separates Periods 1–3 from Period 4. Periods 1–3 cover the dot-com boom-and-bust cycle: the mean alpha oscillates between −0.80% and +1.67% across the three segments, driven by the extraordinary cross-sectional dispersion of the late 1990s technology bubble and the subsequent correction. These oscillations are transient: they are consistent with temporary factor-return anomalies (momentum overshoot and reversal, sector concentration, and valuation spread) rather than a permanent shift in the ability of active managers to generate alpha.</w:t>
      </w:r>
    </w:p>
    <w:p>
      <w:pPr>
        <w:pStyle w:val="BodyText"/>
      </w:pPr>
      <w:r>
        <w:t xml:space="preserve">Period 4 (Jan 2006–Nov 2011) represents a qualitatively different environment: a sustained 71-month period of positive mean alpha (+1.02% p.a.). The Jan 2006 onset predates the Global Financial Crisis by approximately 24 months, suggesting it is not driven by crisis-era dislocations but rather by the post-bubble normalisation of factor premia, the resurgence of value and momentum strategies, and the pre-crisis widening of bid-ask spreads and information asymmetries. This period is the one in which the rational case for active management is empirically most supportable.</w:t>
      </w:r>
    </w:p>
    <w:p>
      <w:pPr>
        <w:pStyle w:val="BodyText"/>
      </w:pPr>
      <w:r>
        <w:t xml:space="preserve">The Dec 2005 threshold is therefore the boundary between the volatile, mean-oscillating early era and the positive-alpha pre-crisis/QE-recovery era. For the sub-period analysis, it marks the transition from within-regime cyclicality to a structurally different alpha-generating environment.</w:t>
      </w:r>
    </w:p>
    <w:bookmarkEnd w:id="36"/>
    <w:bookmarkStart w:id="37" w:name="threshold-2-november-2011"/>
    <w:p>
      <w:pPr>
        <w:pStyle w:val="Heading2"/>
      </w:pPr>
      <w:r>
        <w:rPr>
          <w:bCs/>
          <w:b/>
        </w:rPr>
        <w:t xml:space="preserve">5.2 Threshold 2: November 2011</w:t>
      </w:r>
    </w:p>
    <w:p>
      <w:pPr>
        <w:pStyle w:val="FirstParagraph"/>
      </w:pPr>
      <w:r>
        <w:t xml:space="preserve">The Nov 2011 break (CI: Jun 2011 – Feb 2012) is the dissertation’s key structural break. It marks the transition from the positive-alpha Period 4 (+1.02% p.a.) to the persistent-negative-alpha regime that follows, a shift of approximately 2.15 percentage points when measured against Period 5 and roughly 3.22 percentage points when measured against the combined Period 5/6 average weighted by months. It is also the break with the tightest confidence interval (8 months), reflecting the sharpness of the transition in the raw alpha series.</w:t>
      </w:r>
    </w:p>
    <w:p>
      <w:pPr>
        <w:pStyle w:val="BodyText"/>
      </w:pPr>
      <w:r>
        <w:t xml:space="preserve">Several concurrent structural changes in the U.S. equity mutual fund industry converge around this threshold:</w:t>
      </w:r>
    </w:p>
    <w:p>
      <w:pPr>
        <w:numPr>
          <w:ilvl w:val="0"/>
          <w:numId w:val="1002"/>
        </w:numPr>
      </w:pPr>
      <w:r>
        <w:t xml:space="preserve">Passive asset growth accelerates: exchange-traded fund (ETF) AUM growth begins to compound structurally post-2011, compressing the information advantage of active managers.</w:t>
      </w:r>
    </w:p>
    <w:p>
      <w:pPr>
        <w:numPr>
          <w:ilvl w:val="0"/>
          <w:numId w:val="1002"/>
        </w:numPr>
      </w:pPr>
      <w:r>
        <w:t xml:space="preserve">Post-QE factor compression: the Federal Reserve’s prolonged quantitative easing from 2009 onwards suppresses cross-sectional return dispersion, reducing the opportunity set for active selection.</w:t>
      </w:r>
    </w:p>
    <w:p>
      <w:pPr>
        <w:numPr>
          <w:ilvl w:val="0"/>
          <w:numId w:val="1002"/>
        </w:numPr>
      </w:pPr>
      <w:r>
        <w:t xml:space="preserve">Fee pressure: the institutional shift toward passive alternatives accelerates fee compression across the active fund industry, disproportionately affecting small-cap and growth-oriented strategies that previously generated the largest alphas.</w:t>
      </w:r>
    </w:p>
    <w:p>
      <w:pPr>
        <w:numPr>
          <w:ilvl w:val="0"/>
          <w:numId w:val="1002"/>
        </w:numPr>
      </w:pPr>
      <w:r>
        <w:t xml:space="preserve">Regulatory environment: post-Dodd-Frank (2010) disclosure requirements increase the informativeness of public filings, reducing the informational edge of active managers in large-cap equity.</w:t>
      </w:r>
    </w:p>
    <w:p>
      <w:pPr>
        <w:pStyle w:val="FirstParagraph"/>
      </w:pPr>
      <w:r>
        <w:t xml:space="preserve">The Nov 2011 break is the central structural break of the dissertation. It is the date at which the behavioral puzzle becomes most acute: flows into active funds do not collapse despite the onset of a structurally and persistently negative alpha environment. The sub-period analysis in Section D.2 is designed to quantify whether the skill decomposition (π̂₀, BSW four-way) is consistent with rational updating or with persistent behavioral biases in the post-2011 period.</w:t>
      </w:r>
    </w:p>
    <w:bookmarkEnd w:id="37"/>
    <w:bookmarkEnd w:id="38"/>
    <w:bookmarkStart w:id="42" w:name="sub-period-design-for-section-d.2"/>
    <w:p>
      <w:pPr>
        <w:pStyle w:val="Heading1"/>
      </w:pPr>
      <w:r>
        <w:rPr>
          <w:bCs/>
          <w:b/>
        </w:rPr>
        <w:t xml:space="preserve">6. Sub-Period Design for Section D.2</w:t>
      </w:r>
    </w:p>
    <w:bookmarkStart w:id="39" w:name="three-sub-periods"/>
    <w:p>
      <w:pPr>
        <w:pStyle w:val="Heading2"/>
      </w:pPr>
      <w:r>
        <w:rPr>
          <w:bCs/>
          <w:b/>
        </w:rPr>
        <w:t xml:space="preserve">6.1 Three Sub-Periods</w:t>
      </w:r>
    </w:p>
    <w:p>
      <w:pPr>
        <w:pStyle w:val="FirstParagraph"/>
      </w:pPr>
      <w:r>
        <w:t xml:space="preserve">Based on the two adopted thresholds, the following three sub-periods are used for the performance and skill analysis in Section D.2: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Period</w:t>
            </w:r>
          </w:p>
        </w:tc>
        <w:tc>
          <w:tcPr/>
          <w:p>
            <w:pPr>
              <w:pStyle w:val="Compact"/>
              <w:jc w:val="left"/>
            </w:pPr>
            <w:r>
              <w:rPr>
                <w:bCs/>
                <w:b/>
              </w:rPr>
              <w:t xml:space="preserve">Window</w:t>
            </w:r>
          </w:p>
        </w:tc>
        <w:tc>
          <w:tcPr/>
          <w:p>
            <w:pPr>
              <w:pStyle w:val="Compact"/>
              <w:jc w:val="left"/>
            </w:pPr>
            <w:r>
              <w:rPr>
                <w:bCs/>
                <w:b/>
              </w:rPr>
              <w:t xml:space="preserve">Months</w:t>
            </w:r>
          </w:p>
        </w:tc>
        <w:tc>
          <w:tcPr/>
          <w:p>
            <w:pPr>
              <w:pStyle w:val="Compact"/>
              <w:jc w:val="left"/>
            </w:pPr>
            <w:r>
              <w:rPr>
                <w:bCs/>
                <w:b/>
              </w:rPr>
              <w:t xml:space="preserve">Narrative label</w:t>
            </w:r>
          </w:p>
        </w:tc>
      </w:tr>
      <w:tr>
        <w:tc>
          <w:tcPr/>
          <w:p>
            <w:pPr>
              <w:pStyle w:val="Compact"/>
              <w:jc w:val="left"/>
            </w:pPr>
            <w:r>
              <w:t xml:space="preserve">P1</w:t>
            </w:r>
          </w:p>
        </w:tc>
        <w:tc>
          <w:tcPr/>
          <w:p>
            <w:pPr>
              <w:pStyle w:val="Compact"/>
              <w:jc w:val="left"/>
            </w:pPr>
            <w:r>
              <w:t xml:space="preserve">Dec 1996 – Dec 2005</w:t>
            </w:r>
          </w:p>
        </w:tc>
        <w:tc>
          <w:tcPr/>
          <w:p>
            <w:pPr>
              <w:pStyle w:val="Compact"/>
              <w:jc w:val="left"/>
            </w:pPr>
            <w:r>
              <w:t xml:space="preserve">109</w:t>
            </w:r>
          </w:p>
        </w:tc>
        <w:tc>
          <w:tcPr/>
          <w:p>
            <w:pPr>
              <w:pStyle w:val="Compact"/>
              <w:jc w:val="left"/>
            </w:pPr>
            <w:r>
              <w:t xml:space="preserve">Volatile early era: dot-com cycle, mean alpha oscillates near zero</w:t>
            </w:r>
          </w:p>
        </w:tc>
      </w:tr>
      <w:tr>
        <w:tc>
          <w:tcPr/>
          <w:p>
            <w:pPr>
              <w:pStyle w:val="Compact"/>
              <w:jc w:val="left"/>
            </w:pPr>
            <w:r>
              <w:t xml:space="preserve">P2</w:t>
            </w:r>
          </w:p>
        </w:tc>
        <w:tc>
          <w:tcPr/>
          <w:p>
            <w:pPr>
              <w:pStyle w:val="Compact"/>
              <w:jc w:val="left"/>
            </w:pPr>
            <w:r>
              <w:t xml:space="preserve">Jan 2006 – Nov 2011</w:t>
            </w:r>
          </w:p>
        </w:tc>
        <w:tc>
          <w:tcPr/>
          <w:p>
            <w:pPr>
              <w:pStyle w:val="Compact"/>
              <w:jc w:val="left"/>
            </w:pPr>
            <w:r>
              <w:t xml:space="preserve">71</w:t>
            </w:r>
          </w:p>
        </w:tc>
        <w:tc>
          <w:tcPr/>
          <w:p>
            <w:pPr>
              <w:pStyle w:val="Compact"/>
              <w:jc w:val="left"/>
            </w:pPr>
            <w:r>
              <w:t xml:space="preserve">Positive-alpha era: pre-crisis and QE recovery, active management empirically justifiable</w:t>
            </w:r>
          </w:p>
        </w:tc>
      </w:tr>
      <w:tr>
        <w:tc>
          <w:tcPr/>
          <w:p>
            <w:pPr>
              <w:pStyle w:val="Compact"/>
              <w:jc w:val="left"/>
            </w:pPr>
            <w:r>
              <w:t xml:space="preserve">P3</w:t>
            </w:r>
          </w:p>
        </w:tc>
        <w:tc>
          <w:tcPr/>
          <w:p>
            <w:pPr>
              <w:pStyle w:val="Compact"/>
              <w:jc w:val="left"/>
            </w:pPr>
            <w:r>
              <w:t xml:space="preserve">Dec 2011 – Jan 2026</w:t>
            </w:r>
          </w:p>
        </w:tc>
        <w:tc>
          <w:tcPr/>
          <w:p>
            <w:pPr>
              <w:pStyle w:val="Compact"/>
              <w:jc w:val="left"/>
            </w:pPr>
            <w:r>
              <w:t xml:space="preserve">170</w:t>
            </w:r>
          </w:p>
        </w:tc>
        <w:tc>
          <w:tcPr/>
          <w:p>
            <w:pPr>
              <w:pStyle w:val="Compact"/>
              <w:jc w:val="left"/>
            </w:pPr>
            <w:r>
              <w:t xml:space="preserve">Structural compression era: persistent negative alpha deepening post-2023, behavioral puzzle at its sharpest</w:t>
            </w:r>
          </w:p>
        </w:tc>
      </w:tr>
    </w:tbl>
    <w:p>
      <w:pPr>
        <w:pStyle w:val="BodyText"/>
      </w:pPr>
      <w:r>
        <w:t xml:space="preserve">Note: P1 begins in December 1996, matching the first month of the 36-month rolling alpha series that supplied the input to the break test. The full-period alpha estimation and bootstrap are computed on the complete available fund history within each sub-period window, not on the rolling-window means. Funds with fewer than 24 monthly observations within a given sub-period are excluded from that sub-period’s bootstrap, consistent with the full-sample minimum observation requirement. P3 pools the BIC-optimal Periods 5 and 6; see §4.3 for the small-sample rationale.</w:t>
      </w:r>
    </w:p>
    <w:bookmarkEnd w:id="39"/>
    <w:bookmarkStart w:id="40" w:name="planned-outputs-for-section-d.2"/>
    <w:p>
      <w:pPr>
        <w:pStyle w:val="Heading2"/>
      </w:pPr>
      <w:r>
        <w:rPr>
          <w:bCs/>
          <w:b/>
        </w:rPr>
        <w:t xml:space="preserve">6.2 Planned Outputs for Section D.2</w:t>
      </w:r>
    </w:p>
    <w:p>
      <w:pPr>
        <w:pStyle w:val="FirstParagraph"/>
      </w:pPr>
      <w:r>
        <w:t xml:space="preserve">For each of the three sub-periods P1, P2, and P3, the following results will be produced (parallel to the main-text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Table</w:t>
            </w:r>
          </w:p>
        </w:tc>
        <w:tc>
          <w:tcPr/>
          <w:p>
            <w:pPr>
              <w:pStyle w:val="Compact"/>
              <w:jc w:val="left"/>
            </w:pPr>
            <w:r>
              <w:rPr>
                <w:bCs/>
                <w:b/>
              </w:rPr>
              <w:t xml:space="preserve">Parallel to</w:t>
            </w:r>
          </w:p>
        </w:tc>
        <w:tc>
          <w:tcPr/>
          <w:p>
            <w:pPr>
              <w:pStyle w:val="Compact"/>
              <w:jc w:val="left"/>
            </w:pPr>
            <w:r>
              <w:rPr>
                <w:bCs/>
                <w:b/>
              </w:rPr>
              <w:t xml:space="preserve">Content</w:t>
            </w:r>
          </w:p>
        </w:tc>
      </w:tr>
      <w:tr>
        <w:tc>
          <w:tcPr/>
          <w:p>
            <w:pPr>
              <w:pStyle w:val="Compact"/>
              <w:jc w:val="left"/>
            </w:pPr>
            <w:r>
              <w:t xml:space="preserve">Table D.x.1</w:t>
            </w:r>
          </w:p>
        </w:tc>
        <w:tc>
          <w:tcPr/>
          <w:p>
            <w:pPr>
              <w:pStyle w:val="Compact"/>
              <w:jc w:val="left"/>
            </w:pPr>
            <w:r>
              <w:t xml:space="preserve">Table 5</w:t>
            </w:r>
          </w:p>
        </w:tc>
        <w:tc>
          <w:tcPr/>
          <w:p>
            <w:pPr>
              <w:pStyle w:val="Compact"/>
              <w:jc w:val="left"/>
            </w:pPr>
            <w:r>
              <w:t xml:space="preserve">EW and VW gross/net alpha by group (Active, Passive, Full)</w:t>
            </w:r>
          </w:p>
        </w:tc>
      </w:tr>
      <w:tr>
        <w:tc>
          <w:tcPr/>
          <w:p>
            <w:pPr>
              <w:pStyle w:val="Compact"/>
              <w:jc w:val="left"/>
            </w:pPr>
            <w:r>
              <w:t xml:space="preserve">Table D.x.2</w:t>
            </w:r>
          </w:p>
        </w:tc>
        <w:tc>
          <w:tcPr/>
          <w:p>
            <w:pPr>
              <w:pStyle w:val="Compact"/>
              <w:jc w:val="left"/>
            </w:pPr>
            <w:r>
              <w:t xml:space="preserve">Table 6</w:t>
            </w:r>
          </w:p>
        </w:tc>
        <w:tc>
          <w:tcPr/>
          <w:p>
            <w:pPr>
              <w:pStyle w:val="Compact"/>
              <w:jc w:val="left"/>
            </w:pPr>
            <w:r>
              <w:t xml:space="preserve">FF (2010) bootstrap: actual vs. simulated t(α̂) percentiles</w:t>
            </w:r>
          </w:p>
        </w:tc>
      </w:tr>
      <w:tr>
        <w:tc>
          <w:tcPr/>
          <w:p>
            <w:pPr>
              <w:pStyle w:val="Compact"/>
              <w:jc w:val="left"/>
            </w:pPr>
            <w:r>
              <w:t xml:space="preserve">Table D.x.3</w:t>
            </w:r>
          </w:p>
        </w:tc>
        <w:tc>
          <w:tcPr/>
          <w:p>
            <w:pPr>
              <w:pStyle w:val="Compact"/>
              <w:jc w:val="left"/>
            </w:pPr>
            <w:r>
              <w:t xml:space="preserve">Table 7</w:t>
            </w:r>
          </w:p>
        </w:tc>
        <w:tc>
          <w:tcPr/>
          <w:p>
            <w:pPr>
              <w:pStyle w:val="Compact"/>
              <w:jc w:val="left"/>
            </w:pPr>
            <w:r>
              <w:t xml:space="preserve">Storey (2002) π̂₀ estimate for active funds</w:t>
            </w:r>
          </w:p>
        </w:tc>
      </w:tr>
      <w:tr>
        <w:tc>
          <w:tcPr/>
          <w:p>
            <w:pPr>
              <w:pStyle w:val="Compact"/>
              <w:jc w:val="left"/>
            </w:pPr>
            <w:r>
              <w:t xml:space="preserve">Table D.x.4</w:t>
            </w:r>
          </w:p>
        </w:tc>
        <w:tc>
          <w:tcPr/>
          <w:p>
            <w:pPr>
              <w:pStyle w:val="Compact"/>
              <w:jc w:val="left"/>
            </w:pPr>
            <w:r>
              <w:t xml:space="preserve">Table 8</w:t>
            </w:r>
          </w:p>
        </w:tc>
        <w:tc>
          <w:tcPr/>
          <w:p>
            <w:pPr>
              <w:pStyle w:val="Compact"/>
              <w:jc w:val="left"/>
            </w:pPr>
            <w:r>
              <w:t xml:space="preserve">BSW (2010) four-way decomposition</w:t>
            </w:r>
          </w:p>
        </w:tc>
      </w:tr>
      <w:tr>
        <w:tc>
          <w:tcPr/>
          <w:p>
            <w:pPr>
              <w:pStyle w:val="Compact"/>
              <w:jc w:val="left"/>
            </w:pPr>
            <w:r>
              <w:t xml:space="preserve">Table D.x.5</w:t>
            </w:r>
          </w:p>
        </w:tc>
        <w:tc>
          <w:tcPr/>
          <w:p>
            <w:pPr>
              <w:pStyle w:val="Compact"/>
              <w:jc w:val="left"/>
            </w:pPr>
            <w:r>
              <w:t xml:space="preserve">Table 10</w:t>
            </w:r>
          </w:p>
        </w:tc>
        <w:tc>
          <w:tcPr/>
          <w:p>
            <w:pPr>
              <w:pStyle w:val="Compact"/>
              <w:jc w:val="left"/>
            </w:pPr>
            <w:r>
              <w:t xml:space="preserve">Active vs. Passive aggregate portfolio alpha (CAPM/FF3/Carhart)</w:t>
            </w:r>
          </w:p>
        </w:tc>
      </w:tr>
    </w:tbl>
    <w:p>
      <w:pPr>
        <w:pStyle w:val="BodyText"/>
      </w:pPr>
      <w:r>
        <w:t xml:space="preserve">where x = 2 (P1), x = 3 (P2), x = 4 (P3), giving tables D.2.1 through D.4.5 (exact numbering subject to final document structure). Portfolio sort tables (size, momentum, fee quintiles) are not replicated by sub-period, as they are cross-sectional constructs less sensitive to the temporal regime.</w:t>
      </w:r>
    </w:p>
    <w:bookmarkEnd w:id="40"/>
    <w:bookmarkStart w:id="41" w:name="Xfd4964a8e7b515e5d8140aa100c168907aa5a81"/>
    <w:p>
      <w:pPr>
        <w:pStyle w:val="Heading2"/>
      </w:pPr>
      <w:r>
        <w:rPr>
          <w:bCs/>
          <w:b/>
        </w:rPr>
        <w:t xml:space="preserve">6.3 Analytical Contribution of the Sub-Period Analysis</w:t>
      </w:r>
    </w:p>
    <w:p>
      <w:pPr>
        <w:pStyle w:val="FirstParagraph"/>
      </w:pPr>
      <w:r>
        <w:t xml:space="preserve">The sub-period analysis addresses a specific identification challenge: the full-period π̂₀ estimate and BSW decomposition aggregate across regimes with very different alpha-generating processes. If π̂₀ is higher in P3 than in P1 and P2 — as would be expected if the structural shift at November 2011 reflects a genuine compression of the alpha opportunity set — then the behavioral puzzle in P3 intensifies: investors are allocating to a universe in which a larger fraction of funds have zero true alpha and only a smaller fraction are genuinely unskilled (the negative tail is shallower because fewer funds have the volatility to generate extreme t-statistics over short windows).</w:t>
      </w:r>
    </w:p>
    <w:p>
      <w:pPr>
        <w:pStyle w:val="BodyText"/>
      </w:pPr>
      <w:r>
        <w:t xml:space="preserve">Conversely, if π̂₀ is similar across periods, the evidence would be more consistent with a rational equilibration story: the alpha compression post-2011 may reflect a market-wide reduction in gross-alpha opportunity that is priced into flows. Distinguishing these two interpretations — regime-specific skill heterogeneity vs. uniform zero-alpha across regimes — is the core econometric contribution of the sub-period analysis.</w:t>
      </w:r>
    </w:p>
    <w:bookmarkEnd w:id="41"/>
    <w:bookmarkEnd w:id="42"/>
    <w:bookmarkStart w:id="43" w:name="limitations-and-methodological-notes"/>
    <w:p>
      <w:pPr>
        <w:pStyle w:val="Heading1"/>
      </w:pPr>
      <w:r>
        <w:rPr>
          <w:bCs/>
          <w:b/>
        </w:rPr>
        <w:t xml:space="preserve">7. Limitations and Methodological Notes</w:t>
      </w:r>
    </w:p>
    <w:p>
      <w:pPr>
        <w:numPr>
          <w:ilvl w:val="0"/>
          <w:numId w:val="1003"/>
        </w:numPr>
      </w:pPr>
      <w:r>
        <w:t xml:space="preserve">Mean-shift restriction. The Bai-Perron model as estimated here tests only for breaks in the mean of the rolling alpha series. It does not test for breaks in the variance, autocorrelation structure, or trend. If the post-2011 period is characterised not only by a lower mean alpha but also by lower cross-sectional dispersion (consistent with the passive surge narrative), a model allowing for breaks in variance (e.g., Inclan and Tiao 1994) would be a natural extension.</w:t>
      </w:r>
    </w:p>
    <w:p>
      <w:pPr>
        <w:numPr>
          <w:ilvl w:val="0"/>
          <w:numId w:val="1003"/>
        </w:numPr>
      </w:pPr>
      <w:r>
        <w:t xml:space="preserve">Overlap-induced autocorrelation as a nuisance. The rolling estimation windows create strong MA-like serial dependence in the input series ȳₜ, which the HAC correction addresses for confidence intervals. However, the point estimates of break dates from the dynamic programming algorithm are not themselves HAC-corrected — they minimise OLS RSS. Bai and Perron (1998) show that the break fraction estimates remain consistent under heteroskedastic, autocorrelated errors, but convergence rates are slower than under iid errors. The practical implication is that the CI width (7–10 months for Breaks 1–4; 31 months for Break 5) likely understates the true uncertainty for the well-identified early breaks and understates it substantially less for the weakly-identified final break.</w:t>
      </w:r>
    </w:p>
    <w:p>
      <w:pPr>
        <w:numPr>
          <w:ilvl w:val="0"/>
          <w:numId w:val="1003"/>
        </w:numPr>
      </w:pPr>
      <w:r>
        <w:t xml:space="preserve">Five-break BIC solution and small-sample aggregation. The BIC selects five breaks, all of which are statistically retained in the formal output. However, two of the six implied regimes (Period 1 = Dec 1996 – Dec 1999, 37 months; Period 6 = Feb 2023 – Jan 2026, 36 months) are individually shorter than the 60-month minimum recommended by Barras, Scaillet &amp; Wermers (2010) for reliable bootstrap and FDR inference. A design that estimates π̂₀ and the BSW decomposition in every BIC-identified regime would therefore face material small-sample bias in two of the six cells. The aggregation choices documented in §4.3 (Periods 1–3 pooled into P1; Period 6 pooled into P3) resolve this constraint by enforcing T ≥ 60 in every estimated sub-period. The trade-off is that the information in Break 1–3 and Break 5 is not separately exploited in the sub-period tables, although the corresponding break dates and regime means are retained in Table D.1 and Figure D.1 as part of the test output.</w:t>
      </w:r>
    </w:p>
    <w:p>
      <w:pPr>
        <w:numPr>
          <w:ilvl w:val="0"/>
          <w:numId w:val="1003"/>
        </w:numPr>
      </w:pPr>
      <w:r>
        <w:t xml:space="preserve">Endpoint effects. The frozen tail algorithm used in data cleaning may retain one or two LSEG-carried forward observations for funds that died within approximately two months of the February 2026 data pull. This could introduce a small downward bias in the late-2025 cross-sectional means (the end of Period 6 and therefore of P3 under the adopted partition), though its effect on the five break-date estimates is negligible because Period 6 is pooled with Period 5 in all sub-period inference and because the Break 5 date estimate itself has a 31-month confidence interval that already encompasses this source of uncertainty.</w:t>
      </w:r>
    </w:p>
    <w:p>
      <w:pPr>
        <w:numPr>
          <w:ilvl w:val="0"/>
          <w:numId w:val="1003"/>
        </w:numPr>
      </w:pPr>
      <w:r>
        <w:t xml:space="preserve">Structural break test vs. rolling estimation. An alternative approach to regime characterisation is a rolling or recursive estimation of π̂₀ or BSW proportions, which would provide a continuous-time picture of skill heterogeneity rather than a discrete break model. This approach is contemplated as Enhancement C in bootstrap_fdr_enhancements.docx and would complement rather than replace the Bai-Perron analysis.</w:t>
      </w:r>
    </w:p>
    <w:bookmarkEnd w:id="43"/>
    <w:bookmarkStart w:id="44" w:name="references"/>
    <w:p>
      <w:pPr>
        <w:pStyle w:val="Heading1"/>
      </w:pPr>
      <w:r>
        <w:rPr>
          <w:bCs/>
          <w:b/>
        </w:rPr>
        <w:t xml:space="preserve">8. References</w:t>
      </w:r>
    </w:p>
    <w:p>
      <w:pPr>
        <w:pStyle w:val="FirstParagraph"/>
      </w:pPr>
      <w:r>
        <w:t xml:space="preserve">Andrews, D. W. K. (1993). Tests for parameter instability and structural change with unknown change point. Econometrica, 61(4), 821–856.</w:t>
      </w:r>
    </w:p>
    <w:p>
      <w:pPr>
        <w:pStyle w:val="BodyText"/>
      </w:pPr>
      <w:r>
        <w:t xml:space="preserve">Andrews, D. W. K., and Ploberger, W. (1994). Optimal tests when a nuisance parameter is present only under the alternative. Econometrica, 62(6), 1383–1414.</w:t>
      </w:r>
    </w:p>
    <w:p>
      <w:pPr>
        <w:pStyle w:val="BodyText"/>
      </w:pPr>
      <w:r>
        <w:t xml:space="preserve">Andrews, D. W. K. (1991). Heteroskedasticity and autocorrelation consistent covariance matrix estimation. Econometrica, 59(3), 817–858.</w:t>
      </w:r>
    </w:p>
    <w:p>
      <w:pPr>
        <w:pStyle w:val="BodyText"/>
      </w:pPr>
      <w:r>
        <w:t xml:space="preserve">Bai, J. (1997). Estimating multiple breaks one at a time. Econometric Theory, 13(3), 315–352.</w:t>
      </w:r>
    </w:p>
    <w:p>
      <w:pPr>
        <w:pStyle w:val="BodyText"/>
      </w:pPr>
      <w:r>
        <w:t xml:space="preserve">Bai, J., and Perron, P. (1998). Estimating and testing linear models with multiple structural changes. Econometrica, 66(1), 47–78.</w:t>
      </w:r>
    </w:p>
    <w:p>
      <w:pPr>
        <w:pStyle w:val="BodyText"/>
      </w:pPr>
      <w:r>
        <w:t xml:space="preserve">Bai, J., and Perron, P. (2003). Computation and analysis of multiple structural change models. Journal of Applied Econometrics, 18(1), 1–22.</w:t>
      </w:r>
    </w:p>
    <w:p>
      <w:pPr>
        <w:pStyle w:val="BodyText"/>
      </w:pPr>
      <w:r>
        <w:t xml:space="preserve">Barras, L., Scaillet, O., and Wermers, R. (2010). False discoveries in mutual fund performance: Measuring luck in estimated alphas. Journal of Finance, 65(1), 179–216.</w:t>
      </w:r>
    </w:p>
    <w:p>
      <w:pPr>
        <w:pStyle w:val="BodyText"/>
      </w:pPr>
      <w:r>
        <w:t xml:space="preserve">Carhart, M. M. (1997). On persistence in mutual fund performance. Journal of Finance, 52(1), 57–82.</w:t>
      </w:r>
    </w:p>
    <w:p>
      <w:pPr>
        <w:pStyle w:val="BodyText"/>
      </w:pPr>
      <w:r>
        <w:t xml:space="preserve">Evans, R. B. (2010). Mutual fund incubation. Journal of Finance, 65(4), 1581–1611.</w:t>
      </w:r>
    </w:p>
    <w:p>
      <w:pPr>
        <w:pStyle w:val="BodyText"/>
      </w:pPr>
      <w:r>
        <w:t xml:space="preserve">Fama, E. F., and French, K. R. (2010). Luck versus skill in the cross-section of mutual fund returns. Journal of Finance, 65(5), 1915–1947.</w:t>
      </w:r>
    </w:p>
    <w:p>
      <w:pPr>
        <w:pStyle w:val="BodyText"/>
      </w:pPr>
      <w:r>
        <w:t xml:space="preserve">Inclan, C., and Tiao, G. C. (1994). Use of cumulative sums of squares for retrospective detection of changes of variance. Journal of the American Statistical Association, 89(427), 913–923.</w:t>
      </w:r>
    </w:p>
    <w:p>
      <w:pPr>
        <w:pStyle w:val="BodyText"/>
      </w:pPr>
      <w:r>
        <w:t xml:space="preserve">Liu, J., Wu, S., and Zidek, J. V. (1997). On segmented multivariate regressions. Statistica Sinica, 7(2), 497–525.</w:t>
      </w:r>
    </w:p>
    <w:p>
      <w:pPr>
        <w:pStyle w:val="BodyText"/>
      </w:pPr>
      <w:r>
        <w:t xml:space="preserve">Newey, W. K., and West, K. D. (1987). A simple, positive semi-definite, heteroskedasticity and autocorrelation consistent covariance matrix. Econometrica, 55(3), 703–708.</w:t>
      </w:r>
    </w:p>
    <w:p>
      <w:pPr>
        <w:pStyle w:val="BodyText"/>
      </w:pPr>
      <w:r>
        <w:t xml:space="preserve">Storey, J. D. (2002). A direct approach to false discovery rates. Journal of the Royal Statistical Society: Series B, 64(3), 479–498.</w:t>
      </w:r>
    </w:p>
    <w:p>
      <w:pPr>
        <w:pStyle w:val="BodyText"/>
      </w:pPr>
      <w:r>
        <w:t xml:space="preserve">Zeileis, A., Leisch, F., Hornik, K., and Kleiber, C. (2002). strucchange: An R package for testing for structural change in linear regression models. Journal of Statistical Software, 7(2), 1–38.</w:t>
      </w:r>
    </w:p>
    <w:p>
      <w:pPr>
        <w:pStyle w:val="BodyText"/>
      </w:pPr>
      <w:r>
        <w:t xml:space="preserve">Zeileis, A., Kleiber, C., Krämer, W., and Hornik, K. (2003). Testing and dating of structural changes in practice. Computational Statistics and Data Analysis, 44(1–2), 109–123.</w:t>
      </w:r>
    </w:p>
    <w:p>
      <w:pPr>
        <w:pStyle w:val="BodyText"/>
      </w:pPr>
      <w:r>
        <w:rPr>
          <w:iCs/>
          <w:i/>
        </w:rPr>
        <w:t xml:space="preserve">Document prepared April 2026. Corresponds to Appendix D of the dissertation results compilation.</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2026-04-18T16:47:49Z</dcterms:created>
  <dcterms:modified xsi:type="dcterms:W3CDTF">2026-04-18T16:47:49Z</dcterms:modified>
</cp:coreProperties>
</file>

<file path=docProps/custom.xml><?xml version="1.0" encoding="utf-8"?>
<Properties xmlns="http://schemas.openxmlformats.org/officeDocument/2006/custom-properties" xmlns:vt="http://schemas.openxmlformats.org/officeDocument/2006/docPropsVTypes"/>
</file>