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THE ACTIVE MANAGEMENT PUZZLE</w:t>
            </w:r>
          </w:p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D9D9D9"/>
                <w:sz w:val="22"/>
                <w:szCs w:val="22"/>
              </w:rPr>
              <w:t xml:space="preserve">R Script Pipeline: Sequence, Inputs, and Outputs</w:t>
            </w:r>
          </w:p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D9D9D9"/>
                <w:sz w:val="20"/>
                <w:szCs w:val="20"/>
              </w:rPr>
              <w:t xml:space="preserve">PhD Dissertation — Management Department, Boğaziçi University</w:t>
            </w:r>
          </w:p>
        </w:tc>
      </w:tr>
    </w:tbl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Pipeline Overview</w:t>
      </w:r>
    </w:p>
    <w:p>
      <w:pPr>
        <w:spacing w:after="10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The analytical pipeline consists of eight R scripts that transform raw LSEG fund data into publication-ready LaTeX tables and figures. Scripts 1–2 are strictly sequential (each script's outputs are required inputs to the next). Scripts 5a and 5b (alpha_reporting.R and portfolio_sorts.R) are parallel and can be run in either order after Script 4. Scripts 6 and 7 are independent and can be run at any time after Script 4.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000"/>
        <w:gridCol w:w="2280"/>
        <w:gridCol w:w="3480"/>
      </w:tblGrid>
      <w:tr>
        <w:trPr>
          <w:tblHeader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Script</w:t>
            </w:r>
          </w:p>
        </w:tc>
        <w:tc>
          <w:tcPr>
            <w:tcW w:type="dxa" w:w="2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Role</w:t>
            </w:r>
          </w:p>
        </w:tc>
      </w:tr>
      <w:t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3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data_import_and_cleaning.R</w:t>
            </w:r>
          </w:p>
        </w:tc>
        <w:tc>
          <w:tcPr>
            <w:tcW w:type="dxa" w:w="2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v1.1</w:t>
            </w:r>
          </w:p>
        </w:tc>
        <w:tc>
          <w:tcPr>
            <w:tcW w:type="dxa" w:w="34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Data ingestion, panel construction, cleaning</w:t>
            </w:r>
          </w:p>
        </w:tc>
      </w:tr>
      <w:t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3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flow_calculation.R</w:t>
            </w:r>
          </w:p>
        </w:tc>
        <w:tc>
          <w:tcPr>
            <w:tcW w:type="dxa" w:w="2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v1.0</w:t>
            </w:r>
          </w:p>
        </w:tc>
        <w:tc>
          <w:tcPr>
            <w:tcW w:type="dxa" w:w="34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Sirri-Tufano flow construction and validation</w:t>
            </w:r>
          </w:p>
        </w:tc>
      </w:tr>
      <w:t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3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descriptive_statistics.R</w:t>
            </w:r>
          </w:p>
        </w:tc>
        <w:tc>
          <w:tcPr>
            <w:tcW w:type="dxa" w:w="2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v2.0</w:t>
            </w:r>
          </w:p>
        </w:tc>
        <w:tc>
          <w:tcPr>
            <w:tcW w:type="dxa" w:w="34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Tables 1–4 and Appendix A; Figure 1</w:t>
            </w:r>
          </w:p>
        </w:tc>
      </w:tr>
      <w:t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3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alpha_estimation.R</w:t>
            </w:r>
          </w:p>
        </w:tc>
        <w:tc>
          <w:tcPr>
            <w:tcW w:type="dxa" w:w="2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v2.5</w:t>
            </w:r>
          </w:p>
        </w:tc>
        <w:tc>
          <w:tcPr>
            <w:tcW w:type="dxa" w:w="34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Full-period alphas, rolling regressions, bootstrap, BSW</w:t>
            </w:r>
          </w:p>
        </w:tc>
      </w:tr>
      <w:t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5a</w:t>
            </w:r>
          </w:p>
        </w:tc>
        <w:tc>
          <w:tcPr>
            <w:tcW w:type="dxa" w:w="3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alpha_reporting.R</w:t>
            </w:r>
          </w:p>
        </w:tc>
        <w:tc>
          <w:tcPr>
            <w:tcW w:type="dxa" w:w="2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v7.8</w:t>
            </w:r>
          </w:p>
        </w:tc>
        <w:tc>
          <w:tcPr>
            <w:tcW w:type="dxa" w:w="34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Tables 5–8 (main) and Appendix B; Figures 2–3</w:t>
            </w:r>
          </w:p>
        </w:tc>
      </w:tr>
      <w:t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5b</w:t>
            </w:r>
          </w:p>
        </w:tc>
        <w:tc>
          <w:tcPr>
            <w:tcW w:type="dxa" w:w="3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portfolio_sorts.R</w:t>
            </w:r>
          </w:p>
        </w:tc>
        <w:tc>
          <w:tcPr>
            <w:tcW w:type="dxa" w:w="2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v1.0</w:t>
            </w:r>
          </w:p>
        </w:tc>
        <w:tc>
          <w:tcPr>
            <w:tcW w:type="dxa" w:w="34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Tables 9–13 (portfolio sort results)</w:t>
            </w:r>
          </w:p>
        </w:tc>
      </w:tr>
      <w:t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3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build_ff_tables_manual.R</w:t>
            </w:r>
          </w:p>
        </w:tc>
        <w:tc>
          <w:tcPr>
            <w:tcW w:type="dxa" w:w="2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v1.0</w:t>
            </w:r>
          </w:p>
        </w:tc>
        <w:tc>
          <w:tcPr>
            <w:tcW w:type="dxa" w:w="34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Appendix C (FF 2010 subperiod replication)</w:t>
            </w:r>
          </w:p>
        </w:tc>
      </w:tr>
      <w:t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dxa" w:w="3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structural_break_test.R</w:t>
            </w:r>
          </w:p>
        </w:tc>
        <w:tc>
          <w:tcPr>
            <w:tcW w:type="dxa" w:w="2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v1.0</w:t>
            </w:r>
          </w:p>
        </w:tc>
        <w:tc>
          <w:tcPr>
            <w:tcW w:type="dxa" w:w="34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Appendix D.1 (Bai-Perron break test)</w:t>
            </w:r>
          </w:p>
        </w:tc>
      </w:tr>
    </w:tbl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0"/>
          <w:szCs w:val="20"/>
        </w:rPr>
        <w:t xml:space="preserve">Execution order with dependency arrows: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Script 1  →  Script 2  →  Script 3
                                  ↓
                             Script 4  →  Script 5a  →  LaTeX
                                       →  Script 5b  →  LaTeX
                                       →  Script 6   →  LaTeX
                                       →  Script 7   →  LaTeX</w:t>
            </w:r>
          </w:p>
        </w:tc>
      </w:tr>
    </w:tbl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External Data Sources</w:t>
      </w:r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All data is imported via Excel files. No direct database connections are used during script execution.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1680"/>
        <w:gridCol w:w="2280"/>
      </w:tblGrid>
      <w:tr>
        <w:trPr>
          <w:tblHeader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File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Source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Frequency</w:t>
            </w:r>
          </w:p>
        </w:tc>
        <w:tc>
          <w:tcPr>
            <w:tcW w:type="dxa" w:w="2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Used in</w:t>
            </w:r>
          </w:p>
        </w:tc>
      </w:tr>
      <w:tr>
        <w:tc>
          <w:tcPr>
            <w:tcW w:type="dxa" w:w="2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fund_data.xlsx</w:t>
            </w:r>
          </w:p>
        </w:tc>
        <w:tc>
          <w:tcPr>
            <w:tcW w:type="dxa" w:w="3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LSEG Workspace Excel add-in (manual pull)</w:t>
            </w:r>
          </w:p>
        </w:tc>
        <w:tc>
          <w:tcPr>
            <w:tcW w:type="dxa" w:w="16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Monthly</w:t>
            </w:r>
          </w:p>
        </w:tc>
        <w:tc>
          <w:tcPr>
            <w:tcW w:type="dxa" w:w="2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Script 1</w:t>
            </w:r>
          </w:p>
        </w:tc>
      </w:tr>
      <w:tr>
        <w:tc>
          <w:tcPr>
            <w:tcW w:type="dxa" w:w="2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lipper.xlsx</w:t>
            </w:r>
          </w:p>
        </w:tc>
        <w:tc>
          <w:tcPr>
            <w:tcW w:type="dxa" w:w="3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LSEG Workspace (Lipper classification)</w:t>
            </w:r>
          </w:p>
        </w:tc>
        <w:tc>
          <w:tcPr>
            <w:tcW w:type="dxa" w:w="16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Static</w:t>
            </w:r>
          </w:p>
        </w:tc>
        <w:tc>
          <w:tcPr>
            <w:tcW w:type="dxa" w:w="2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Script 1</w:t>
            </w:r>
          </w:p>
        </w:tc>
      </w:tr>
      <w:tr>
        <w:tc>
          <w:tcPr>
            <w:tcW w:type="dxa" w:w="2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Benchmark_Assignment_updated.xlsx</w:t>
            </w:r>
          </w:p>
        </w:tc>
        <w:tc>
          <w:tcPr>
            <w:tcW w:type="dxa" w:w="3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Manual assignment (Russell RICs)</w:t>
            </w:r>
          </w:p>
        </w:tc>
        <w:tc>
          <w:tcPr>
            <w:tcW w:type="dxa" w:w="16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Static</w:t>
            </w:r>
          </w:p>
        </w:tc>
        <w:tc>
          <w:tcPr>
            <w:tcW w:type="dxa" w:w="2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Script 4</w:t>
            </w:r>
          </w:p>
        </w:tc>
      </w:tr>
      <w:tr>
        <w:tc>
          <w:tcPr>
            <w:tcW w:type="dxa" w:w="2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FF factor files (CSV)</w:t>
            </w:r>
          </w:p>
        </w:tc>
        <w:tc>
          <w:tcPr>
            <w:tcW w:type="dxa" w:w="3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French Data Library (monthly decimal)</w:t>
            </w:r>
          </w:p>
        </w:tc>
        <w:tc>
          <w:tcPr>
            <w:tcW w:type="dxa" w:w="16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Monthly</w:t>
            </w:r>
          </w:p>
        </w:tc>
        <w:tc>
          <w:tcPr>
            <w:tcW w:type="dxa" w:w="2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Script 4</w:t>
            </w:r>
          </w:p>
        </w:tc>
      </w:tr>
      <w:tr>
        <w:tc>
          <w:tcPr>
            <w:tcW w:type="dxa" w:w="2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flagged_funds.xlsx</w:t>
            </w:r>
          </w:p>
        </w:tc>
        <w:tc>
          <w:tcPr>
            <w:tcW w:type="dxa" w:w="3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Manual review / project audit</w:t>
            </w:r>
          </w:p>
        </w:tc>
        <w:tc>
          <w:tcPr>
            <w:tcW w:type="dxa" w:w="16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Static</w:t>
            </w:r>
          </w:p>
        </w:tc>
        <w:tc>
          <w:tcPr>
            <w:tcW w:type="dxa" w:w="2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Script 1</w:t>
            </w:r>
          </w:p>
        </w:tc>
      </w:tr>
      <w:tr>
        <w:tc>
          <w:tcPr>
            <w:tcW w:type="dxa" w:w="2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AAII.xlsx / UMCSENT.xlsx</w:t>
            </w:r>
          </w:p>
        </w:tc>
        <w:tc>
          <w:tcPr>
            <w:tcW w:type="dxa" w:w="3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AAII / FRED (public)</w:t>
            </w:r>
          </w:p>
        </w:tc>
        <w:tc>
          <w:tcPr>
            <w:tcW w:type="dxa" w:w="16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Monthly</w:t>
            </w:r>
          </w:p>
        </w:tc>
        <w:tc>
          <w:tcPr>
            <w:tcW w:type="dxa" w:w="2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Future: H1</w:t>
            </w:r>
          </w:p>
        </w:tc>
      </w:tr>
      <w:tr>
        <w:tc>
          <w:tcPr>
            <w:tcW w:type="dxa" w:w="2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VIXFRED.xlsx / SKEWInvesting.csv</w:t>
            </w:r>
          </w:p>
        </w:tc>
        <w:tc>
          <w:tcPr>
            <w:tcW w:type="dxa" w:w="3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FRED / Investing.com (public)</w:t>
            </w:r>
          </w:p>
        </w:tc>
        <w:tc>
          <w:tcPr>
            <w:tcW w:type="dxa" w:w="16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Monthly</w:t>
            </w:r>
          </w:p>
        </w:tc>
        <w:tc>
          <w:tcPr>
            <w:tcW w:type="dxa" w:w="2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Future: H1</w:t>
            </w:r>
          </w:p>
        </w:tc>
      </w:tr>
      <w:tr>
        <w:tc>
          <w:tcPr>
            <w:tcW w:type="dxa" w:w="2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Putcall_ratioCBOE.csv</w:t>
            </w:r>
          </w:p>
        </w:tc>
        <w:tc>
          <w:tcPr>
            <w:tcW w:type="dxa" w:w="3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CBOE (public)</w:t>
            </w:r>
          </w:p>
        </w:tc>
        <w:tc>
          <w:tcPr>
            <w:tcW w:type="dxa" w:w="16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Daily → Monthly</w:t>
            </w:r>
          </w:p>
        </w:tc>
        <w:tc>
          <w:tcPr>
            <w:tcW w:type="dxa" w:w="2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Future: H1</w:t>
            </w:r>
          </w:p>
        </w:tc>
      </w:tr>
      <w:tr>
        <w:tc>
          <w:tcPr>
            <w:tcW w:type="dxa" w:w="2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Sentiment.xlsx</w:t>
            </w:r>
          </w:p>
        </w:tc>
        <w:tc>
          <w:tcPr>
            <w:tcW w:type="dxa" w:w="3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Baker-Wurgler (composite)</w:t>
            </w:r>
          </w:p>
        </w:tc>
        <w:tc>
          <w:tcPr>
            <w:tcW w:type="dxa" w:w="16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Monthly</w:t>
            </w:r>
          </w:p>
        </w:tc>
        <w:tc>
          <w:tcPr>
            <w:tcW w:type="dxa" w:w="2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Future: H1</w:t>
            </w:r>
          </w:p>
        </w:tc>
      </w:tr>
    </w:tbl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Script Reference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5F8A"/>
          <w:sz w:val="24"/>
          <w:szCs w:val="24"/>
        </w:rPr>
        <w:t xml:space="preserve">Script 1: data_import_and_cleaning.R  (v1.1)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Script 1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data_import_and_cleaning.R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D9D9D9"/>
                <w:sz w:val="18"/>
                <w:szCs w:val="18"/>
              </w:rPr>
              <w:t xml:space="preserve">Version 1.1</w:t>
            </w:r>
          </w:p>
        </w:tc>
      </w:tr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5F8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Purpose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Reads the raw LSEG fund_data.xlsx file, reshapes from wide (date columns) to long format, applies six cleaning steps, and produces three analysis-ready panel data frames held in the R environment.</w:t>
            </w:r>
          </w:p>
        </w:tc>
      </w:tr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5F8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Inputs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fund_data.xlsx  —  LSEG Workspace pull: ticker, return series, TNA, expense ratio, turnover, classification fields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lipper.xlsx  —  Lipper investment objective codes from LSEG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flagged_funds.xlsx  —  Two confirmed data-error exclusions (QWVOX, VALLCEN)</w:t>
            </w:r>
          </w:p>
        </w:tc>
      </w:tr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5F8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Outputs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panel_master  (R object)  —  no corrections, no date restriction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panel_incubation  (R object)  —  Evans (2010) 36-month age filter applied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panel_trimmed  (R object)  —  Evans filter + Jan 1995 – Dec 2023 restriction</w:t>
            </w:r>
          </w:p>
        </w:tc>
      </w:tr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5F8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Key Steps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• Wide-to-long reshape; date column parsing (Excel serial, ISO, Mon-YYYY)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• Frozen tail removal: drops LSEG forward-filled post-closure observations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• Return winsorisation at 1st/99th percentile (cross-sectional, monthly)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• Evans (2010) incubation correction: first 36 months of each fund's history dropped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• Confirmed data error exclusion: QWVOX US Equity, VALLCEN US Equity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• Leveraged/derivative passive exclusion: Rydex 2x, ProFunds UltraSector, Direxion products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• Net return approximation: ret_gross − Expense_Ratio/1200 (BSW 2010 convention)</w:t>
            </w:r>
          </w:p>
        </w:tc>
      </w:tr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55A1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Notes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2C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• LSEG serves identical index series for both gross and net total return fields — net returns are approximated by deducting one-twelfth of the static annual expense ratio, not taken directly from LSEG.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• LSEG Close_Date field is unreliable across all fund status categories; frozen tail algorithm used instead (three consecutive identical index values trigger flag).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• The Evans (2010) correction raises, not lowers, mean returns in the corrected panel: the survivorship-truncation effect dominates the incubation-purging effect.</w:t>
            </w:r>
          </w:p>
        </w:tc>
      </w:tr>
    </w:tbl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5F8A"/>
          <w:sz w:val="24"/>
          <w:szCs w:val="24"/>
        </w:rPr>
        <w:t xml:space="preserve">Script 2: flow_calculation.R  (v1.0)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Script 2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flow_calculation.R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D9D9D9"/>
                <w:sz w:val="18"/>
                <w:szCs w:val="18"/>
              </w:rPr>
              <w:t xml:space="preserve">Version 1.0</w:t>
            </w:r>
          </w:p>
        </w:tc>
      </w:tr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5F8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Purpose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Computes Sirri and Tufano (1998) proportional fund flows from TNA and unwinsorised net returns, appends the result to all three panels, and performs a cross-validation against LSEG-supplied fund_flow values.</w:t>
            </w:r>
          </w:p>
        </w:tc>
      </w:tr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5F8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Inputs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panel_master, panel_incubation, panel_trimmed  (from Script 1, in R environment)</w:t>
            </w:r>
          </w:p>
        </w:tc>
      </w:tr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5F8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Outputs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panel_master, panel_incubation, panel_trimmed updated in R environment with added flow columns: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 tna, tna_lag, flow_calc (USD mn), flow_calc_pct, flow_calc_pct_win, is_december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 flow_lseg_pct, flow_lseg_pct_win  (LSEG validation series only, not used in analysis)</w:t>
            </w:r>
          </w:p>
        </w:tc>
      </w:tr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5F8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Key Steps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• Flow formula: Flow_{i,t} = TNA_{i,t} − TNA_{i,t−1} × (1 + R_{i,t}), where R is the unwinsorised net return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• TNA source hierarchy: FUND_CLASS_ASSETS preferred; FUND_TOTAL_ASSETS as fallback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• December observations flagged and excluded from flow analysis (year-end capital gains contamination)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• Flow proportionalised by lagged TNA and winsorised at 1st/99th percentile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• LSEG-supplied flows retained as validation series only, not used in Sirri-Tufano regressions</w:t>
            </w:r>
          </w:p>
        </w:tc>
      </w:tr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55A1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Notes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2C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• The flow identity uses ret_net_raw (unwinsorised) as input, not ret_net. Plugging winsorised returns into a balance-sheet identity produces fictitious asset growth.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• Winsorisation is applied to the output (flow_calc_pct_win), not to the inputs of the flow identity.</w:t>
            </w:r>
          </w:p>
        </w:tc>
      </w:tr>
    </w:tbl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5F8A"/>
          <w:sz w:val="24"/>
          <w:szCs w:val="24"/>
        </w:rPr>
        <w:t xml:space="preserve">Script 3: descriptive_statistics.R  (v2.0)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Script 3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descriptive_statistics.R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D9D9D9"/>
                <w:sz w:val="18"/>
                <w:szCs w:val="18"/>
              </w:rPr>
              <w:t xml:space="preserve">Version 2.0</w:t>
            </w:r>
          </w:p>
        </w:tc>
      </w:tr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5F8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Purpose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Produces all descriptive tables (Tables 1–4 and Appendix A) and Figure 1 (fund flows). Tables are output as kableExtra-generated .tex files for direct input into the Overleaf LaTeX document.</w:t>
            </w:r>
          </w:p>
        </w:tc>
      </w:tr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5F8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Inputs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panel_master, panel_incubation, panel_trimmed  (from Script 2, in R environment)</w:t>
            </w:r>
          </w:p>
        </w:tc>
      </w:tr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5F8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Outputs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table_fund_counts.tex  —  Table 1: Fund sample composition by panel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table_desc_stats.tex  —  Table 2: Trimmed panel summary statistics (main text)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table_return_dist.tex  —  Table 3: Monthly gross return distribution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table_coverage.tex  —  Table 4: Time-series coverage per fund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table_desc_stats_master.tex  —  Table A.1 (Appendix A): Master panel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table_desc_stats_incub.tex  —  Table A.2 (Appendix A): Incubation-corrected panel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fig_fund_flows.png / .pdf  —  Figure 1: Average monthly proportional fund flows</w:t>
            </w:r>
          </w:p>
        </w:tc>
      </w:tr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5F8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Key Steps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• Cross-sectional summary statistics at fund level: mean, VW mean, median, SD, P10, P90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• VW Mean weights each fund's time-series mean by its time-series mean TNA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• Return distribution: Pearson skewness, excess kurtosis at fund-month level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• Figure 1: 12-month centred rolling mean of cross-sectional EW mean fund flow (active vs. passive)</w:t>
            </w:r>
          </w:p>
        </w:tc>
      </w:tr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55A1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Notes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2C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• kableExtra threeparttable footnotes require quadruple backslashes (\\\\cmd) for any LaTeX command — single or double backslashes produce truncation at % characters or missing commands.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• All .tex files go into the tables/ subdirectory in Overleaf.</w:t>
            </w:r>
          </w:p>
        </w:tc>
      </w:tr>
    </w:tbl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r>
        <w:br w:type="pag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5F8A"/>
          <w:sz w:val="24"/>
          <w:szCs w:val="24"/>
        </w:rPr>
        <w:t xml:space="preserve">Script 4: alpha_estimation.R  (v2.5)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Script 4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alpha_estimation.R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D9D9D9"/>
                <w:sz w:val="18"/>
                <w:szCs w:val="18"/>
              </w:rPr>
              <w:t xml:space="preserve">Version 2.5  (NW bootstrap SE)</w:t>
            </w:r>
          </w:p>
        </w:tc>
      </w:tr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5F8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Purpose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The computational core of the pipeline. Estimates full-period and rolling Carhart (1997) four-factor alphas for every fund, runs the Fama-French (2010) bootstrap, and computes the Storey (2002) π₀ estimate and BSW (2010) four-way decomposition. Optimised for multi-core execution.</w:t>
            </w:r>
          </w:p>
        </w:tc>
      </w:tr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5F8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Inputs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panel_trimmed  (from Script 2, in R environment)  —  primary estimation sample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FF/Carhart factor files  —  Ken French Data Library monthly decimal factors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Benchmark_Assignment_updated.xlsx  —  benchmark RIC mapping (used for H3 activeness proxy)</w:t>
            </w:r>
          </w:p>
        </w:tc>
      </w:tr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5F8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Outputs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alpha_fullperiod.xlsx  —  full-period OLS + Newey-West t-stat per fund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alpha_rolling.xlsx  —  36-month rolling Carhart alpha with NW SE per fund-month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rank_data.xlsx  —  annual performance ranks within Lipper category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bootstrap_results.xlsx  —  4 sheets: bootstrap summary percentiles, fund-level t-stats, BSW decomposition, BSW metadata</w:t>
            </w:r>
          </w:p>
        </w:tc>
      </w:tr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5F8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Key Steps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• Full-period Carhart 4-factor OLS with Newey-West HAC SE (6-month lag)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• Parallel 36-month rolling regressions using parLapply across all tickers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• Net alpha approximation: monthly gross alpha − Expense_Ratio/1200 per fund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• FF (2010) bootstrap: B = 10,000 calendar-month resamples with replacement; NW SE on each resampled series (v2.5 change — previously OLS SE)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• Storey (2002) π₀ estimator at λ = 0.5 on Newey-West p-values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• BSW (2010) four-way decomposition: S⁻, S⁺, F, T⁻, T⁺ across gamma grid 5%–50%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• Annual rank construction: cumulative 12-month gross return within Lipper class</w:t>
            </w:r>
          </w:p>
        </w:tc>
      </w:tr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55A1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Notes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2C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• v2.5 critical fix: bootstrap now uses Newey-West SE (same lag as full-period), not OLS SE. The previous version produced an apples-to-oranges comparison between actual and simulated t-statistics.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• Bootstrap is restricted to actively managed funds only (alpha_full_bs). Using all fund groups was a prior bug corrected in v2.3.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• mean_tna is appended to alpha_fullperiod.xlsx from v2.4 onwards for VW weighting in alpha_reporting.R.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• Compute cost: ~2.6× higher than v2.4 due to NW SE in bootstrap inner loop. Expect 30–60 minutes on a modern multi-core machine.</w:t>
            </w:r>
          </w:p>
        </w:tc>
      </w:tr>
    </w:tbl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5F8A"/>
          <w:sz w:val="24"/>
          <w:szCs w:val="24"/>
        </w:rPr>
        <w:t xml:space="preserve">Script 5a: alpha_reporting.R  (v7.8)  [Parallel with 5b]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Script 5a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alpha_reporting.R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D9D9D9"/>
                <w:sz w:val="18"/>
                <w:szCs w:val="18"/>
              </w:rPr>
              <w:t xml:space="preserve">Version 7.8</w:t>
            </w:r>
          </w:p>
        </w:tc>
      </w:tr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5F8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Purpose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Reads the Excel outputs from Script 4 and produces all performance and skill tables (main text Tables 5–8 and Appendix B) plus Figures 2–3. Runs independently of Script 5b.</w:t>
            </w:r>
          </w:p>
        </w:tc>
      </w:tr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5F8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Inputs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alpha_fullperiod.xlsx  —  full-period alphas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alpha_rolling.xlsx  —  rolling alphas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bootstrap_results.xlsx  —  bootstrap summary sheet</w:t>
            </w:r>
          </w:p>
        </w:tc>
      </w:tr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5F8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Outputs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table_perf_aggregate.tex  —  Table 5: Aggregate alpha by group (main text)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table_perf_by_lipper.tex  —  Table B.1: Net alpha by Lipper style class (Appendix B)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table_bootstrap_tails.tex  —  Table 6: FF (2010) bootstrap percentiles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table_pi0_estimate.tex  —  Table 7: Storey π₀ aggregate skill estimate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table10b_bsw_decomposition.tex  —  Table 8: BSW four-way decomposition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fig_rolling_alphas.png  —  Figure 2: Time-varying alphas (rolling window)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fig_luck_vs_skill_combined.png  —  Figure 3: CDF and PDF of alpha t-statistics</w:t>
            </w:r>
          </w:p>
        </w:tc>
      </w:tr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5F8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Key Steps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• Aggregate alpha summary: EW and VW mean across active, passive, unknown, and full sample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• Lipper breakdown: net alpha by investment objective code (longtable, Appendix B)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• Figure 2: 12-month trailing mean of 36-month rolling EW cross-sectional alpha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• Bootstrap table: actual vs. simulated t(α̂) percentiles at P1/P5/P10/P50/P90/P95/P99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• π₀ and BSW tables using Storey (2002) estimator with λ = 0.5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• Figure 3: dual-panel CDF and PDF of alpha t-statistics vs. zero-skill null</w:t>
            </w:r>
          </w:p>
        </w:tc>
      </w:tr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55A1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Notes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2C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• kableExtra backslash-stripping rule: any LaTeX command in a threeparttable footnote needs \\\\cmd (4 backslashes in R source) to survive one level of kableExtra stripping.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• Table 5 uses alpha_full_bs (no Lipper filter) as its population, not alpha_full_cleaned. Using the Lipper-filtered set would silently undercount Unknown-classified funds.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• The Lipper table (table_perf_by_lipper.tex) uses the Lipper-filtered set — Lipper is the grouping variable, so the filter is appropriate there.</w:t>
            </w:r>
          </w:p>
        </w:tc>
      </w:tr>
    </w:tbl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5F8A"/>
          <w:sz w:val="24"/>
          <w:szCs w:val="24"/>
        </w:rPr>
        <w:t xml:space="preserve">Script 5b: portfolio_sorts.R  (v1.0)  [Parallel with 5a]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Script 5b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portfolio_sorts.R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D9D9D9"/>
                <w:sz w:val="18"/>
                <w:szCs w:val="18"/>
              </w:rPr>
              <w:t xml:space="preserve">Version 1.0</w:t>
            </w:r>
          </w:p>
        </w:tc>
      </w:tr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5F8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Purpose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Constructs quintile portfolios sorted by size, momentum, and fee level; runs Carhart (1997) four-factor time-series regressions on each portfolio; produces Tables 9–13.</w:t>
            </w:r>
          </w:p>
        </w:tc>
      </w:tr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5F8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Inputs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panel_trimmed  (from Script 2, in R environment)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alpha_fullperiod.xlsx  (for sort variable construction)</w:t>
            </w:r>
          </w:p>
        </w:tc>
      </w:tr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5F8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Outputs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table_port_chars.tex  —  Table 9: Portfolio characteristics by sort and quintile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table_port_agg_alpha.tex  —  Table 10: Aggregate active vs. passive portfolio alpha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table_port_size_alpha.tex  —  Table 11: Alpha and factor loadings by size quintile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table_port_mom_alpha.tex  —  Table 12: Alpha and factor loadings by momentum quintile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table_port_fee_alpha.tex  —  Table 13: Alpha and factor loadings by fee quintile</w:t>
            </w:r>
          </w:p>
        </w:tc>
      </w:tr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5F8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Key Steps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• Monthly quintile sorts within active and passive groups separately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• Size sort: log(TNA_{t−1}); Momentum sort: cumulative gross return t−12 to t−2, skipping t−1 (Jegadeesh and Titman 1993); Fee sort: static annual expense ratio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• EW and VW aggregate time-series for each quintile; Carhart (1997) CAPM / FF3 / four-factor regressions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• Newey-West t-statistics with 6-month lag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• Long-short Q5−Q1 spread portfolios; risk-free rate cancels in self-financing construction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• Leveraged/derivative-based passive funds excluded prior to fee sort</w:t>
            </w:r>
          </w:p>
        </w:tc>
      </w:tr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55A1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Notes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2C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• Tables 11–13 use longtable format via longtable_note() helper — backslash convention for LaTeX commands is single \\ (not quadruple), because longtable_note() does not strip backslashes.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• Table 10 uses kableExtra with threeparttable — requires quadruple backslashes for LaTeX commands in footnotes.</w:t>
            </w:r>
          </w:p>
        </w:tc>
      </w:tr>
    </w:tbl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r>
        <w:br w:type="pag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5F8A"/>
          <w:sz w:val="24"/>
          <w:szCs w:val="24"/>
        </w:rPr>
        <w:t xml:space="preserve">Script 6: build_ff_tables_manual.R  (v1.0)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Script 6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build_ff_tables_manual.R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D9D9D9"/>
                <w:sz w:val="18"/>
                <w:szCs w:val="18"/>
              </w:rPr>
              <w:t xml:space="preserve">Version 1.0</w:t>
            </w:r>
          </w:p>
        </w:tc>
      </w:tr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5F8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Purpose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Re-runs all performance and skill analyses on the Jan 1995–Sep 2006 subperiod (maximum overlap with Fama and French 2010) and produces Appendix C tables using hand-crafted LaTeX rather than kableExtra.</w:t>
            </w:r>
          </w:p>
        </w:tc>
      </w:tr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5F8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Inputs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alpha_fullperiod.xlsx  (subperiod-filtered internally by the script)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bootstrap_results.xlsx  (subperiod bootstrap results — script recomputes)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panel_trimmed  (in R environment, for subperiod portfolio alpha regression)</w:t>
            </w:r>
          </w:p>
        </w:tc>
      </w:tr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5F8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Outputs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table_perf_aggregate_FF.tex  —  Table C.1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table_bootstrap_tails_FF.tex  —  Table C.2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table_pi0_estimate_FF.tex  —  Table C.3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table10b_bsw_decomposition_FF.tex  —  Table C.4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table_port_agg_alpha_FF.tex  —  Table C.5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fig_luck_vs_skill_combined_FF.png  —  Figure C.1</w:t>
            </w:r>
          </w:p>
        </w:tc>
      </w:tr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5F8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Key Steps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• Filters alpha_fullperiod.xlsx to Jan 1995–Sep 2006 internally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• Re-runs FF (2010) bootstrap (B = 10,000) and BSW decomposition on the subperiod active fund set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• Produces raw LaTeX strings using paste0() / c() rather than kableExtra — tablenotes environment used for footnotes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• Designed for direct comparison with Fama and French (2010, JF) Tables I–III</w:t>
            </w:r>
          </w:p>
        </w:tc>
      </w:tr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55A1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Notes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2C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• Uses raw LaTeX string construction (not kableExtra). Backslash convention: single \\ in R source = single \ in LaTeX output. No kableExtra stripping applies here.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• Bootstrap is re-run from scratch inside this script using the subperiod fund set; it does not read the full-sample bootstrap_results.xlsx for the FF replication.</w:t>
            </w:r>
          </w:p>
        </w:tc>
      </w:tr>
    </w:tbl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5F8A"/>
          <w:sz w:val="24"/>
          <w:szCs w:val="24"/>
        </w:rPr>
        <w:t xml:space="preserve">Script 7: structural_break_test.R  (v1.0)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Script 7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structural_break_test.R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D9D9D9"/>
                <w:sz w:val="18"/>
                <w:szCs w:val="18"/>
              </w:rPr>
              <w:t xml:space="preserve">Version 1.0</w:t>
            </w:r>
          </w:p>
        </w:tc>
      </w:tr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5F8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Purpose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Applies the Bai and Perron (1998, 2003) multiple structural break test to the monthly cross-sectional mean of 36-month rolling active-fund gross alpha, identifies optimal break dates by BIC, and produces the annotated figure and regime-summary table for Appendix D.1.</w:t>
            </w:r>
          </w:p>
        </w:tc>
      </w:tr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5F8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Inputs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alpha_rolling.xlsx  —  fund-level rolling alpha estimates from Script 4</w:t>
            </w:r>
          </w:p>
        </w:tc>
      </w:tr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5F8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Outputs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fig_breaktest.png  —  Figure D.1: annotated rolling alpha series with break dates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breaktest_results.xlsx  —  5 sheets: break dates + HAC CIs, regime means, BIC table, F-statistics, monthly series</w:t>
            </w:r>
          </w:p>
        </w:tc>
      </w:tr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5F8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Key Steps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• Computes monthly EW cross-sectional mean of active-fund rolling alpha (raw, unsmoothed)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• Bai-Perron breakpoints() via strucchange package: pure mean-shift model, min segment 36 months, max 5 breaks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• Optimal break count selected by BIC via AIC(bp, k = log(T))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• Confidence intervals via confint(bp, breaks = n, vcov. = NeweyWest) with Andrews (1991) data-driven lag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• Global F-tests: supF (Andrews 1993), meanF, expF (Andrews-Ploberger 1994)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• Break point 5 (Dec 2020) identified as spurious (CI spans 15 years); Periods 5 and 6 collapsed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• Adopted thresholds for Section D.2: Jan 2006 and Nov 2011</w:t>
            </w:r>
          </w:p>
        </w:tc>
      </w:tr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55A1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Notes</w:t>
            </w:r>
          </w:p>
        </w:tc>
        <w:tc>
          <w:tcPr>
            <w:tcW w:type="dxa" w:w="7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2C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• Test applied to raw (unsmoothed) monthly series. Smoothing the series before testing would double-count serial correlation from the overlapping 36-month windows.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• confint() requires the original breakpointsfull object (bp), NOT the refitted breakpoints object (bp_opt). Passing bp_opt causes a vcov method error.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• RSS table for BIC uses bp_summary$RSS['RSS',] — deviance() on the 0-break model returns numeric(0) and must be avoided.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• Dependencies: strucchange, sandwich (in addition to the standard pipeline packages).</w:t>
            </w:r>
          </w:p>
        </w:tc>
      </w:tr>
    </w:tbl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4. LaTeX Compilation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5F8A"/>
          <w:sz w:val="24"/>
          <w:szCs w:val="24"/>
        </w:rPr>
        <w:t xml:space="preserve">4.1  File Structure</w:t>
      </w:r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All .tex table and figure files produced by the R scripts must be placed in the tables/ subdirectory of the Overleaf project. The master file is Latex_master_output.txt (rename to main.tex or Results.tex in Overleaf).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rPr>
          <w:tblHeader/>
        </w:trPr>
        <w:tc>
          <w:tcPr>
            <w:tcW w:type="dxa" w:w="3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File / Location</w:t>
            </w:r>
          </w:p>
        </w:tc>
        <w:tc>
          <w:tcPr>
            <w:tcW w:type="dxa" w:w="5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3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Latex_master_output.txt</w:t>
            </w:r>
          </w:p>
        </w:tc>
        <w:tc>
          <w:tcPr>
            <w:tcW w:type="dxa" w:w="58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Master document — input all table .tex files and define appendix structure</w:t>
            </w:r>
          </w:p>
        </w:tc>
      </w:tr>
      <w:tr>
        <w:tc>
          <w:tcPr>
            <w:tcW w:type="dxa" w:w="3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dissertation.bib</w:t>
            </w:r>
          </w:p>
        </w:tc>
        <w:tc>
          <w:tcPr>
            <w:tcW w:type="dxa" w:w="58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BibTeX reference database — 28 entries, all cited papers</w:t>
            </w:r>
          </w:p>
        </w:tc>
      </w:tr>
      <w:tr>
        <w:tc>
          <w:tcPr>
            <w:tcW w:type="dxa" w:w="3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tables/*.tex</w:t>
            </w:r>
          </w:p>
        </w:tc>
        <w:tc>
          <w:tcPr>
            <w:tcW w:type="dxa" w:w="58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Generated table files from R scripts (30+ files)</w:t>
            </w:r>
          </w:p>
        </w:tc>
      </w:tr>
      <w:tr>
        <w:tc>
          <w:tcPr>
            <w:tcW w:type="dxa" w:w="3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tables/*.png</w:t>
            </w:r>
          </w:p>
        </w:tc>
        <w:tc>
          <w:tcPr>
            <w:tcW w:type="dxa" w:w="58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Generated figure files from R scripts and structural_break_test.R</w:t>
            </w:r>
          </w:p>
        </w:tc>
      </w:tr>
    </w:tbl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5F8A"/>
          <w:sz w:val="24"/>
          <w:szCs w:val="24"/>
        </w:rPr>
        <w:t xml:space="preserve">4.2  Required Packages</w:t>
      </w:r>
    </w:p>
    <w:p>
      <w:pPr>
        <w:spacing w:after="4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The following LaTeX packages must be in the preamble (all already present in Latex_master_output.txt):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booktabs, threeparttable, longtable, multirow, array — table formatting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float — required for [H] placement specifier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amsmath — required for \text{} commands in column headers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graphicx — figure inclusion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natbib — author-year citations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caption — table caption formatting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5F8A"/>
          <w:sz w:val="24"/>
          <w:szCs w:val="24"/>
        </w:rPr>
        <w:t xml:space="preserve">4.3  Compilation Sequence</w:t>
      </w:r>
    </w:p>
    <w:p>
      <w:pPr>
        <w:spacing w:after="4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Overleaf requires four passes to resolve all cross-references and bibliography entries: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Pass 1: pdfLaTeX — compiles document, generates .aux file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Pass 2: BibTeX — processes dissertation.bib, generates .bbl file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Pass 3: pdfLaTeX — incorporates bibliography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Pass 4: pdfLaTeX — resolves all \ref{} and \cite{} cross-references</w:t>
      </w:r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Overleaf's Recompile button runs this sequence automatically. If citations appear as [?] after the first compile, click Recompile once more.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5F8A"/>
          <w:sz w:val="24"/>
          <w:szCs w:val="24"/>
        </w:rPr>
        <w:t xml:space="preserve">4.4  Appendix Structure and Table Numbering</w:t>
      </w:r>
    </w:p>
    <w:p>
      <w:pPr>
        <w:spacing w:after="4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Table and figure counters are reset at the start of each appendix section. The counter scheme is: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2200"/>
        <w:gridCol w:w="3160"/>
      </w:tblGrid>
      <w:tr>
        <w:trPr>
          <w:tblHeader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Appendix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Table prefix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Figure prefix</w:t>
            </w:r>
          </w:p>
        </w:tc>
        <w:tc>
          <w:tcPr>
            <w:tcW w:type="dxa" w:w="3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Content</w:t>
            </w:r>
          </w:p>
        </w:tc>
      </w:tr>
      <w:tr>
        <w:tc>
          <w:tcPr>
            <w:tcW w:type="dxa" w:w="1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</w:t>
            </w:r>
          </w:p>
        </w:tc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A.1, A.2, ...</w:t>
            </w:r>
          </w:p>
        </w:tc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A.1, ...</w:t>
            </w:r>
          </w:p>
        </w:tc>
        <w:tc>
          <w:tcPr>
            <w:tcW w:type="dxa" w:w="31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Alternative Panel Descriptive Statistics</w:t>
            </w:r>
          </w:p>
        </w:tc>
      </w:tr>
      <w:tr>
        <w:tc>
          <w:tcPr>
            <w:tcW w:type="dxa" w:w="1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</w:t>
            </w:r>
          </w:p>
        </w:tc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B.1, ...</w:t>
            </w:r>
          </w:p>
        </w:tc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31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Alpha by Lipper Style Class</w:t>
            </w:r>
          </w:p>
        </w:tc>
      </w:tr>
      <w:tr>
        <w:tc>
          <w:tcPr>
            <w:tcW w:type="dxa" w:w="1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</w:t>
            </w:r>
          </w:p>
        </w:tc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C.1–C.5</w:t>
            </w:r>
          </w:p>
        </w:tc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C.1</w:t>
            </w:r>
          </w:p>
        </w:tc>
        <w:tc>
          <w:tcPr>
            <w:tcW w:type="dxa" w:w="31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Fama-French (2010) Subperiod Replication</w:t>
            </w:r>
          </w:p>
        </w:tc>
      </w:tr>
      <w:tr>
        <w:tc>
          <w:tcPr>
            <w:tcW w:type="dxa" w:w="1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</w:t>
            </w:r>
          </w:p>
        </w:tc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D.1, ...</w:t>
            </w:r>
          </w:p>
        </w:tc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D.1, ...</w:t>
            </w:r>
          </w:p>
        </w:tc>
        <w:tc>
          <w:tcPr>
            <w:tcW w:type="dxa" w:w="31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Sub-Period Analysis (Bai-Perron + future)</w:t>
            </w:r>
          </w:p>
        </w:tc>
      </w:tr>
    </w:tbl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5. Known Issues and Resolutions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280"/>
        <w:gridCol w:w="3280"/>
      </w:tblGrid>
      <w:tr>
        <w:trPr>
          <w:tblHeader/>
        </w:trP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Issue</w:t>
            </w:r>
          </w:p>
        </w:tc>
        <w:tc>
          <w:tcPr>
            <w:tcW w:type="dxa" w:w="3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Root Cause</w:t>
            </w:r>
          </w:p>
        </w:tc>
        <w:tc>
          <w:tcPr>
            <w:tcW w:type="dxa" w:w="3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Resolution</w:t>
            </w:r>
          </w:p>
        </w:tc>
      </w:tr>
      <w:tr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 footnotes truncated at % sign</w:t>
            </w:r>
          </w:p>
        </w:tc>
        <w:tc>
          <w:tcPr>
            <w:tcW w:type="dxa" w:w="3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\% in threeparttable footnote → kableExtra stripping → bare % in LaTeX (comment character)</w:t>
            </w:r>
          </w:p>
        </w:tc>
        <w:tc>
          <w:tcPr>
            <w:tcW w:type="dxa" w:w="3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Use \\\\% (four backslashes) in R source for threeparttable footnote strings</w:t>
            </w:r>
          </w:p>
        </w:tc>
      </w:tr>
      <w:tr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confint() vcov error in structural_break_test.R</w:t>
            </w:r>
          </w:p>
        </w:tc>
        <w:tc>
          <w:tcPr>
            <w:tcW w:type="dxa" w:w="3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confint() requires breakpointsfull object, not refitted breakpoints</w:t>
            </w:r>
          </w:p>
        </w:tc>
        <w:tc>
          <w:tcPr>
            <w:tcW w:type="dxa" w:w="3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Pass original bp object with breaks= argument: confint(bp, breaks = n, vcov. = ...)</w:t>
            </w:r>
          </w:p>
        </w:tc>
      </w:tr>
      <w:tr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deviance() returns numeric(0) for 0-break model</w:t>
            </w:r>
          </w:p>
        </w:tc>
        <w:tc>
          <w:tcPr>
            <w:tcW w:type="dxa" w:w="3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strucchange does not implement deviance() for the trivial no-break case</w:t>
            </w:r>
          </w:p>
        </w:tc>
        <w:tc>
          <w:tcPr>
            <w:tcW w:type="dxa" w:w="3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Use bp_summary$RSS['RSS',] instead of vapply/deviance loop</w:t>
            </w:r>
          </w:p>
        </w:tc>
      </w:tr>
      <w:tr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 float drift in Overleaf</w:t>
            </w:r>
          </w:p>
        </w:tc>
        <w:tc>
          <w:tcPr>
            <w:tcW w:type="dxa" w:w="3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[htbp] placement insufficient in dense multi-table documents</w:t>
            </w:r>
          </w:p>
        </w:tc>
        <w:tc>
          <w:tcPr>
            <w:tcW w:type="dxa" w:w="3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[H] placement with \usepackage{float} forces table to exact insertion point</w:t>
            </w:r>
          </w:p>
        </w:tc>
      </w:tr>
      <w:tr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kableExtra closing brace bug on \end{threeparttable}</w:t>
            </w:r>
          </w:p>
        </w:tc>
        <w:tc>
          <w:tcPr>
            <w:tcW w:type="dxa" w:w="3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kableExtra emits extra closing brace in some configurations</w:t>
            </w:r>
          </w:p>
        </w:tc>
        <w:tc>
          <w:tcPr>
            <w:tcW w:type="dxa" w:w="3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clean_latex() helper in alpha_reporting.R strips the extra brace via gsub</w:t>
            </w:r>
          </w:p>
        </w:tc>
      </w:tr>
      <w:tr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longtable column spacing</w:t>
            </w:r>
          </w:p>
        </w:tc>
        <w:tc>
          <w:tcPr>
            <w:tcW w:type="dxa" w:w="3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Default tabcolsep too wide for 7-column wide tables</w:t>
            </w:r>
          </w:p>
        </w:tc>
        <w:tc>
          <w:tcPr>
            <w:tcW w:type="dxa" w:w="32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wrap_lt_small() sets \setlength{\tabcolsep}{2–3pt}; gsub removes @{}r padding</w:t>
            </w:r>
          </w:p>
        </w:tc>
      </w:tr>
    </w:tbl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6. Standard Operating Procedure</w:t>
      </w:r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Follow this sequence when re-running the full pipeline after data updates: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200"/>
        <w:gridCol w:w="5560"/>
      </w:tblGrid>
      <w:tr>
        <w:trPr>
          <w:tblHeader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5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Pull updated data from LSEG Workspace</w:t>
            </w:r>
          </w:p>
        </w:tc>
        <w:tc>
          <w:tcPr>
            <w:tcW w:type="dxa" w:w="5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Export to fund_data.xlsx; do not change column structure</w:t>
            </w:r>
          </w:p>
        </w:tc>
      </w:tr>
      <w:t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Run data_import_and_cleaning.R</w:t>
            </w:r>
          </w:p>
        </w:tc>
        <w:tc>
          <w:tcPr>
            <w:tcW w:type="dxa" w:w="5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Creates panel_master, panel_incubation, panel_trimmed in R environment</w:t>
            </w:r>
          </w:p>
        </w:tc>
      </w:tr>
      <w:t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Run flow_calculation.R</w:t>
            </w:r>
          </w:p>
        </w:tc>
        <w:tc>
          <w:tcPr>
            <w:tcW w:type="dxa" w:w="5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Appends flow columns to all three panels</w:t>
            </w:r>
          </w:p>
        </w:tc>
      </w:tr>
      <w:t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Run descriptive_statistics.R</w:t>
            </w:r>
          </w:p>
        </w:tc>
        <w:tc>
          <w:tcPr>
            <w:tcW w:type="dxa" w:w="5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Writes 7 .tex files and 2 figure files to working directory</w:t>
            </w:r>
          </w:p>
        </w:tc>
      </w:tr>
      <w:t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Run alpha_estimation.R</w:t>
            </w:r>
          </w:p>
        </w:tc>
        <w:tc>
          <w:tcPr>
            <w:tcW w:type="dxa" w:w="5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Longest step (~30–60 min). Writes 4 Excel files</w:t>
            </w:r>
          </w:p>
        </w:tc>
      </w:tr>
      <w:t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Run alpha_reporting.R</w:t>
            </w:r>
          </w:p>
        </w:tc>
        <w:tc>
          <w:tcPr>
            <w:tcW w:type="dxa" w:w="5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Writes 5 .tex files and 2 figure files</w:t>
            </w:r>
          </w:p>
        </w:tc>
      </w:tr>
      <w:t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Run portfolio_sorts.R</w:t>
            </w:r>
          </w:p>
        </w:tc>
        <w:tc>
          <w:tcPr>
            <w:tcW w:type="dxa" w:w="5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Writes 5 .tex files (can run in parallel with step 6)</w:t>
            </w:r>
          </w:p>
        </w:tc>
      </w:tr>
      <w:t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8</w:t>
            </w:r>
          </w:p>
        </w:tc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Run build_ff_tables_manual.R</w:t>
            </w:r>
          </w:p>
        </w:tc>
        <w:tc>
          <w:tcPr>
            <w:tcW w:type="dxa" w:w="5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Writes 5 .tex files and 1 figure file (Appendix C)</w:t>
            </w:r>
          </w:p>
        </w:tc>
      </w:tr>
      <w:t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9</w:t>
            </w:r>
          </w:p>
        </w:tc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Run structural_break_test.R</w:t>
            </w:r>
          </w:p>
        </w:tc>
        <w:tc>
          <w:tcPr>
            <w:tcW w:type="dxa" w:w="5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Writes 1 figure file and 1 Excel file (Appendix D)</w:t>
            </w:r>
          </w:p>
        </w:tc>
      </w:tr>
      <w:t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Copy all output files to Overleaf tables/</w:t>
            </w:r>
          </w:p>
        </w:tc>
        <w:tc>
          <w:tcPr>
            <w:tcW w:type="dxa" w:w="5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Move all .tex and .png files to the tables/ subdirectory</w:t>
            </w:r>
          </w:p>
        </w:tc>
      </w:tr>
      <w:t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11</w:t>
            </w:r>
          </w:p>
        </w:tc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Compile Overleaf (×4 passes)</w:t>
            </w:r>
          </w:p>
        </w:tc>
        <w:tc>
          <w:tcPr>
            <w:tcW w:type="dxa" w:w="5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pdfLaTeX → BibTeX → pdfLaTeX → pdfLaTeX</w:t>
            </w:r>
          </w:p>
        </w:tc>
      </w:tr>
    </w:tbl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888888"/>
          <w:sz w:val="18"/>
          <w:szCs w:val="18"/>
        </w:rPr>
        <w:t xml:space="preserve">Document prepared April 2026. Pipeline current as of alpha_estimation.R v2.5, alpha_reporting.R v7.8.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E5F8A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Arial" w:cs="Arial" w:eastAsia="Arial" w:hAnsi="Arial"/>
      <w:b/>
      <w:bCs/>
      <w:color w:val="C55A1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2026-04-09T15:04:09.844Z</dcterms:created>
  <dcterms:modified xsi:type="dcterms:W3CDTF">2026-04-09T15:04:09.879Z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