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THE ACTIVE MANAGEMENT PUZZLE</w:t>
      </w:r>
    </w:p>
    <w:p>
      <w:pPr>
        <w:jc w:val="center"/>
      </w:pPr>
      <w:r>
        <w:t xml:space="preserve">R Script Pipeline: Sequence, Inputs, Outputs — PhD Dissertation, Management Dept., Boğaziçi University</w:t>
      </w:r>
    </w:p>
    <w:p>
      <w:pPr>
        <w:jc w:val="center"/>
      </w:pPr>
      <w:r>
        <w:rPr>
          <w:i/>
          <w:iCs/>
        </w:rPr>
        <w:t xml:space="preserve">Last updated: 10 May 2026. Defense window: 5–10 June 2026.</w:t>
      </w:r>
    </w:p>
    <w:p>
      <w:pPr>
        <w:pBdr>
          <w:bottom w:val="single" w:color="AAAAAA" w:sz="4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Pipeline Overview</w:t>
      </w:r>
    </w:p>
    <w:p>
      <w:r>
        <w:t xml:space="preserve">The pipeline consists of fourteen R scripts organized into ten master_pipeline.R phases (A–J). Phases A–C are strictly sequential. Phases D–J run after Phase C and many are parallel. Each phase toggle is set in master_pipeline.R (RUN_PHASE_X &lt;- TRUE/FALSE).</w:t>
      </w:r>
    </w:p>
    <w:p>
      <w:r>
        <w:t xml:space="preserve">Bootstrap-cache architecture: 11 cache files across 4 scripts, segregated by machine (cache_OMER-PC/). Never commit Mac outputs. Never commit bootstrap cache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800"/>
        <w:gridCol w:w="4960"/>
      </w:tblGrid>
      <w:tr>
        <w:tc>
          <w:tcPr>
            <w:tcW w:type="dxa" w:w="4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2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Toggle</w:t>
            </w:r>
          </w:p>
        </w:tc>
        <w:tc>
          <w:tcPr>
            <w:tcW w:type="dxa" w:w="28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Script(s)</w:t>
            </w:r>
          </w:p>
        </w:tc>
        <w:tc>
          <w:tcPr>
            <w:tcW w:type="dxa" w:w="49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Outputs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RUN_PHASE_A_IMPORT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data_import_and_cleaning.R (v2.1)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panel_master, panel_incubation, panel_trimmed (R env)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RUN_PHASE_A_IMPORT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flow_calculation.R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panels updated with flow columns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RUN_PHASE_B_ALPHA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alpha_estimation.R (v2.5)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alpha_fullperiod.xlsx, alpha_rolling.xlsx, rank_data.xlsx, bootstrap_results.xlsx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RUN_PHASE_C_REPORTING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alpha_reporting.R (v7.9)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5–8, Figures 2–3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RUN_PHASE_C_REPORTING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descriptive_statistics.R (v2.0)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1–4, Figure 1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RUN_PHASE_D_SORTS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portfolio_sorts.R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9–13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RUN_PHASE_E_SUBPERIODS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structural_break_test.R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H.1, Table H.1 dates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RUN_PHASE_E_SUBPERIODS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subperiod_analysis.R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H.2–H.6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RUN_PHASE_F_FF_COMPARISON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FF_comparison.R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FF subperiod replication tables (Appendix C/G)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RUN_PHASE_G_FF_TABLES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build_ff_tables_manual.R (v1.1)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C.1–C.5, G.1–G.3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RUN_PHASE_H_ACTIVENESS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activeness_analysis.R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14–16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RUN_PHASE_H_ACTIVENESS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activeness_persistence.R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17 (activeness persistence)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RUN_PHASE_I_PERSISTENCE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persistence_testing.R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18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H1_sentiment_convexity.R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5.1 (J.5 robustness)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H2_disposition_control.R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5.2 (J.6 robustness)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H3_lottery_demand.R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5.3 (J.7 robustness)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H4_fee_elasticity.R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5.4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psychological_premium.R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5.5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panel_regressions_setup.R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Regression objects (env)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panel_regressions_reporting.R (v1.0)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5.6, Tables J.5–J.7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RUN_PHASE_J_BEHAVIORAL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build_robust_tables.R (v1.1)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E.1–E.3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behavioral_state_variables.R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variable construction (runs before Phase J)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External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6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3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Used In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fund_data.xlsx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LSEG Workspace (Bloomberg Terminal for recent pull)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lipper.xlsx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LSEG Workspace — Lipper classification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Benchmark_Assignment_updated.xlsx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assignment (Russell RICs)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B, 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fund_benchmark_reference.xlsx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cross-reference table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B, 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flagged_funds.xlsx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review — three-tier exclusion (Entire-Analysis, Performance-Comparison, H3-Only)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A (Step 8c)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FF/Carhart factor files (CSV)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Ken French Data Library — monthly decimal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Sentiment.xlsx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Baker-Wurgler composite index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J (H1, H2, H4)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AAII.xlsx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AAII — bull/bear sentiment survey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J (H1)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Putcall_ratioCBOE.csv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CBOE — daily equity put-call ratio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J (H2)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UMCSENT.xlsx, VIXFRED.xlsx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FRED — Michigan sentiment, VIX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 J (auxiliary)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Script Reference (Key Updates from Prior Version)</w:t>
      </w:r>
    </w:p>
    <w:p>
      <w:pPr>
        <w:pStyle w:val="Heading2"/>
      </w:pPr>
      <w:r>
        <w:rPr>
          <w:b/>
          <w:bCs/>
        </w:rPr>
        <w:t xml:space="preserve">Phase A — data_import_and_cleaning.R (v2.1)</w:t>
      </w:r>
    </w:p>
    <w:p>
      <w:r>
        <w:rPr>
          <w:b/>
          <w:bCs/>
        </w:rPr>
        <w:t xml:space="preserve">Key change from v1.1:</w:t>
      </w:r>
      <w:r>
        <w:t xml:space="preserve"> Three-tier exclusion scheme wired in via new Step 8c. flagged_funds.xlsx has three tiers: (1) Entire-Analysis — dropped at source; (2) Performance-Comparison — excluded_perf=TRUE flag added; (3) H3-Only — excluded_h3=TRUE flag added. filter(!excluded_perf) propagated across all five performance-estimation scripts (Families B and C).</w:t>
      </w:r>
    </w:p>
    <w:p>
      <w:r>
        <w:t xml:space="preserve">TNA column fix: d$tna returns NULL in panel_incubation — correct column names are class_assets/total_assets.</w:t>
      </w:r>
    </w:p>
    <w:p>
      <w:r>
        <w:t xml:space="preserve">Attribution fix: net-return approximation follows Carhart (1997)/Wermers (2000), NOT BSW (2010) — corrected in comment strings across six scripts.</w:t>
      </w:r>
    </w:p>
    <w:p>
      <w:pPr>
        <w:pStyle w:val="Heading2"/>
      </w:pPr>
      <w:r>
        <w:rPr>
          <w:b/>
          <w:bCs/>
        </w:rPr>
        <w:t xml:space="preserve">Phase B — alpha_estimation.R (v2.5)</w:t>
      </w:r>
    </w:p>
    <w:p>
      <w:r>
        <w:t xml:space="preserve">Bootstrap now uses Newey-West SE (6-month lag) consistent with full-period estimation. OLS SE in bootstrap was apples-to-oranges comparison (fixed in v2.3/v2.5).</w:t>
      </w:r>
    </w:p>
    <w:p>
      <w:r>
        <w:t xml:space="preserve">Cache: cache_OMER-PC/ holds bootstrap results. Never commit. Never run on Mac.</w:t>
      </w:r>
    </w:p>
    <w:p>
      <w:pPr>
        <w:pStyle w:val="Heading2"/>
      </w:pPr>
      <w:r>
        <w:rPr>
          <w:b/>
          <w:bCs/>
        </w:rPr>
        <w:t xml:space="preserve">Phase C — alpha_reporting.R (v7.9)</w:t>
      </w:r>
    </w:p>
    <w:p>
      <w:r>
        <w:rPr>
          <w:b/>
          <w:bCs/>
        </w:rPr>
        <w:t xml:space="preserve">Changes from v7.8:</w:t>
      </w:r>
      <w:r>
        <w:t xml:space="preserve"> 'bolded row' note text changed to 'The row at γ=0.20... the canonical BSW significance level' (chunk 3 of SBE session). Backslash count for flagged_funds.xlsx corrected (Step 1 fix from 9 May session).</w:t>
      </w:r>
    </w:p>
    <w:p>
      <w:pPr>
        <w:pStyle w:val="Heading2"/>
      </w:pPr>
      <w:r>
        <w:rPr>
          <w:b/>
          <w:bCs/>
        </w:rPr>
        <w:t xml:space="preserve">Phase G — build_ff_tables_manual.R (v1.1)</w:t>
      </w:r>
    </w:p>
    <w:p>
      <w:r>
        <w:rPr>
          <w:b/>
          <w:bCs/>
        </w:rPr>
        <w:t xml:space="preserve">Changes from v1.0:</w:t>
      </w:r>
      <w:r>
        <w:t xml:space="preserve"> (1) boldify() neutralized to identity (morning session). (2) Redundant first column dropped from FF bootstrap-tails table builder (late-evening session — prevented % cascade). (3) Body-level \small removed (chunk 4 SBE session).</w:t>
      </w:r>
    </w:p>
    <w:p>
      <w:pPr>
        <w:pStyle w:val="Heading2"/>
      </w:pPr>
      <w:r>
        <w:rPr>
          <w:b/>
          <w:bCs/>
        </w:rPr>
        <w:t xml:space="preserve">Phase J — Behavioral Hypothesis Scripts (H1–H4, PPF, Panel Regressions)</w:t>
      </w:r>
    </w:p>
    <w:p>
      <w:r>
        <w:t xml:space="preserve">H1_sentiment_convexity.R, H2_disposition_control.R, H3_lottery_demand.R, H4_fee_elasticity.R: All updated in SBE session (chunk 5) to wrap math acronyms in \text{}: $D^{SENT}$ → $D^{\text{SENT}}$, $R^{LOW}$ → $R^{\text{LOW}}$, $D^{MD,Det}$ → $D^{\text{MD,Det}}$ in hdr_cont and hdr_lagged vectors. H4: font_size=9 argument removed from kable_styling.</w:t>
      </w:r>
    </w:p>
    <w:p>
      <w:r>
        <w:t xml:space="preserve">psychological_premium.R, panel_regressions_reporting.R: same math acronym \text{} fix applied.</w:t>
      </w:r>
    </w:p>
    <w:p>
      <w:r>
        <w:t xml:space="preserve">activeness_persistence.R: \texttt{panel_incubation} stripped from tablenote string (SBE session chunk 5.E).</w:t>
      </w:r>
    </w:p>
    <w:p>
      <w:r>
        <w:t xml:space="preserve">build_robust_tables.R (v1.1): orphan brace at line 315 removed (Patch 4). Body-level \small removed (chunk 4).</w:t>
      </w:r>
    </w:p>
    <w:p>
      <w:pPr>
        <w:pStyle w:val="Heading1"/>
      </w:pPr>
      <w:r>
        <w:rPr>
          <w:b/>
          <w:bCs/>
        </w:rPr>
        <w:t xml:space="preserve">4. LaTeX / Overleaf</w:t>
      </w:r>
    </w:p>
    <w:p>
      <w:pPr>
        <w:pStyle w:val="Heading2"/>
      </w:pPr>
      <w:r>
        <w:rPr>
          <w:b/>
          <w:bCs/>
        </w:rPr>
        <w:t xml:space="preserve">4.1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File/Location</w:t>
            </w:r>
          </w:p>
        </w:tc>
        <w:tc>
          <w:tcPr>
            <w:tcW w:type="dxa" w:w="57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D:\TEZ\dissertation_main.tex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Master document — PhD dissertation (4,750+ lines). XeLaTeX + Biber.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D:\TEZ\master_output.tex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Standalone results document (legacy; maintained for dual-file workflow)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D:\TEZ\dissertation.bib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BibTeX reference database — 85 unique entries. Compiler: Biber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D:\TEZ\tables\*.tex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 table files from R pipeline (49 files) + hand-coded Table H.1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D:\TEZ\tables\*.png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Generated figure files (8 files: fig_fund_flows, fig_rolling_alphas, fig_luck_vs_skill_combined, fig_luck_vs_skill_combined_FF, fig_breaktest, fig_luck_vs_skill_cdf, and variants)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D:\TEZ\R scripts\master_pipeline.R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Orchestrator — sets WORKING_DIR, SCRIPTS_DIR, phase toggles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D:\TEZ\data\R import\*.xlsx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Pipeline outputs (data side, not committed to Git)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cache_OMER-PC\*.rds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cache (never commit; machine-specific)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 Preamble — Current State (after SBE chunks 1–5)</w:t>
      </w:r>
    </w:p>
    <w:p>
      <w:r>
        <w:t xml:space="preserve">Compiler: XeLaTeX. Bibliography: Biber. Math font: STIX Two Math (changed from XITS Math — lighter italic). Main font: Times New Roman.</w:t>
      </w:r>
    </w:p>
    <w:p>
      <w:r>
        <w:t xml:space="preserve">Geometry: a4paper, top=2.5cm, bottom=2.5cm, left=4cm, right=2.5cm (SBE margins).</w:t>
      </w:r>
    </w:p>
    <w:p>
      <w:r>
        <w:t xml:space="preserve">Alignment: \usepackage[document]{ragged2e} (left-aligned body, not justified).</w:t>
      </w:r>
    </w:p>
    <w:p>
      <w:r>
        <w:t xml:space="preserve">Bold: NONE anywhere (strict SBE option B). \bfseries stripped from all \titleformat commands and \cfttoctitlefont/LoT/LoF.</w:t>
      </w:r>
    </w:p>
    <w:p>
      <w:r>
        <w:t xml:space="preserve">Caption: labelsep=periodtwospace, font=normalsize, labelfont=normalfont, textfont=normalfont. skip=12pt.</w:t>
      </w:r>
    </w:p>
    <w:p>
      <w:r>
        <w:t xml:space="preserve">Spacing: \intextsep=\floatsep=\textfloatsep=24pt (SBE double-space). \LTpre=\LTpost=24pt (longtable spacing). tablenotes: \setstretch{1} (single-spaced, consistent with Table H.1).</w:t>
      </w:r>
    </w:p>
    <w:p>
      <w:r>
        <w:t xml:space="preserve">Table body size: \AtBeginEnvironment{table}{\footnotesize} + \AtBeginEnvironment{longtable}{\footnotesize} — uniform 10pt across all tables.</w:t>
      </w:r>
    </w:p>
    <w:p>
      <w:r>
        <w:t xml:space="preserve">TOC: CHAPTER entries via \cftchappresnum{CHAPTER~}; APPENDIX entries via \addtocontents{toc}{\protect\renewcommand{...APPENDIX~}} fired at \appendix.</w:t>
      </w:r>
    </w:p>
    <w:p>
      <w:r>
        <w:t xml:space="preserve">Math: \AtBeginBibliography{...\renewcommand*{\mkbibbold}[1]{##1}} neutralizes any bold in bibliography.</w:t>
      </w:r>
    </w:p>
    <w:p>
      <w:pPr>
        <w:pStyle w:val="Heading2"/>
      </w:pPr>
      <w:r>
        <w:rPr>
          <w:b/>
          <w:bCs/>
        </w:rPr>
        <w:t xml:space="preserve">4.3  Required Packages</w:t>
      </w:r>
    </w:p>
    <w:p>
      <w:r>
        <w:t xml:space="preserve">fontspec, unicode-math, geometry, setspace, ragged2e, biblatex (apa, biber), titlesec, tocloft, fancyhdr, booktabs, longtable, multirow, array, caption, float, graphicx, pdflscape, threeparttablex, makecell, colortbl, chngcntr, etoolbox, amsmath, amssymb, hyperref, ulem, wrapfig, eso-pic, rotating</w:t>
      </w:r>
    </w:p>
    <w:p>
      <w:pPr>
        <w:pStyle w:val="Heading2"/>
      </w:pPr>
      <w:r>
        <w:rPr>
          <w:b/>
          <w:bCs/>
        </w:rPr>
        <w:t xml:space="preserve">4.4  Compilation Sequence</w:t>
      </w:r>
    </w:p>
    <w:p>
      <w:r>
        <w:t xml:space="preserve">Overleaf: XeLaTeX → Biber → XeLaTeX → XeLaTeX (four passes minimum for citations + TOC). Overleaf Recompile button runs this automatically.</w:t>
      </w:r>
    </w:p>
    <w:p>
      <w:pPr>
        <w:pStyle w:val="Heading2"/>
      </w:pPr>
      <w:r>
        <w:rPr>
          <w:b/>
          <w:bCs/>
        </w:rPr>
        <w:t xml:space="preserve">4.5  Table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Table #</w:t>
            </w:r>
          </w:p>
        </w:tc>
        <w:tc>
          <w:tcPr>
            <w:tcW w:type="dxa" w:w="45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9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Chapter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1–4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table_fund_counts, table_desc_stats, table_return_dist, table_coverage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3 / Data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5–8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table_perf_aggregate, table_bootstrap_tails, table_pi0_estimate, table10b_bsw_decomposition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4 / Performance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9–13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table_port_chars, table_port_agg_alpha, table_port_size_alpha, table_port_mom_alpha, table_port_fee_alpha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4 / Portfolio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14–16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table_activeness_chars, table_activeness_alpha_r2, table_activeness_alpha_te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4 / Activeness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17–18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table_activeness_monotonicity, table_persistence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4 / Persistence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5.1–5.6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table_H1_regression, table_H2_regression, table_H3_regression, table_H4_regression, table_psychological_premium, table_behavioral_summary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5 / Behavioral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A.1–A.2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table_desc_stats_master, table_desc_stats_trimmed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B.1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table_perf_by_lipper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C.1–C.5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table_perf_aggregate_FF, table_bootstrap_tails_FF, table_pi0_estimate_FF, table10b_bsw_decomposition_FF, table_port_agg_alpha_FF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C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E.1–E.3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table_alpha_comparison_robust, table_bootstrap_comparison_robust, table_bsw_comparison_robust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H.1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Hand-coded in dissertation_main.tex (Bai-Perron break dates)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H.2–H.6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table_subperiod_perf_aggregate, table_subperiod_bootstrap_tails, table_subperiod_pi0_estimate, table_subperiod_bsw_decomposition, table_subperiod_port_agg_alpha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J.5–J.7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table_H1_robustness, table_H2_robustness, table_H3_robustness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 J (FE robustness)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Known Issues and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0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41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Resolution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footnotes truncated at 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Bare % in threeparttable footnote (LaTeX comment char). kableExtra strips one backslash level when escape=TRUE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use \\\\% (4 backslashes) in R source for escape=TRUE contexts; 2 backslashes for manual builders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'bolded row' note in BSW tables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alpha_reporting.R and subperiod_analysis.R emitted note text referring to bold row no longer bold after R-source bold sweep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note text changed to 'The row at γ=0.20... canonical BSW significance level' (chunk 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 acronyms appearing heavy (e.g., $\beta^{MKT}$)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Multi-letter acronyms in math superscripts rendered as math italic (heavier than text italic)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PARTIALLY RESOLVED — superscripts wrapped in \text{} across 16 table files + 6 R scripts (chunk 5.A). Subscripts ($\alpha_{CAPM}$, $\beta_{MKT}$) and body-text equations NOT yet fixed. Next session.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\texttt{} on Excel filenames in dissertation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filenames, sheet names, ticker strings in monospace (\texttt{}) violate 'Times throughout' rule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89 \texttt{} occurrences stripped from dissertation_main.tex (chunk 5.E). 1 stripped from activeness_persistence.R.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Tablenotes double-spaced (vs Table H.1 single)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threeparttable tablenotes inherit \doublespacing from body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\AtBeginEnvironment{tablenotes}{\setstretch{1}} (chunk 5.F)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overflowing margins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4cm left margin reduces text width to 14.5cm; wide tables exceed this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PARTIALLY RESOLVED — footnotesize hook helps; specific overflowing tables need scale_down or column reduction (next session)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confint() vcov error in structural_break_test.R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confint() requires breakpointsfull object, not refitted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Pass original bp with breaks= argument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kableExtra closing brace on \end{threeparttable}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kableExtra emits extra closing brace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clean_latex() helper in alpha_reporting.R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flagged_funds.xlsx unescaped in tablenotes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Source-level underscore escape missing in bootstrap_tails and perf_aggregate write paths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in .tex files (9 May session); verify R-source fix applied before next pipeline run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Bootstrap_tails_FF first column emitting % as comment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build_ff_tables_manual.R emitted redundant first column with 1%, 5%, etc. triggering LaTeX comment cascade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RESOLVED — first column dropped (9 May late-evening session)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Bai-Perron break dates possibly outdated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SUBPERIODS hardcoded in subperiod_analysis.R from panel_trimmed era; panel_incubation has later end date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OUTSTANDING — re-run structural_break_test.R on current panel_incubation alpha_rolling.xlsx before next pipeline run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SBE Formatting Compliance Status (after 10 May 2026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SBE Rule</w:t>
            </w:r>
          </w:p>
        </w:tc>
        <w:tc>
          <w:tcPr>
            <w:tcW w:type="dxa" w:w="15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Margins: left 4cm, top/bottom/right 2.5cm, A4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Chunk 1 — geometry package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Font: Times New Roman 12pt throughout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fontspec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bold anywhere (option B)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 in headings/body/tables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 acronym subscripts still partially bold-looking (next session)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 double-spaced; captions/notes single-spaced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\doublespacing; tablenotes \setstretch{1}; captionsetup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Alignment: left (ragged-right), not justified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ragged2e [document]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Paragraph indent 1.27cm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\setlength{\parindent}{1.27cm}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Chapter heading: ALL CAPS, centred, 2 lines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\titleformat{\chapter}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Sub-headings: numbered, sentence case, left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\titleformat{\section}/\subsection — bold removed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TOC: CHAPTER N: TITLE + APPENDIX N: TITLE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cftchappresnum + addtocontents fix (chunk 1)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title: 'Table N.  Title Case' above table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captionsetup — periodtwospace label separator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caption: 'Figure N.  Sentence case.' below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captionsetup position=bottom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Double-space above caption + below table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 for [H] floats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intextsep=24pt; LTpre/LTpost=24pt (longtables)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Caption longer than 1 line: single-spaced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 (captionsetup renders correctly)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Confirmed in rendered PDF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Consistent font size across all tables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— footnotesize hook applied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scale_down tables visually smaller; next session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\texttt{} (monospace) for Excel references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89 occurrences stripped (chunk 5.E)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notes single-spaced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tablenotes \setstretch{1} hook (chunk 5.F)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Italics only for foreign terms/journals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 italic strips (chunk 2)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Caption labelfont non-bold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labelfont=normalfont in captionsetup (chunk 3)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 table captions (no descriptive prose)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 for Tables 5.1–5.6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captions stripped (chunk 5.B)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 7th references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biblatex-apa + biber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References: REFERENCES heading centred ALL CAPS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via \chapter*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Appendix: each on new page, APPENDIX A: TITLE format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\appendix + addtocontents TOC fix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numbers: Roman front matter, Arabic main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DONE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\pagenumbering controls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Standard Operating Procedure — Full Pipeline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00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860"/>
            <w:shd w:fill="D0D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pull (start of session)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pull before any PC work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 updated data from LSEG Workspace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 to fund_data.xlsx; preserve column structure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phase toggles in master_pipeline.R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RUN_PHASE_X &lt;- TRUE for desired phases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 master_pipeline.R (not individual scripts)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Sync block auto-copies outputs to D:\TEZ\tables\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 cache_OMER-PC/ populated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Should have 11 .rds files across bootstrap scripts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add -A &amp;&amp; git commit -m '...' &amp;&amp; git push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Overleaf pulls automatically on next recompile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Recompile on Overleaf (4 passes: XeLaTeX+Biber+XeLaTeX+XeLaTeX)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Overleaf Recompile button triggers all passes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log for errors (not warnings)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Overfull hbox/vbox warnings expected; errors must be zero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pull on PC after any Overleaf edits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Overleaf edits must be pulled to PC before next push</w:t>
            </w:r>
          </w:p>
        </w:tc>
      </w:tr>
    </w:tbl>
    <w:p>
      <w:r>
        <w:rPr>
          <w:i/>
          <w:iCs/>
        </w:rPr>
        <w:t xml:space="preserve">Document updated: 10 May 2026. Previous version: ~8 scripts (Phases A–D only). Current version: 14+ scripts, Phases A–J, full behavioral hypothesis pipeline.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60" w:before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60" w:before="180"/>
      <w:outlineLvl w:val="2"/>
    </w:pPr>
    <w:rPr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2026-05-10T19:38:03.219Z</dcterms:created>
  <dcterms:modified xsi:type="dcterms:W3CDTF">2026-05-10T19:38:03.221Z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